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80"/>
        <w:jc w:val="center"/>
      </w:pPr>
      <w:r>
        <w:drawing>
          <wp:inline xmlns:a="http://schemas.openxmlformats.org/drawingml/2006/main" xmlns:pic="http://schemas.openxmlformats.org/drawingml/2006/picture">
            <wp:extent cx="2520000" cy="1437660"/>
            <wp:docPr id="1" name="Picture 1"/>
            <wp:cNvGraphicFramePr>
              <a:graphicFrameLocks noChangeAspect="1"/>
            </wp:cNvGraphicFramePr>
            <a:graphic>
              <a:graphicData uri="http://schemas.openxmlformats.org/drawingml/2006/picture">
                <pic:pic>
                  <pic:nvPicPr>
                    <pic:cNvPr id="0" name="logo_coger.png"/>
                    <pic:cNvPicPr/>
                  </pic:nvPicPr>
                  <pic:blipFill>
                    <a:blip r:embed="rId11"/>
                    <a:stretch>
                      <a:fillRect/>
                    </a:stretch>
                  </pic:blipFill>
                  <pic:spPr>
                    <a:xfrm>
                      <a:off x="0" y="0"/>
                      <a:ext cx="2520000" cy="1437660"/>
                    </a:xfrm>
                    <a:prstGeom prst="rect"/>
                  </pic:spPr>
                </pic:pic>
              </a:graphicData>
            </a:graphic>
          </wp:inline>
        </w:drawing>
      </w:r>
    </w:p>
    <w:p>
      <w:pPr>
        <w:spacing w:before="80" w:after="120"/>
        <w:jc w:val="center"/>
      </w:pPr>
      <w:r>
        <w:rPr>
          <w:rFonts w:ascii="Arial Narrow" w:hAnsi="Arial Narrow"/>
          <w:b/>
          <w:color w:val="1E3A5F"/>
          <w:sz w:val="44"/>
        </w:rPr>
        <w:t>ACESSO À INFORMAÇÃO E PROTEÇÃO</w:t>
        <w:br/>
        <w:t>DE DADOS PESSOAIS NO ÂMBITO DISCIPLINAR</w:t>
      </w:r>
    </w:p>
    <w:p>
      <w:pPr>
        <w:spacing w:before="120" w:after="120"/>
        <w:pBdr>
          <w:bottom w:val="single" w:sz="4" w:space="1" w:color="BFA040"/>
        </w:pBdr>
      </w:pPr>
    </w:p>
    <w:p>
      <w:pPr>
        <w:spacing w:before="80" w:after="80"/>
        <w:jc w:val="center"/>
      </w:pPr>
      <w:r>
        <w:rPr>
          <w:rFonts w:ascii="Calibri" w:hAnsi="Calibri"/>
          <w:i/>
          <w:color w:val="707070"/>
          <w:sz w:val="22"/>
        </w:rPr>
        <w:t>Apostila de treinamento — Versão enriquecida</w:t>
      </w:r>
    </w:p>
    <w:p>
      <w:pPr>
        <w:spacing w:after="40"/>
        <w:jc w:val="center"/>
      </w:pPr>
      <w:r>
        <w:rPr>
          <w:rFonts w:ascii="Calibri" w:hAnsi="Calibri"/>
          <w:color w:val="707070"/>
          <w:sz w:val="20"/>
        </w:rPr>
        <w:t>Danielly Gontijo — Procuradora da Fazenda Nacional</w:t>
      </w:r>
    </w:p>
    <w:p>
      <w:pPr>
        <w:spacing w:after="320"/>
        <w:jc w:val="center"/>
      </w:pPr>
      <w:r>
        <w:rPr>
          <w:rFonts w:ascii="Calibri" w:hAnsi="Calibri"/>
          <w:color w:val="707070"/>
          <w:sz w:val="20"/>
        </w:rPr>
        <w:t>Corregedoria da Receita Federal do Brasil — 2026</w:t>
      </w:r>
    </w:p>
    <w:p>
      <w:pPr>
        <w:spacing w:before="100" w:after="20"/>
        <w:ind w:left="227" w:right="170"/>
        <w:jc w:val="both"/>
        <w:pBdr>
          <w:left w:val="single" w:sz="24" w:space="6" w:color="2E75B6"/>
        </w:pBdr>
        <w:shd w:val="clear" w:color="auto" w:fill="EBF3FB"/>
      </w:pPr>
      <w:r>
        <w:rPr>
          <w:rFonts w:ascii="Calibri" w:hAnsi="Calibri"/>
          <w:b/>
          <w:i w:val="0"/>
          <w:sz w:val="20"/>
        </w:rPr>
        <w:t>Perguntas-chave desta oficina:</w:t>
      </w:r>
    </w:p>
    <w:p>
      <w:pPr>
        <w:spacing w:before="20" w:after="20"/>
        <w:ind w:left="227" w:right="170"/>
        <w:jc w:val="both"/>
        <w:pBdr>
          <w:left w:val="single" w:sz="24" w:space="6" w:color="2E75B6"/>
        </w:pBdr>
        <w:shd w:val="clear" w:color="auto" w:fill="EBF3FB"/>
      </w:pPr>
      <w:r>
        <w:rPr>
          <w:rFonts w:ascii="Calibri" w:hAnsi="Calibri"/>
          <w:b w:val="0"/>
          <w:i w:val="0"/>
          <w:sz w:val="20"/>
        </w:rPr>
        <w:t>› Quando um dado disciplinar/correcional pode/deve ser publicizado — e quando isso caracteriza exposição irregular?</w:t>
      </w:r>
    </w:p>
    <w:p>
      <w:pPr>
        <w:spacing w:before="20" w:after="20"/>
        <w:ind w:left="227" w:right="170"/>
        <w:jc w:val="both"/>
        <w:pBdr>
          <w:left w:val="single" w:sz="24" w:space="6" w:color="2E75B6"/>
        </w:pBdr>
        <w:shd w:val="clear" w:color="auto" w:fill="EBF3FB"/>
      </w:pPr>
      <w:r>
        <w:rPr>
          <w:rFonts w:ascii="Calibri" w:hAnsi="Calibri"/>
          <w:b w:val="0"/>
          <w:i w:val="0"/>
          <w:sz w:val="20"/>
        </w:rPr>
        <w:t>› Como garantir que o tratamento de dados pessoais está sendo feito de forma legítima no âmbito disciplinar?</w:t>
      </w:r>
    </w:p>
    <w:p>
      <w:pPr>
        <w:spacing w:after="60"/>
      </w:pPr>
    </w:p>
    <w:p>
      <w:r>
        <w:br w:type="page"/>
      </w:r>
    </w:p>
    <w:p>
      <w:pPr>
        <w:spacing w:before="0" w:after="280"/>
      </w:pPr>
      <w:r>
        <w:rPr>
          <w:rFonts w:ascii="Arial Narrow" w:hAnsi="Arial Narrow"/>
          <w:b/>
          <w:color w:val="1E3A5F"/>
          <w:sz w:val="36"/>
        </w:rPr>
        <w:t>SUMÁRIO</w:t>
      </w:r>
    </w:p>
    <w:p>
      <w:pPr>
        <w:spacing w:before="0" w:after="200"/>
      </w:pPr>
      <w:r>
        <w:fldChar w:fldCharType="begin"/>
        <w:instrText xml:space="preserve"> TOC \o "1-2" \h \z \u </w:instrText>
        <w:fldChar w:fldCharType="separate"/>
        <w:t>Clique com o botão direito → Atualizar campo para ver o sumário com páginas.</w:t>
        <w:fldChar w:fldCharType="end"/>
      </w:r>
    </w:p>
    <w:p>
      <w:pPr>
        <w:spacing w:before="120" w:after="120"/>
        <w:pBdr>
          <w:bottom w:val="single" w:sz="4" w:space="1" w:color="BFA040"/>
        </w:pBdr>
      </w:pPr>
    </w:p>
    <w:p>
      <w:r>
        <w:br w:type="page"/>
      </w:r>
    </w:p>
    <w:p>
      <w:pPr>
        <w:pStyle w:val="Heading2"/>
        <w:spacing w:before="240" w:after="100"/>
        <w:pBdr>
          <w:left w:val="single" w:sz="18" w:space="6" w:color="BFA040"/>
        </w:pBdr>
      </w:pPr>
      <w:r>
        <w:rPr>
          <w:rFonts w:ascii="Arial Narrow" w:hAnsi="Arial Narrow"/>
          <w:b/>
          <w:color w:val="1E3A5F"/>
          <w:sz w:val="26"/>
        </w:rPr>
        <w:t>Apresentação</w:t>
      </w:r>
    </w:p>
    <w:p>
      <w:pPr>
        <w:spacing w:after="100" w:line="280" w:lineRule="exact"/>
        <w:jc w:val="both"/>
      </w:pPr>
      <w:r>
        <w:rPr>
          <w:rFonts w:ascii="Calibri" w:hAnsi="Calibri"/>
          <w:b w:val="0"/>
          <w:i w:val="0"/>
          <w:sz w:val="22"/>
        </w:rPr>
        <w:t xml:space="preserve">O conteúdo desta apostila foi elaborado a partir dos slides e dos ensinamentos transmitidos pela Procuradora da Fazenda Nacional </w:t>
      </w:r>
      <w:r>
        <w:rPr>
          <w:rFonts w:ascii="Calibri" w:hAnsi="Calibri"/>
          <w:b/>
          <w:i w:val="0"/>
          <w:sz w:val="22"/>
        </w:rPr>
        <w:t>Danielly Gontijo</w:t>
      </w:r>
      <w:r>
        <w:rPr>
          <w:rFonts w:ascii="Calibri" w:hAnsi="Calibri"/>
          <w:b w:val="0"/>
          <w:i w:val="0"/>
          <w:sz w:val="22"/>
        </w:rPr>
        <w:t xml:space="preserve"> no treinamento "Acesso à Informação e Proteção de Dados Pessoais no Âmbito Disciplinar", oferecido à Corregedoria da Receita Federal do Brasil em 2026. Não se trata de uma reprodução literal do material da palestra, mas de uma redação organizada a partir dele, com o objetivo de transformar os ensinamentos transmitidos em um material de consulta escrito, próprio para servir à rotina dos servidores da Corregedoria.</w:t>
      </w:r>
    </w:p>
    <w:p>
      <w:pPr>
        <w:spacing w:after="100" w:line="280" w:lineRule="exact"/>
        <w:jc w:val="both"/>
      </w:pPr>
      <w:r>
        <w:rPr>
          <w:rFonts w:ascii="Calibri" w:hAnsi="Calibri"/>
          <w:b w:val="0"/>
          <w:i w:val="0"/>
          <w:sz w:val="22"/>
        </w:rPr>
        <w:t>A clareza didática, o rigor técnico e a sensibilidade com que a Professora Danielly tratou temas tão delicados — da fundamentação teórica da LGPD e da LAI até as cautelas concretas de proteção a vítimas de assédio, passando pelo equilíbrio sempre tenso entre transparência e privacidade — são a linha condutora que esta apostila buscou preservar fielmente, ainda que adaptada à forma escrita e organizada por capítulos.</w:t>
      </w:r>
    </w:p>
    <w:p>
      <w:pPr>
        <w:spacing w:after="100" w:line="280" w:lineRule="exact"/>
        <w:jc w:val="both"/>
      </w:pPr>
      <w:r>
        <w:rPr>
          <w:rFonts w:ascii="Calibri" w:hAnsi="Calibri"/>
          <w:b w:val="0"/>
          <w:i w:val="0"/>
          <w:sz w:val="22"/>
        </w:rPr>
        <w:t xml:space="preserve">Esta versão preserva, em sua totalidade, o conteúdo dessa apostila, somando a ele seções, tabelas e exemplos adicionais, elaborados a partir do cruzamento com a </w:t>
      </w:r>
      <w:r>
        <w:rPr>
          <w:rFonts w:ascii="Calibri" w:hAnsi="Calibri"/>
          <w:b/>
          <w:i w:val="0"/>
          <w:sz w:val="22"/>
        </w:rPr>
        <w:t>Portaria Normativa CGU nº 27/2022</w:t>
      </w:r>
      <w:r>
        <w:rPr>
          <w:rFonts w:ascii="Calibri" w:hAnsi="Calibri"/>
          <w:b w:val="0"/>
          <w:i w:val="0"/>
          <w:sz w:val="22"/>
        </w:rPr>
        <w:t xml:space="preserve"> — a norma que efetivamente rege o dia a dia da unidade de correição — e com outras fontes técnicas pertinentes. O objetivo dessas adições é aproximar os conceitos teóricos transmitidos pela Professora Danielly da rotina concreta de quem instaura, conduz e responde a pedidos de acesso relativos a procedimentos investigativos e processos correcionais. Essas adições são de responsabilidade exclusiva de quem organizou esta versão — não da Professora Danielly — e, em caso de qualquer dúvida de interpretação, prevalecem sempre os ensinamentos originais dela e o material da palestra.</w:t>
      </w:r>
    </w:p>
    <w:p>
      <w:pPr>
        <w:spacing w:before="120" w:after="120"/>
        <w:pBdr>
          <w:bottom w:val="single" w:sz="4" w:space="1" w:color="BFA040"/>
        </w:pBdr>
      </w:pPr>
    </w:p>
    <w:p>
      <w:r>
        <w:br w:type="page"/>
      </w:r>
    </w:p>
    <w:p>
      <w:pPr>
        <w:spacing w:before="80" w:after="0"/>
      </w:pPr>
      <w:r>
        <w:rPr>
          <w:rFonts w:ascii="Arial Narrow" w:hAnsi="Arial Narrow"/>
          <w:b/>
          <w:color w:val="BFA040"/>
          <w:sz w:val="18"/>
        </w:rPr>
        <w:t>CAPÍTULO 1</w:t>
      </w:r>
    </w:p>
    <w:p>
      <w:pPr>
        <w:pStyle w:val="Heading1"/>
        <w:spacing w:before="40" w:after="240"/>
      </w:pPr>
      <w:r>
        <w:rPr>
          <w:rFonts w:ascii="Arial Narrow" w:hAnsi="Arial Narrow"/>
          <w:b/>
          <w:color w:val="1E3A5F"/>
          <w:sz w:val="40"/>
        </w:rPr>
        <w:t>Proteção de Dados Pessoais — Conceitos Essenciais</w:t>
      </w:r>
    </w:p>
    <w:p>
      <w:pPr>
        <w:spacing w:before="0" w:after="200"/>
        <w:pBdr>
          <w:bottom w:val="single" w:sz="8" w:space="1" w:color="BFA040"/>
        </w:pBdr>
      </w:pPr>
    </w:p>
    <w:p>
      <w:pPr>
        <w:pStyle w:val="Heading2"/>
        <w:spacing w:before="240" w:after="100"/>
        <w:pBdr>
          <w:left w:val="single" w:sz="18" w:space="6" w:color="BFA040"/>
        </w:pBdr>
      </w:pPr>
      <w:r>
        <w:rPr>
          <w:rFonts w:ascii="Arial Narrow" w:hAnsi="Arial Narrow"/>
          <w:b/>
          <w:color w:val="1E3A5F"/>
          <w:sz w:val="26"/>
        </w:rPr>
        <w:t>1.1 O que são dados pessoais</w:t>
      </w:r>
    </w:p>
    <w:p>
      <w:pPr>
        <w:spacing w:after="100" w:line="280" w:lineRule="exact"/>
        <w:jc w:val="both"/>
      </w:pPr>
      <w:r>
        <w:rPr>
          <w:rFonts w:ascii="Calibri" w:hAnsi="Calibri"/>
          <w:b w:val="0"/>
          <w:i w:val="0"/>
          <w:sz w:val="22"/>
        </w:rPr>
        <w:t xml:space="preserve">Dado pessoal é </w:t>
      </w:r>
      <w:r>
        <w:rPr>
          <w:rFonts w:ascii="Calibri" w:hAnsi="Calibri"/>
          <w:b/>
          <w:i w:val="0"/>
          <w:sz w:val="22"/>
        </w:rPr>
        <w:t>toda e qualquer informação que, sozinha ou agregada com outras, permite identificar uma pessoa natural</w:t>
      </w:r>
      <w:r>
        <w:rPr>
          <w:rFonts w:ascii="Calibri" w:hAnsi="Calibri"/>
          <w:b w:val="0"/>
          <w:i w:val="0"/>
          <w:sz w:val="22"/>
        </w:rPr>
        <w:t xml:space="preserve">. O elemento central é a </w:t>
      </w:r>
      <w:r>
        <w:rPr>
          <w:rFonts w:ascii="Calibri" w:hAnsi="Calibri"/>
          <w:b w:val="0"/>
          <w:i/>
          <w:sz w:val="22"/>
        </w:rPr>
        <w:t>identificabilidade</w:t>
      </w:r>
      <w:r>
        <w:rPr>
          <w:rFonts w:ascii="Calibri" w:hAnsi="Calibri"/>
          <w:b w:val="0"/>
          <w:i w:val="0"/>
          <w:sz w:val="22"/>
        </w:rPr>
        <w:t xml:space="preserve"> — não é necessário que a informação identifique a pessoa de forma direta e imediata; basta que, combinada com outros dados disponíveis, torne a identificação possível.</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CONCEITO  </w:t>
      </w:r>
      <w:r>
        <w:rPr>
          <w:rFonts w:ascii="Calibri" w:hAnsi="Calibri"/>
          <w:b w:val="0"/>
          <w:i w:val="0"/>
          <w:sz w:val="20"/>
        </w:rPr>
        <w:t>Dado pessoal ≠ dado privado. Informação pode ser pública e ainda assim ser dado pessoal (ex.: nome completo publicado em portaria). O critério não é a esfera em que a informação circula, mas sua capacidade de identificar o titular.</w:t>
      </w:r>
    </w:p>
    <w:p>
      <w:pPr>
        <w:spacing w:after="60"/>
      </w:pPr>
    </w:p>
    <w:p>
      <w:pPr>
        <w:spacing w:after="100" w:line="280" w:lineRule="exact"/>
        <w:jc w:val="both"/>
      </w:pPr>
      <w:r>
        <w:rPr>
          <w:rFonts w:ascii="Calibri" w:hAnsi="Calibri"/>
          <w:b w:val="0"/>
          <w:i w:val="0"/>
          <w:sz w:val="22"/>
        </w:rPr>
        <w:t>Exemplos de dados pessoais: nome completo, data e local de nascimento, CPF, RG, endereço, e-mail, telefone, matrícula funcional, endereço IP, dados bancários, registros de frequência, cargo e lotação.</w:t>
      </w:r>
    </w:p>
    <w:p>
      <w:pPr>
        <w:pStyle w:val="Heading3"/>
        <w:spacing w:before="160" w:after="60"/>
      </w:pPr>
      <w:r>
        <w:rPr>
          <w:rFonts w:ascii="Calibri" w:hAnsi="Calibri"/>
          <w:b/>
          <w:color w:val="1E3A5F"/>
          <w:sz w:val="22"/>
        </w:rPr>
        <w:t>Dados pessoais mais comuns nos autos correcionais</w:t>
      </w:r>
    </w:p>
    <w:p>
      <w:pPr>
        <w:spacing w:after="100" w:line="280" w:lineRule="exact"/>
        <w:jc w:val="both"/>
      </w:pPr>
      <w:r>
        <w:rPr>
          <w:rFonts w:ascii="Calibri" w:hAnsi="Calibri"/>
          <w:b w:val="0"/>
          <w:i w:val="0"/>
          <w:sz w:val="22"/>
        </w:rPr>
        <w:t>Tabela de referência rápida para identificar, nos diferentes procedimentos e processos previstos na Portaria Normativa CGU nº 27/2022, qual dado pessoal tende a aparecer e em que documento ele normalmente é encontrado.</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Dado</w:t>
            </w:r>
          </w:p>
        </w:tc>
        <w:tc>
          <w:tcPr>
            <w:tcW w:type="dxa" w:w="2268"/>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Sensível?</w:t>
            </w:r>
          </w:p>
        </w:tc>
        <w:tc>
          <w:tcPr>
            <w:tcW w:type="dxa" w:w="2268"/>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Onde costuma aparecer</w:t>
            </w:r>
          </w:p>
        </w:tc>
        <w:tc>
          <w:tcPr>
            <w:tcW w:type="dxa" w:w="2268"/>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Observação prática</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completo, CPF, matrícula/SIAPE</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sensível</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Toda portaria de instauração (IPS, SINVE, SINPA, IP, SINAC, PAD, PAR)</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Identificação mínima; ver tratamento de tarjamento no Capítulo 6</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Cargo, lotação, função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sensível</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Portarias, relatórios, termos de oitiva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Vinculado ao exercício da função pública</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Endereço residencial, e-mail/telefone pessoal</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sensível, mas de vida privada</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Cadastros funcionais, termos de qualificação de testemunha (art. 98, §4º, Portaria 27/2022)</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devem constar nos autos quando irrelevantes à apuração</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bancários, fiscais e patrimoniais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sensível, mas sob sigilo legal específico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SINPA (art. 53 e 54, Portaria 27/2022); diligências de evolução patrimonial</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Sigilo bancário (LC 105/2001) e fiscal (art. 198 CTN); ver art. 121 da Portaria 27/2022</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Conteúdo de oitivas e depoimentos</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Pode conter dados sensíveis embutidos</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Termos de depoimento, gravações audiovisuais (art. 106 a 111, Portaria 27/2022)</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Tratar a gravação com as mesmas cautelas do documento escrito</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de saúde (atestados, CID, laudos)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Sensível</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Pedidos de afastamento, justificativas de ausência, processos de assédio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Regra geral: não divulgar a terceiros (ver Capítulo 6)</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biométricos / reconhecimento facial</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Sensível</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Login em sistemas correcionais, videoconferências de oitiva</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Ver cautelas específicas no item 6.5</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Opinião política, convicção religiosa, vida sexual</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Sensível</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Eventualmente em denúncias de discriminação ou assédio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Exige base legal específica do art. 11 da LGPD</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Identidade do denunciante</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pessoal protegido por norma específica</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Canal de ouvidoria, Fala.BR</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Decreto nº 10.153/2019 — proteção independe de consentimento (ver art. 36, Portaria 27/2022)</w:t>
            </w:r>
          </w:p>
        </w:tc>
      </w:tr>
    </w:tbl>
    <w:p>
      <w:pPr>
        <w:spacing w:after="80"/>
      </w:pPr>
    </w:p>
    <w:p>
      <w:pPr>
        <w:pStyle w:val="Heading3"/>
        <w:spacing w:before="160" w:after="60"/>
      </w:pPr>
      <w:r>
        <w:rPr>
          <w:rFonts w:ascii="Calibri" w:hAnsi="Calibri"/>
          <w:b/>
          <w:color w:val="1E3A5F"/>
          <w:sz w:val="22"/>
        </w:rPr>
        <w:t>Dados pessoais sensíveis</w:t>
      </w:r>
    </w:p>
    <w:p>
      <w:pPr>
        <w:spacing w:after="100" w:line="280" w:lineRule="exact"/>
        <w:jc w:val="both"/>
      </w:pPr>
      <w:r>
        <w:rPr>
          <w:rFonts w:ascii="Calibri" w:hAnsi="Calibri"/>
          <w:b w:val="0"/>
          <w:i w:val="0"/>
          <w:sz w:val="22"/>
        </w:rPr>
        <w:t xml:space="preserve">A LGPD (art. 5º, II) define uma categoria especial de dados pessoais com </w:t>
      </w:r>
      <w:r>
        <w:rPr>
          <w:rFonts w:ascii="Calibri" w:hAnsi="Calibri"/>
          <w:b/>
          <w:i w:val="0"/>
          <w:sz w:val="22"/>
        </w:rPr>
        <w:t>regime jurídico mais restritivo</w:t>
      </w:r>
      <w:r>
        <w:rPr>
          <w:rFonts w:ascii="Calibri" w:hAnsi="Calibri"/>
          <w:b w:val="0"/>
          <w:i w:val="0"/>
          <w:sz w:val="22"/>
        </w:rPr>
        <w:t>, em razão de seu elevado potencial discriminatório:</w:t>
      </w:r>
    </w:p>
    <w:p>
      <w:pPr>
        <w:spacing w:after="60" w:line="270" w:lineRule="exact"/>
        <w:ind w:left="397"/>
        <w:jc w:val="both"/>
      </w:pPr>
      <w:r>
        <w:rPr>
          <w:rFonts w:ascii="Calibri" w:hAnsi="Calibri"/>
          <w:sz w:val="22"/>
        </w:rPr>
        <w:t xml:space="preserve">— </w:t>
      </w:r>
      <w:r>
        <w:rPr>
          <w:rFonts w:ascii="Calibri" w:hAnsi="Calibri"/>
          <w:b w:val="0"/>
          <w:i w:val="0"/>
          <w:sz w:val="22"/>
        </w:rPr>
        <w:t>Origem racial ou étnica</w:t>
      </w:r>
    </w:p>
    <w:p>
      <w:pPr>
        <w:spacing w:after="60" w:line="270" w:lineRule="exact"/>
        <w:ind w:left="397"/>
        <w:jc w:val="both"/>
      </w:pPr>
      <w:r>
        <w:rPr>
          <w:rFonts w:ascii="Calibri" w:hAnsi="Calibri"/>
          <w:sz w:val="22"/>
        </w:rPr>
        <w:t xml:space="preserve">— </w:t>
      </w:r>
      <w:r>
        <w:rPr>
          <w:rFonts w:ascii="Calibri" w:hAnsi="Calibri"/>
          <w:b w:val="0"/>
          <w:i w:val="0"/>
          <w:sz w:val="22"/>
        </w:rPr>
        <w:t>Convicção religiosa</w:t>
      </w:r>
    </w:p>
    <w:p>
      <w:pPr>
        <w:spacing w:after="60" w:line="270" w:lineRule="exact"/>
        <w:ind w:left="397"/>
        <w:jc w:val="both"/>
      </w:pPr>
      <w:r>
        <w:rPr>
          <w:rFonts w:ascii="Calibri" w:hAnsi="Calibri"/>
          <w:sz w:val="22"/>
        </w:rPr>
        <w:t xml:space="preserve">— </w:t>
      </w:r>
      <w:r>
        <w:rPr>
          <w:rFonts w:ascii="Calibri" w:hAnsi="Calibri"/>
          <w:b w:val="0"/>
          <w:i w:val="0"/>
          <w:sz w:val="22"/>
        </w:rPr>
        <w:t>Opinião política</w:t>
      </w:r>
    </w:p>
    <w:p>
      <w:pPr>
        <w:spacing w:after="60" w:line="270" w:lineRule="exact"/>
        <w:ind w:left="397"/>
        <w:jc w:val="both"/>
      </w:pPr>
      <w:r>
        <w:rPr>
          <w:rFonts w:ascii="Calibri" w:hAnsi="Calibri"/>
          <w:sz w:val="22"/>
        </w:rPr>
        <w:t xml:space="preserve">— </w:t>
      </w:r>
      <w:r>
        <w:rPr>
          <w:rFonts w:ascii="Calibri" w:hAnsi="Calibri"/>
          <w:b w:val="0"/>
          <w:i w:val="0"/>
          <w:sz w:val="22"/>
        </w:rPr>
        <w:t>Filiação a sindicato ou organização religiosa, filosófica ou política</w:t>
      </w:r>
    </w:p>
    <w:p>
      <w:pPr>
        <w:spacing w:after="60" w:line="270" w:lineRule="exact"/>
        <w:ind w:left="397"/>
        <w:jc w:val="both"/>
      </w:pPr>
      <w:r>
        <w:rPr>
          <w:rFonts w:ascii="Calibri" w:hAnsi="Calibri"/>
          <w:sz w:val="22"/>
        </w:rPr>
        <w:t xml:space="preserve">— </w:t>
      </w:r>
      <w:r>
        <w:rPr>
          <w:rFonts w:ascii="Calibri" w:hAnsi="Calibri"/>
          <w:b w:val="0"/>
          <w:i w:val="0"/>
          <w:sz w:val="22"/>
        </w:rPr>
        <w:t>Dados referentes à saúde ou à vida sexual</w:t>
      </w:r>
    </w:p>
    <w:p>
      <w:pPr>
        <w:spacing w:after="60" w:line="270" w:lineRule="exact"/>
        <w:ind w:left="397"/>
        <w:jc w:val="both"/>
      </w:pPr>
      <w:r>
        <w:rPr>
          <w:rFonts w:ascii="Calibri" w:hAnsi="Calibri"/>
          <w:sz w:val="22"/>
        </w:rPr>
        <w:t xml:space="preserve">— </w:t>
      </w:r>
      <w:r>
        <w:rPr>
          <w:rFonts w:ascii="Calibri" w:hAnsi="Calibri"/>
          <w:b w:val="0"/>
          <w:i w:val="0"/>
          <w:sz w:val="22"/>
        </w:rPr>
        <w:t>Dados genéticos ou biométricos (quando vinculados a uma pessoa natural)</w:t>
      </w: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w:t>
      </w:r>
      <w:r>
        <w:rPr>
          <w:rFonts w:ascii="Calibri" w:hAnsi="Calibri"/>
          <w:b w:val="0"/>
          <w:i w:val="0"/>
          <w:sz w:val="20"/>
        </w:rPr>
        <w:t>O tratamento de dados sensíveis não é proibido, mas depende de hipóteses específicas e maior cautela jurídica.</w:t>
      </w:r>
    </w:p>
    <w:p>
      <w:pPr>
        <w:spacing w:after="60"/>
      </w:pPr>
    </w:p>
    <w:p>
      <w:pPr>
        <w:pStyle w:val="Heading2"/>
        <w:spacing w:before="240" w:after="100"/>
        <w:pBdr>
          <w:left w:val="single" w:sz="18" w:space="6" w:color="BFA040"/>
        </w:pBdr>
      </w:pPr>
      <w:r>
        <w:rPr>
          <w:rFonts w:ascii="Arial Narrow" w:hAnsi="Arial Narrow"/>
          <w:b/>
          <w:color w:val="1E3A5F"/>
          <w:sz w:val="26"/>
        </w:rPr>
        <w:t>1.2 Tratamento de dados pessoais</w:t>
      </w:r>
    </w:p>
    <w:p>
      <w:pPr>
        <w:spacing w:after="100" w:line="280" w:lineRule="exact"/>
        <w:jc w:val="both"/>
      </w:pPr>
      <w:r>
        <w:rPr>
          <w:rFonts w:ascii="Calibri" w:hAnsi="Calibri"/>
          <w:b w:val="0"/>
          <w:i w:val="0"/>
          <w:sz w:val="22"/>
        </w:rPr>
        <w:t xml:space="preserve">Tratamento é </w:t>
      </w:r>
      <w:r>
        <w:rPr>
          <w:rFonts w:ascii="Calibri" w:hAnsi="Calibri"/>
          <w:b/>
          <w:i w:val="0"/>
          <w:sz w:val="22"/>
        </w:rPr>
        <w:t>qualquer operação realizada sobre dados pessoais</w:t>
      </w:r>
      <w:r>
        <w:rPr>
          <w:rFonts w:ascii="Calibri" w:hAnsi="Calibri"/>
          <w:b w:val="0"/>
          <w:i w:val="0"/>
          <w:sz w:val="22"/>
        </w:rPr>
        <w:t>, por meios automatizados ou não — da coleta à eliminação. A definição abrange: coleta, produção, recepção, classificação, utilização, acesso, reprodução, transmissão, distribuição, processamento, arquivamento, armazenamento, eliminação, avaliação, controle, modificação, comunicação, transferência, difusão ou extração.</w:t>
      </w:r>
    </w:p>
    <w:p>
      <w:pPr>
        <w:spacing w:after="100" w:line="280" w:lineRule="exact"/>
        <w:jc w:val="both"/>
      </w:pPr>
      <w:r>
        <w:rPr>
          <w:rFonts w:ascii="Calibri" w:hAnsi="Calibri"/>
          <w:b w:val="0"/>
          <w:i w:val="0"/>
          <w:sz w:val="22"/>
        </w:rPr>
        <w:t>A tecnologia permite o tratamento automatizado de dados pessoais muitas vezes sem o conhecimento do titular. As regras da LGPD se aplicam a todas essas operações — automatizadas ou não.</w:t>
      </w:r>
    </w:p>
    <w:p>
      <w:pPr>
        <w:pStyle w:val="Heading3"/>
        <w:spacing w:before="160" w:after="60"/>
      </w:pPr>
      <w:r>
        <w:rPr>
          <w:rFonts w:ascii="Calibri" w:hAnsi="Calibri"/>
          <w:b/>
          <w:color w:val="1E3A5F"/>
          <w:sz w:val="22"/>
        </w:rPr>
        <w:t>O ciclo de tratamento de dados na atividade correcional</w:t>
      </w:r>
    </w:p>
    <w:p>
      <w:pPr>
        <w:spacing w:after="100" w:line="280" w:lineRule="exact"/>
        <w:jc w:val="both"/>
      </w:pPr>
      <w:r>
        <w:rPr>
          <w:rFonts w:ascii="Calibri" w:hAnsi="Calibri"/>
          <w:b w:val="0"/>
          <w:i w:val="0"/>
          <w:sz w:val="22"/>
        </w:rPr>
        <w:t xml:space="preserve">Cada uma das operações de tratamento previstas no art. 5º, X, da LGPD corresponde a um ato concreto já regulado na Portaria Normativa CGU nº 27/2022. Reconhecer essa correspondência ajuda o servidor a identificar, em qualquer fase do processo, </w:t>
      </w:r>
      <w:r>
        <w:rPr>
          <w:rFonts w:ascii="Calibri" w:hAnsi="Calibri"/>
          <w:b/>
          <w:i w:val="0"/>
          <w:sz w:val="22"/>
        </w:rPr>
        <w:t>qual operação de tratamento está em curso</w:t>
      </w:r>
      <w:r>
        <w:rPr>
          <w:rFonts w:ascii="Calibri" w:hAnsi="Calibri"/>
          <w:b w:val="0"/>
          <w:i w:val="0"/>
          <w:sz w:val="22"/>
        </w:rPr>
        <w:t xml:space="preserve"> — e, portanto, qual cautela se aplica.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Operação de tratamento (LGPD)</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Ato correspondente na rotina correcional</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Base na Portaria 27/2022</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Coleta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Recebimento de denúncia, relato ou representação pela ouvidoria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35 e 36</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Produção / Classificação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Juízo de admissibilidade; triagem do tipo de procedimento cabível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37 e 38</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Recepção / Acesso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Requisição de informações a outras áreas do órgão (prazo de 20 dias)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5º, parágrafo único</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Utilização / Processamento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Instrução do procedimento investigativo ou processo correcional (diligências, oitivas)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42, 47, 53, 119</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Armazenamento / Arquivamento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Autuação e tramitação nos sistemas correcionais de uso obrigatório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30 a 32</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Comunicação / Transferência</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Compartilhamento com MPF, TCU, CGU, Receita Federal, COAF e AGU em caso de indícios de enriquecimento ilícito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56</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Avaliação / Controle</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Avaliação e Acompanhamento da Gestão Correcional; CRG-MM</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25 a 29</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Eliminação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Conclusão definitiva e regime de retenção/registro de sanções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30, V; art. 115</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Difusão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Transparência ativa (após julgamento, quando houver sanção)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33; Cap. 5 desta apostila</w:t>
            </w:r>
          </w:p>
        </w:tc>
      </w:tr>
    </w:tbl>
    <w:p>
      <w:pPr>
        <w:spacing w:after="80"/>
      </w:pPr>
    </w:p>
    <w:p>
      <w:pPr>
        <w:spacing w:before="100" w:after="20"/>
        <w:ind w:left="227" w:right="170"/>
        <w:jc w:val="both"/>
        <w:pBdr>
          <w:left w:val="single" w:sz="24" w:space="6" w:color="707070"/>
        </w:pBdr>
        <w:shd w:val="clear" w:color="auto" w:fill="F4F4F4"/>
      </w:pPr>
      <w:r>
        <w:rPr>
          <w:rFonts w:ascii="Arial Narrow" w:hAnsi="Arial Narrow"/>
          <w:b/>
          <w:color w:val="707070"/>
          <w:sz w:val="18"/>
        </w:rPr>
        <w:t xml:space="preserve">APLICAÇÃO PRÁTICA — Portaria CGU 27/2022, art. 116  </w:t>
      </w:r>
      <w:r>
        <w:rPr>
          <w:rFonts w:ascii="Calibri" w:hAnsi="Calibri"/>
          <w:b w:val="0"/>
          <w:i/>
          <w:sz w:val="20"/>
        </w:rPr>
        <w:t>"Nos procedimentos investigativos, no TAC e nos processos correcionais, os dados pessoais necessários à devida instrução probatória serão tratados em consonância com os princípios estabelecidos no art. 6º da Lei nº 13.709, de 14 de agosto de 2018."</w:t>
      </w:r>
      <w:r>
        <w:rPr>
          <w:rFonts w:ascii="Calibri" w:hAnsi="Calibri"/>
          <w:b w:val="0"/>
          <w:i w:val="0"/>
          <w:sz w:val="20"/>
        </w:rPr>
        <w:t xml:space="preserve"> O parágrafo único do mesmo artigo é igualmente importante: </w:t>
      </w:r>
      <w:r>
        <w:rPr>
          <w:rFonts w:ascii="Calibri" w:hAnsi="Calibri"/>
          <w:b/>
          <w:i w:val="0"/>
          <w:sz w:val="20"/>
        </w:rPr>
        <w:t>o tratamento de dados a que se refere o caput independe do consentimento do titular.</w:t>
      </w:r>
      <w:r>
        <w:rPr>
          <w:rFonts w:ascii="Calibri" w:hAnsi="Calibri"/>
          <w:b w:val="0"/>
          <w:i w:val="0"/>
          <w:sz w:val="20"/>
        </w:rPr>
        <w:t xml:space="preserve"> Ou seja: a base legal do tratamento de dados pessoais dentro de um procedimento investigativo ou processo correcional não é o consentimento do investigado — é o cumprimento de obrigação legal e o exercício de competência legal da unidade de correição (art. 7º, II, e art. 23 da LGPD, já tratados no Capítulo 2 desta apostila). O servidor não precisa (e não deve) buscar "autorização" do investigado para tratar seus dados nos autos; precisa, isso sim, observar os princípios do art. 6º da LGPD (finalidade, adequação, necessidade, entre outros).</w:t>
      </w:r>
    </w:p>
    <w:p>
      <w:pPr>
        <w:spacing w:after="60"/>
      </w:pPr>
    </w:p>
    <w:p>
      <w:pPr>
        <w:pStyle w:val="Heading2"/>
        <w:spacing w:before="240" w:after="100"/>
        <w:pBdr>
          <w:left w:val="single" w:sz="18" w:space="6" w:color="BFA040"/>
        </w:pBdr>
      </w:pPr>
      <w:r>
        <w:rPr>
          <w:rFonts w:ascii="Arial Narrow" w:hAnsi="Arial Narrow"/>
          <w:b/>
          <w:color w:val="1E3A5F"/>
          <w:sz w:val="26"/>
        </w:rPr>
        <w:t>1.3 Anonimização e Pseudoanonimização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Técnica</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Definição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Efeito jurídico</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Anonimização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Utilização de meios técnicos razoáveis pelos quais o dado perde a possibilidade de associação, direta ou indireta, a um indivíduo.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anonimizado não é dado pessoal para fins da LGPD — salvo se o processo puder ser revertido.</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Pseudoanonimização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O dado deixa de identificar imediatamente o titular, mas pode ser reidentificado mediante informação adicional mantida separadamente, em ambiente controlado.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equivale à anonimização — o dado continua sendo dado pessoal.</w:t>
            </w:r>
          </w:p>
        </w:tc>
      </w:tr>
    </w:tbl>
    <w:p>
      <w:pPr>
        <w:spacing w:after="80"/>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w:t>
      </w:r>
      <w:r>
        <w:rPr>
          <w:rFonts w:ascii="Calibri" w:hAnsi="Calibri"/>
          <w:b w:val="0"/>
          <w:i w:val="0"/>
          <w:sz w:val="20"/>
        </w:rPr>
        <w:t>Tarjar apenas o nome não é necessariamente anonimizar, se for possível identificar o titular por outros elementos presentes no documento.</w:t>
      </w:r>
    </w:p>
    <w:p>
      <w:pPr>
        <w:spacing w:after="60"/>
      </w:pPr>
    </w:p>
    <w:p>
      <w:pPr>
        <w:pStyle w:val="Heading3"/>
        <w:spacing w:before="160" w:after="60"/>
      </w:pPr>
      <w:r>
        <w:rPr>
          <w:rFonts w:ascii="Calibri" w:hAnsi="Calibri"/>
          <w:b/>
          <w:color w:val="1E3A5F"/>
          <w:sz w:val="22"/>
        </w:rPr>
        <w:t>Onde a Corregedoria já aplica essas técnicas na prática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Situação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Técnica aplicada</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Fundamento</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Identidade do denunciante</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Pseudoanonimização (a CGU mantém a informação, mas com acesso controlado)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Decreto nº 10.153/2019; art. 36 da Portaria 27/2022</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Decisão de arquivamento de IP/IPS divulgada a terceiros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Pseudoanonimização parcial (uso de número de processo + seis dígitos centrais do CPF)</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NT nº 2418/2023/CGUNE/DICOR/CRG</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Relatório final que cita documento sigiloso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 xml:space="preserve">Técnica de </w:t>
            </w:r>
            <w:r>
              <w:rPr>
                <w:rFonts w:ascii="Calibri" w:hAnsi="Calibri"/>
                <w:b/>
                <w:i w:val="0"/>
                <w:sz w:val="19"/>
              </w:rPr>
              <w:t>referência sem reprodução</w:t>
            </w:r>
            <w:r>
              <w:rPr>
                <w:rFonts w:ascii="Calibri" w:hAnsi="Calibri"/>
                <w:b w:val="0"/>
                <w:i w:val="0"/>
                <w:sz w:val="19"/>
              </w:rPr>
              <w:t xml:space="preserve"> — não é nem anonimização nem pseudoanonimização propriamente ditas, mas cumpre a mesma função protetiva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 xml:space="preserve">Art. 113, III, da Portaria 27/2022: </w:t>
            </w:r>
            <w:r>
              <w:rPr>
                <w:rFonts w:ascii="Calibri" w:hAnsi="Calibri"/>
                <w:b w:val="0"/>
                <w:i/>
                <w:sz w:val="19"/>
              </w:rPr>
              <w:t>"os relatórios e os termos produzidos no curso da investigação farão apenas referência aos documentos que possuam natureza sigilosa ou restrita, sem a reprodução da informação de acesso restrito"</w:t>
            </w:r>
          </w:p>
        </w:tc>
      </w:tr>
    </w:tbl>
    <w:p>
      <w:pPr>
        <w:spacing w:after="80"/>
      </w:pPr>
    </w:p>
    <w:p>
      <w:pPr>
        <w:spacing w:before="100" w:after="20"/>
        <w:ind w:left="227" w:right="170"/>
        <w:jc w:val="both"/>
        <w:pBdr>
          <w:left w:val="single" w:sz="24" w:space="6" w:color="C00000"/>
        </w:pBdr>
        <w:shd w:val="clear" w:color="auto" w:fill="FDE8E8"/>
      </w:pPr>
      <w:r>
        <w:rPr>
          <w:rFonts w:ascii="Arial Narrow" w:hAnsi="Arial Narrow"/>
          <w:b/>
          <w:color w:val="C00000"/>
          <w:sz w:val="18"/>
        </w:rPr>
        <w:t xml:space="preserve">ERRO COMUM A EVITAR  </w:t>
      </w:r>
      <w:r>
        <w:rPr>
          <w:rFonts w:ascii="Calibri" w:hAnsi="Calibri"/>
          <w:b w:val="0"/>
          <w:i w:val="0"/>
          <w:sz w:val="20"/>
        </w:rPr>
        <w:t xml:space="preserve">A técnica do art. 113, III, da Portaria 27/2022 (referenciar sem reproduzir) é frequentemente confundida com simples tarjamento. Na prática, ela é mais ampla: significa que o </w:t>
      </w:r>
      <w:r>
        <w:rPr>
          <w:rFonts w:ascii="Calibri" w:hAnsi="Calibri"/>
          <w:b/>
          <w:i w:val="0"/>
          <w:sz w:val="20"/>
        </w:rPr>
        <w:t>relator não deve copiar nem parafrasear de forma identificável</w:t>
      </w:r>
      <w:r>
        <w:rPr>
          <w:rFonts w:ascii="Calibri" w:hAnsi="Calibri"/>
          <w:b w:val="0"/>
          <w:i w:val="0"/>
          <w:sz w:val="20"/>
        </w:rPr>
        <w:t xml:space="preserve"> o conteúdo sigiloso no corpo do relatório — deve apenas indicar a peça onde ele consta (ex.: "ver Anexo 7 — autos apartados"). Ver Capítulo 6 desta apostila para o detalhamento da técnica de tarjamento propriamente dita.</w:t>
      </w:r>
    </w:p>
    <w:p>
      <w:pPr>
        <w:spacing w:after="60"/>
      </w:pPr>
    </w:p>
    <w:p>
      <w:pPr>
        <w:pStyle w:val="Heading2"/>
        <w:spacing w:before="240" w:after="100"/>
        <w:pBdr>
          <w:left w:val="single" w:sz="18" w:space="6" w:color="BFA040"/>
        </w:pBdr>
      </w:pPr>
      <w:r>
        <w:rPr>
          <w:rFonts w:ascii="Arial Narrow" w:hAnsi="Arial Narrow"/>
          <w:b/>
          <w:color w:val="1E3A5F"/>
          <w:sz w:val="26"/>
        </w:rPr>
        <w:t>1.4 Por que proteger dados pessoais</w:t>
      </w:r>
    </w:p>
    <w:p>
      <w:pPr>
        <w:spacing w:after="100" w:line="280" w:lineRule="exact"/>
        <w:jc w:val="both"/>
      </w:pPr>
      <w:r>
        <w:rPr>
          <w:rFonts w:ascii="Calibri" w:hAnsi="Calibri"/>
          <w:b w:val="0"/>
          <w:i w:val="0"/>
          <w:sz w:val="22"/>
        </w:rPr>
        <w:t>Na Sociedade da Informação, o tratamento de dados pessoais é contínuo, distribuído e quase invisível. Dados banais, quando combinados, viram perfis, inferências e decisões automatizadas que moldam oportunidades, definem preços e influenciam comportamentos. Proteger dados pessoais não é exagero nem paranoia — é limitar riscos reais e corrigir assimetrias de poder que se formam quando poucos sabem tudo sobre muitos.</w:t>
      </w:r>
    </w:p>
    <w:p>
      <w:pPr>
        <w:spacing w:after="60" w:line="270" w:lineRule="exact"/>
        <w:ind w:left="397"/>
        <w:jc w:val="both"/>
      </w:pPr>
      <w:r>
        <w:rPr>
          <w:rFonts w:ascii="Calibri" w:hAnsi="Calibri"/>
          <w:sz w:val="22"/>
        </w:rPr>
        <w:t xml:space="preserve">— </w:t>
      </w:r>
      <w:r>
        <w:rPr>
          <w:rFonts w:ascii="Calibri" w:hAnsi="Calibri"/>
          <w:b/>
          <w:i w:val="0"/>
          <w:sz w:val="22"/>
        </w:rPr>
        <w:t>Capitalismo de vigilância:</w:t>
      </w:r>
      <w:r>
        <w:rPr>
          <w:rFonts w:ascii="Calibri" w:hAnsi="Calibri"/>
          <w:b w:val="0"/>
          <w:i w:val="0"/>
          <w:sz w:val="22"/>
        </w:rPr>
        <w:t xml:space="preserve"> agentes econômicos buscam coletar o máximo de dados para influenciar e até manipular comportamentos e decisões — o dado é a matéria-prima de um modelo de negócio baseado em atenção e engajamento.</w:t>
      </w:r>
    </w:p>
    <w:p>
      <w:pPr>
        <w:spacing w:after="60" w:line="270" w:lineRule="exact"/>
        <w:ind w:left="397"/>
        <w:jc w:val="both"/>
      </w:pPr>
      <w:r>
        <w:rPr>
          <w:rFonts w:ascii="Calibri" w:hAnsi="Calibri"/>
          <w:sz w:val="22"/>
        </w:rPr>
        <w:t xml:space="preserve">— </w:t>
      </w:r>
      <w:r>
        <w:rPr>
          <w:rFonts w:ascii="Calibri" w:hAnsi="Calibri"/>
          <w:b/>
          <w:i w:val="0"/>
          <w:sz w:val="22"/>
        </w:rPr>
        <w:t>Perfilização e discriminação algorítmica:</w:t>
      </w:r>
      <w:r>
        <w:rPr>
          <w:rFonts w:ascii="Calibri" w:hAnsi="Calibri"/>
          <w:b w:val="0"/>
          <w:i w:val="0"/>
          <w:sz w:val="22"/>
        </w:rPr>
        <w:t xml:space="preserve"> a categorização de indivíduos com base em padrões de comportamento pode reproduzir vieses e discriminar de forma invisível — casos Cambridge Analytica (eleições), COMPAS (sentenças penais nos EUA) e Amazon Hiring (seleção de currículos) são exemplos concretos de perfilização que prejudicou grupos inteiros.</w:t>
      </w:r>
    </w:p>
    <w:p>
      <w:pPr>
        <w:spacing w:after="60" w:line="270" w:lineRule="exact"/>
        <w:ind w:left="397"/>
        <w:jc w:val="both"/>
      </w:pPr>
      <w:r>
        <w:rPr>
          <w:rFonts w:ascii="Calibri" w:hAnsi="Calibri"/>
          <w:sz w:val="22"/>
        </w:rPr>
        <w:t xml:space="preserve">— </w:t>
      </w:r>
      <w:r>
        <w:rPr>
          <w:rFonts w:ascii="Calibri" w:hAnsi="Calibri"/>
          <w:b/>
          <w:i w:val="0"/>
          <w:sz w:val="22"/>
        </w:rPr>
        <w:t>Decisões automatizadas:</w:t>
      </w:r>
      <w:r>
        <w:rPr>
          <w:rFonts w:ascii="Calibri" w:hAnsi="Calibri"/>
          <w:b w:val="0"/>
          <w:i w:val="0"/>
          <w:sz w:val="22"/>
        </w:rPr>
        <w:t xml:space="preserve"> quando não há supervisão humana adequada, o indivíduo é reduzido a um perfil estatístico — as nuances do caso concreto desaparecem e recursos são negados sem qualquer diálogo.</w:t>
      </w:r>
    </w:p>
    <w:p>
      <w:pPr>
        <w:spacing w:after="60" w:line="270" w:lineRule="exact"/>
        <w:ind w:left="397"/>
        <w:jc w:val="both"/>
      </w:pPr>
      <w:r>
        <w:rPr>
          <w:rFonts w:ascii="Calibri" w:hAnsi="Calibri"/>
          <w:sz w:val="22"/>
        </w:rPr>
        <w:t xml:space="preserve">— </w:t>
      </w:r>
      <w:r>
        <w:rPr>
          <w:rFonts w:ascii="Calibri" w:hAnsi="Calibri"/>
          <w:b/>
          <w:i w:val="0"/>
          <w:sz w:val="22"/>
        </w:rPr>
        <w:t>Economia da atenção e bolhas de filtro:</w:t>
      </w:r>
      <w:r>
        <w:rPr>
          <w:rFonts w:ascii="Calibri" w:hAnsi="Calibri"/>
          <w:b w:val="0"/>
          <w:i w:val="0"/>
          <w:sz w:val="22"/>
        </w:rPr>
        <w:t xml:space="preserve"> plataformas constroem arquiteturas de escolha para maximizar o tempo de permanência do usuário. A descoberta de que </w:t>
      </w:r>
      <w:r>
        <w:rPr>
          <w:rFonts w:ascii="Calibri" w:hAnsi="Calibri"/>
          <w:b w:val="0"/>
          <w:i/>
          <w:sz w:val="22"/>
        </w:rPr>
        <w:t>ódio engaja mais do que amor</w:t>
      </w:r>
      <w:r>
        <w:rPr>
          <w:rFonts w:ascii="Calibri" w:hAnsi="Calibri"/>
          <w:b w:val="0"/>
          <w:i w:val="0"/>
          <w:sz w:val="22"/>
        </w:rPr>
        <w:t xml:space="preserve"> levou ao impulsionamento sistemático de conteúdo de polarização e desinformação. O algoritmo nos perfila e entrega apenas o que reforça o que já pensamos — quem não buscar ativamente informação de fontes diversas ficará preso em uma bolha que se retroalimenta.</w:t>
      </w:r>
    </w:p>
    <w:p>
      <w:pPr>
        <w:pStyle w:val="Heading3"/>
        <w:spacing w:before="160" w:after="60"/>
      </w:pPr>
      <w:r>
        <w:rPr>
          <w:rFonts w:ascii="Calibri" w:hAnsi="Calibri"/>
          <w:b/>
          <w:color w:val="1E3A5F"/>
          <w:sz w:val="22"/>
        </w:rPr>
        <w:t>O argumento "não tenho nada a esconder"</w:t>
      </w:r>
    </w:p>
    <w:p>
      <w:pPr>
        <w:spacing w:after="100" w:line="280" w:lineRule="exact"/>
        <w:jc w:val="both"/>
      </w:pPr>
      <w:r>
        <w:rPr>
          <w:rFonts w:ascii="Calibri" w:hAnsi="Calibri"/>
          <w:b w:val="0"/>
          <w:i w:val="0"/>
          <w:sz w:val="22"/>
        </w:rPr>
        <w:t xml:space="preserve">Um dos argumentos mais utilizados contra a proteção de dados é o </w:t>
      </w:r>
      <w:r>
        <w:rPr>
          <w:rFonts w:ascii="Calibri" w:hAnsi="Calibri"/>
          <w:b w:val="0"/>
          <w:i/>
          <w:sz w:val="22"/>
        </w:rPr>
        <w:t>I have nothing to hide</w:t>
      </w:r>
      <w:r>
        <w:rPr>
          <w:rFonts w:ascii="Calibri" w:hAnsi="Calibri"/>
          <w:b w:val="0"/>
          <w:i w:val="0"/>
          <w:sz w:val="22"/>
        </w:rPr>
        <w:t xml:space="preserve">: "se você não tem nada a esconder, não tem por que se preocupar." O professor Daniel Solove, da Universidade George Washington, um dos maiores estudiosos do tema nos Estados Unidos, demonstra que esse raciocínio é um </w:t>
      </w:r>
      <w:r>
        <w:rPr>
          <w:rFonts w:ascii="Calibri" w:hAnsi="Calibri"/>
          <w:b/>
          <w:i w:val="0"/>
          <w:sz w:val="22"/>
        </w:rPr>
        <w:t>sofisma</w:t>
      </w:r>
      <w:r>
        <w:rPr>
          <w:rFonts w:ascii="Calibri" w:hAnsi="Calibri"/>
          <w:b w:val="0"/>
          <w:i w:val="0"/>
          <w:sz w:val="22"/>
        </w:rPr>
        <w:t xml:space="preserve"> com pelo menos três falhas fundamentais.</w:t>
      </w:r>
    </w:p>
    <w:p>
      <w:pPr>
        <w:spacing w:after="100" w:line="264" w:lineRule="exact"/>
        <w:ind w:left="454"/>
        <w:jc w:val="both"/>
      </w:pPr>
      <w:r>
        <w:rPr>
          <w:rFonts w:ascii="Calibri" w:hAnsi="Calibri"/>
          <w:b/>
          <w:color w:val="1E3A5F"/>
          <w:sz w:val="22"/>
        </w:rPr>
        <w:t xml:space="preserve">1.  </w:t>
      </w:r>
      <w:r>
        <w:rPr>
          <w:rFonts w:ascii="Calibri" w:hAnsi="Calibri"/>
          <w:b w:val="0"/>
          <w:i w:val="0"/>
          <w:sz w:val="22"/>
        </w:rPr>
        <w:t>Confunde proteção de dados com privacidade</w:t>
      </w:r>
      <w:r>
        <w:rPr>
          <w:rFonts w:ascii="Calibri" w:hAnsi="Calibri"/>
          <w:b/>
          <w:i w:val="0"/>
          <w:sz w:val="22"/>
        </w:rPr>
        <w:t xml:space="preserve"> — e reduz privacidade a "esconder coisa errada". Privacidade não é sobre esconder fatos vergonhosos: é um direito multidimensional de controlar a própria narrativa, de se desenvolver livremente, de existir em espaços sem a skin dos papéis sociais que assumimos em público. Duvido que alguém se sinta confortável sabendo que sua mãe, seu vizinho ou seu chefe têm acesso a absolutamente tudo de sua vida.</w:t>
      </w:r>
    </w:p>
    <w:p>
      <w:pPr>
        <w:spacing w:after="100" w:line="264" w:lineRule="exact"/>
        <w:ind w:left="454"/>
        <w:jc w:val="both"/>
      </w:pPr>
      <w:r>
        <w:rPr>
          <w:rFonts w:ascii="Calibri" w:hAnsi="Calibri"/>
          <w:b/>
          <w:color w:val="1E3A5F"/>
          <w:sz w:val="22"/>
        </w:rPr>
        <w:t xml:space="preserve">2.  </w:t>
      </w:r>
      <w:r>
        <w:rPr>
          <w:rFonts w:ascii="Calibri" w:hAnsi="Calibri"/>
          <w:b w:val="0"/>
          <w:i w:val="0"/>
          <w:sz w:val="22"/>
        </w:rPr>
        <w:t>Ignora os "architectural problems"</w:t>
      </w:r>
      <w:r>
        <w:rPr>
          <w:rFonts w:ascii="Calibri" w:hAnsi="Calibri"/>
          <w:b/>
          <w:i w:val="0"/>
          <w:sz w:val="22"/>
        </w:rPr>
        <w:t xml:space="preserve"> — problemas estruturais que emergem quando a vigilância altera a balança de poder, mesmo sem que nenhum ato ilícito tenha ocorrido. Considere: se você souber que amanhã haverá câmeras com reconhecimento facial em uma praça pública onde ocorrerá uma manifestação política, você vai com a mesma tranquilidade? Servidores públicos certamente pensarão duas vezes. O mero potencial de vigilância já restringe o espaço de liberdade — antes de qualquer punição. Quando soubemos que e-mails funcionais podiam ser acessados pela administração, o comportamento mudou completamente. A vigilância muda o que fazemos, independentemente de sermos culpados de algo.</w:t>
      </w:r>
    </w:p>
    <w:p>
      <w:pPr>
        <w:spacing w:after="100" w:line="264" w:lineRule="exact"/>
        <w:ind w:left="454"/>
        <w:jc w:val="both"/>
      </w:pPr>
      <w:r>
        <w:rPr>
          <w:rFonts w:ascii="Calibri" w:hAnsi="Calibri"/>
          <w:b/>
          <w:color w:val="1E3A5F"/>
          <w:sz w:val="22"/>
        </w:rPr>
        <w:t xml:space="preserve">3.  </w:t>
      </w:r>
      <w:r>
        <w:rPr>
          <w:rFonts w:ascii="Calibri" w:hAnsi="Calibri"/>
          <w:b w:val="0"/>
          <w:i w:val="0"/>
          <w:sz w:val="22"/>
        </w:rPr>
        <w:t>Inverte a lógica republicana</w:t>
      </w:r>
      <w:r>
        <w:rPr>
          <w:rFonts w:ascii="Calibri" w:hAnsi="Calibri"/>
          <w:b/>
          <w:i w:val="0"/>
          <w:sz w:val="22"/>
        </w:rPr>
        <w:t xml:space="preserve"> — no Estado Democrático de Direito, é o Estado que deve justificar o tratamento de dados, não o cidadão que deve justificar a proteção de sua privacidade. Quando o Estado argumenta "você não tem nada a esconder, então aceite minha biometria", ele está transferindo ao particular o custo e o risco de uma decisão que é, e deve ser, do próprio Estado fundamentar.</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REFLEXÃO  </w:t>
      </w:r>
      <w:r>
        <w:rPr>
          <w:rFonts w:ascii="Calibri" w:hAnsi="Calibri"/>
          <w:b w:val="0"/>
          <w:i w:val="0"/>
          <w:sz w:val="20"/>
        </w:rPr>
        <w:t>A perfilização feita por plataformas sobre usuários é hoje tão precisa que, ao perguntar ao ChatGPT como a Meta perfila uma determinada pessoa, a resposta surpreende pela especificidade. Antes de decidir o quanto compartilha nas redes sociais, experimente fazer esse exercício — o resultado costuma ser revelador.</w:t>
      </w:r>
    </w:p>
    <w:p>
      <w:pPr>
        <w:spacing w:after="60"/>
      </w:pPr>
    </w:p>
    <w:p>
      <w:pPr>
        <w:pStyle w:val="Heading3"/>
        <w:spacing w:before="160" w:after="60"/>
      </w:pPr>
      <w:r>
        <w:rPr>
          <w:rFonts w:ascii="Calibri" w:hAnsi="Calibri"/>
          <w:b/>
          <w:color w:val="1E3A5F"/>
          <w:sz w:val="22"/>
        </w:rPr>
        <w:t>O "architectural problem" também se aplica à própria Corregedoria</w:t>
      </w:r>
    </w:p>
    <w:p>
      <w:pPr>
        <w:spacing w:after="100" w:line="280" w:lineRule="exact"/>
        <w:jc w:val="both"/>
      </w:pPr>
      <w:r>
        <w:rPr>
          <w:rFonts w:ascii="Calibri" w:hAnsi="Calibri"/>
          <w:b w:val="0"/>
          <w:i w:val="0"/>
          <w:sz w:val="22"/>
        </w:rPr>
        <w:t>O argumento de Solove sobre vigilância e mudança de comportamento (item 2, acima) não é apenas teoria de proteção do cidadão diante do Estado — ele se aplica também à relação entre a unidade de correição e os próprios servidores monitorados. A Portaria Normativa CGU nº 27/2022 confere à atividade correcional poderes de monitoramento expressivos:</w:t>
      </w:r>
    </w:p>
    <w:p>
      <w:pPr>
        <w:spacing w:before="100" w:after="20"/>
        <w:ind w:left="227" w:right="170"/>
        <w:jc w:val="both"/>
        <w:pBdr>
          <w:left w:val="single" w:sz="24" w:space="6" w:color="707070"/>
        </w:pBdr>
        <w:shd w:val="clear" w:color="auto" w:fill="F4F4F4"/>
      </w:pPr>
      <w:r>
        <w:rPr>
          <w:rFonts w:ascii="Arial Narrow" w:hAnsi="Arial Narrow"/>
          <w:b/>
          <w:color w:val="707070"/>
          <w:sz w:val="18"/>
        </w:rPr>
        <w:t xml:space="preserve">ART. 120 DA PORTARIA 27/2022  </w:t>
      </w:r>
      <w:r>
        <w:rPr>
          <w:rFonts w:ascii="Calibri" w:hAnsi="Calibri"/>
          <w:b w:val="0"/>
          <w:i/>
          <w:sz w:val="20"/>
        </w:rPr>
        <w:t>"Para a elucidação de fatos específicos e mediante decisão fundamentada, poderá ser acessado e monitorado, independentemente de notificação do investigado ou do acusado, o conteúdo dos instrumentos disponibilizados pelo órgão ou entidade para uso funcional de servidor ou empregado público, tais como equipamentos e aplicações de tecnologia da informação e comunicação, dados de sistemas, correios eletrônicos, agendas de compromissos, mobiliários e registros de ligações."</w:t>
      </w:r>
    </w:p>
    <w:p>
      <w:pPr>
        <w:spacing w:after="60"/>
      </w:pPr>
    </w:p>
    <w:p>
      <w:pPr>
        <w:spacing w:after="100" w:line="280" w:lineRule="exact"/>
        <w:jc w:val="both"/>
      </w:pPr>
      <w:r>
        <w:rPr>
          <w:rFonts w:ascii="Calibri" w:hAnsi="Calibri"/>
          <w:b w:val="0"/>
          <w:i w:val="0"/>
          <w:sz w:val="22"/>
        </w:rPr>
        <w:t xml:space="preserve">Esse poder é legítimo e está amparado em base legal (art. 7º, II, e art. 23 da LGPD — cumprimento de obrigação legal e execução de política pública), mas justamente por isso merece ser exercido com a mesma régua de proporcionalidade que a apostila exige do restante da Administração: o acesso deve ser </w:t>
      </w:r>
      <w:r>
        <w:rPr>
          <w:rFonts w:ascii="Calibri" w:hAnsi="Calibri"/>
          <w:b/>
          <w:i w:val="0"/>
          <w:sz w:val="22"/>
        </w:rPr>
        <w:t>motivado</w:t>
      </w:r>
      <w:r>
        <w:rPr>
          <w:rFonts w:ascii="Calibri" w:hAnsi="Calibri"/>
          <w:b w:val="0"/>
          <w:i w:val="0"/>
          <w:sz w:val="22"/>
        </w:rPr>
        <w:t xml:space="preserve">, restrito ao </w:t>
      </w:r>
      <w:r>
        <w:rPr>
          <w:rFonts w:ascii="Calibri" w:hAnsi="Calibri"/>
          <w:b/>
          <w:i w:val="0"/>
          <w:sz w:val="22"/>
        </w:rPr>
        <w:t>necessário</w:t>
      </w:r>
      <w:r>
        <w:rPr>
          <w:rFonts w:ascii="Calibri" w:hAnsi="Calibri"/>
          <w:b w:val="0"/>
          <w:i w:val="0"/>
          <w:sz w:val="22"/>
        </w:rPr>
        <w:t xml:space="preserve"> para elucidar o fato concreto, e não pode se transformar em monitoramento genérico e contínuo da vida funcional do servidor "só para garantir". Dado coletado no monitoramento, mas irrelevante ao fato apurado, é dado em risco — mesma lógica do princípio da necessidade tratado no Capítulo 2.</w:t>
      </w:r>
    </w:p>
    <w:p>
      <w:pPr>
        <w:pStyle w:val="Heading2"/>
        <w:spacing w:before="240" w:after="100"/>
        <w:pBdr>
          <w:left w:val="single" w:sz="18" w:space="6" w:color="BFA040"/>
        </w:pBdr>
      </w:pPr>
      <w:r>
        <w:rPr>
          <w:rFonts w:ascii="Arial Narrow" w:hAnsi="Arial Narrow"/>
          <w:b/>
          <w:color w:val="1E3A5F"/>
          <w:sz w:val="26"/>
        </w:rPr>
        <w:t>1.5 Privacidade: um direito multidimensional</w:t>
      </w:r>
    </w:p>
    <w:p>
      <w:pPr>
        <w:spacing w:after="100" w:line="280" w:lineRule="exact"/>
        <w:jc w:val="both"/>
      </w:pPr>
      <w:r>
        <w:rPr>
          <w:rFonts w:ascii="Calibri" w:hAnsi="Calibri"/>
          <w:b w:val="0"/>
          <w:i w:val="0"/>
          <w:sz w:val="22"/>
        </w:rPr>
        <w:t>Para além da proteção de dados, a privacidade é um dos direitos fundamentais mais complexos e sensíveis do ordenamento jurídico. Não se trata de um conceito unitário — é multidimensional, e cada dimensão recebe tutela diferente do direito.</w:t>
      </w:r>
    </w:p>
    <w:p>
      <w:pPr>
        <w:spacing w:after="100" w:line="280" w:lineRule="exact"/>
        <w:jc w:val="both"/>
      </w:pPr>
      <w:r>
        <w:rPr>
          <w:rFonts w:ascii="Calibri" w:hAnsi="Calibri"/>
          <w:b w:val="0"/>
          <w:i w:val="0"/>
          <w:sz w:val="22"/>
        </w:rPr>
        <w:t xml:space="preserve">O ponto de partida é a distinção entre </w:t>
      </w:r>
      <w:r>
        <w:rPr>
          <w:rFonts w:ascii="Calibri" w:hAnsi="Calibri"/>
          <w:b/>
          <w:i w:val="0"/>
          <w:sz w:val="22"/>
        </w:rPr>
        <w:t>espaço público e espaço privado</w:t>
      </w:r>
      <w:r>
        <w:rPr>
          <w:rFonts w:ascii="Calibri" w:hAnsi="Calibri"/>
          <w:b w:val="0"/>
          <w:i w:val="0"/>
          <w:sz w:val="22"/>
        </w:rPr>
        <w:t xml:space="preserve">. Em espaços públicos, assumimos papéis sociais — somos o profissional, o servidor, o pai, o morador do condomínio. Esses papéis modelam nossa forma de agir e nos expõem a expectativas sociais e jurídicas específicas. Já no espaço privado, essa </w:t>
      </w:r>
      <w:r>
        <w:rPr>
          <w:rFonts w:ascii="Calibri" w:hAnsi="Calibri"/>
          <w:b w:val="0"/>
          <w:i/>
          <w:sz w:val="22"/>
        </w:rPr>
        <w:t>skin</w:t>
      </w:r>
      <w:r>
        <w:rPr>
          <w:rFonts w:ascii="Calibri" w:hAnsi="Calibri"/>
          <w:b w:val="0"/>
          <w:i w:val="0"/>
          <w:sz w:val="22"/>
        </w:rPr>
        <w:t xml:space="preserve"> pode ser tirada. A pessoa pode ser simplesmente quem é — testar ideias, errar, desenvolver-se, guardar para si o que ainda não quer compartilhar.</w:t>
      </w:r>
    </w:p>
    <w:p>
      <w:pPr>
        <w:spacing w:after="100" w:line="280" w:lineRule="exact"/>
        <w:jc w:val="both"/>
      </w:pPr>
      <w:r>
        <w:rPr>
          <w:rFonts w:ascii="Calibri" w:hAnsi="Calibri"/>
          <w:b w:val="0"/>
          <w:i w:val="0"/>
          <w:sz w:val="22"/>
        </w:rPr>
        <w:t xml:space="preserve">A privacidade, em sua dimensão mais profunda, é justamente o </w:t>
      </w:r>
      <w:r>
        <w:rPr>
          <w:rFonts w:ascii="Calibri" w:hAnsi="Calibri"/>
          <w:b/>
          <w:i w:val="0"/>
          <w:sz w:val="22"/>
        </w:rPr>
        <w:t>direito de ter esse espaço</w:t>
      </w:r>
      <w:r>
        <w:rPr>
          <w:rFonts w:ascii="Calibri" w:hAnsi="Calibri"/>
          <w:b w:val="0"/>
          <w:i w:val="0"/>
          <w:sz w:val="22"/>
        </w:rPr>
        <w:t>: não um lugar físico, mas um espaço metafísico em que se pode ser exatamente quem se é, sem julgamento, sem a pressão de performance que os espaços públicos impõem. É o direito de escolher com quem compartilhar o quê, na medida em que se decide.</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CONCEITO  </w:t>
      </w:r>
      <w:r>
        <w:rPr>
          <w:rFonts w:ascii="Calibri" w:hAnsi="Calibri"/>
          <w:b w:val="0"/>
          <w:i w:val="0"/>
          <w:sz w:val="20"/>
        </w:rPr>
        <w:t>Privacidade não é sinônimo de esconder coisa errada. É o direito ao desenvolvimento livre da personalidade — e é exatamente por isso que a hipervigilância a compromete: quando sabemos que somos observados, mudamos quem somos. A tutela do espaço íntimo é diferente da tutela do espaço social, porque são espaços em que a pessoa se comporta e existe de formas radicalmente distintas.</w:t>
      </w:r>
    </w:p>
    <w:p>
      <w:pPr>
        <w:spacing w:after="60"/>
      </w:pPr>
    </w:p>
    <w:p>
      <w:pPr>
        <w:pStyle w:val="Heading3"/>
        <w:spacing w:before="160" w:after="60"/>
      </w:pPr>
      <w:r>
        <w:rPr>
          <w:rFonts w:ascii="Calibri" w:hAnsi="Calibri"/>
          <w:b/>
          <w:color w:val="1E3A5F"/>
          <w:sz w:val="22"/>
        </w:rPr>
        <w:t>A fronteira entre vida funcional e vida privada nos autos</w:t>
      </w:r>
    </w:p>
    <w:p>
      <w:pPr>
        <w:spacing w:after="100" w:line="280" w:lineRule="exact"/>
        <w:jc w:val="both"/>
      </w:pPr>
      <w:r>
        <w:rPr>
          <w:rFonts w:ascii="Calibri" w:hAnsi="Calibri"/>
          <w:b w:val="0"/>
          <w:i w:val="0"/>
          <w:sz w:val="22"/>
        </w:rPr>
        <w:t xml:space="preserve">Na rotina correcional, a distinção entre "espaço público/funcional" e "espaço privado" do investigado tem uma tradução prática direta: nem tudo que está em um e-mail funcional, em uma oitiva ou em um documento dos autos é, automaticamente, "espaço público" sujeito a divulgação irrestrita. Um exemplo recorrente: durante a apuração, é comum que apareçam, em mensagens funcionais ou depoimentos, referências à vida pessoal de terceiros (familiares, relacionamentos, problemas de saúde) que não têm qualquer relação com o fato apurado. Essas informações </w:t>
      </w:r>
      <w:r>
        <w:rPr>
          <w:rFonts w:ascii="Calibri" w:hAnsi="Calibri"/>
          <w:b/>
          <w:i w:val="0"/>
          <w:sz w:val="22"/>
        </w:rPr>
        <w:t>não perdem a sua natureza de "espaço privado"</w:t>
      </w:r>
      <w:r>
        <w:rPr>
          <w:rFonts w:ascii="Calibri" w:hAnsi="Calibri"/>
          <w:b w:val="0"/>
          <w:i w:val="0"/>
          <w:sz w:val="22"/>
        </w:rPr>
        <w:t xml:space="preserve"> simplesmente por terem sido capturadas em contexto funcional — devem ser tratadas como dados irrelevantes para a finalidade da apuração e, portanto, candidatas a tarjamento (ver Capítulo 6, item 6.4 desta apostila: "Remover dados irrelevantes para a finalidade").</w:t>
      </w:r>
    </w:p>
    <w:p>
      <w:pPr>
        <w:pStyle w:val="Heading2"/>
        <w:spacing w:before="240" w:after="100"/>
        <w:pBdr>
          <w:left w:val="single" w:sz="18" w:space="6" w:color="BFA040"/>
        </w:pBdr>
      </w:pPr>
      <w:r>
        <w:rPr>
          <w:rFonts w:ascii="Arial Narrow" w:hAnsi="Arial Narrow"/>
          <w:b/>
          <w:color w:val="1E3A5F"/>
          <w:sz w:val="26"/>
        </w:rPr>
        <w:t>1.6 Dado pessoal ≠ Proteção da privacidade</w:t>
      </w:r>
    </w:p>
    <w:tbl>
      <w:tblPr>
        <w:tblStyle w:val="TableGrid"/>
        <w:tblW w:type="auto" w:w="0"/>
        <w:tblLook w:firstColumn="1" w:firstRow="1" w:lastColumn="0" w:lastRow="0" w:noHBand="0" w:noVBand="1" w:val="04A0"/>
      </w:tblPr>
      <w:tblGrid>
        <w:gridCol w:w="3024"/>
        <w:gridCol w:w="3024"/>
        <w:gridCol w:w="3024"/>
      </w:tblGrid>
      <w:tr>
        <w:tc>
          <w:tcPr>
            <w:tcW w:type="dxa" w:w="45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p>
        </w:tc>
        <w:tc>
          <w:tcPr>
            <w:tcW w:type="dxa" w:w="4309"/>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Privacidade</w:t>
            </w:r>
          </w:p>
        </w:tc>
        <w:tc>
          <w:tcPr>
            <w:tcW w:type="dxa" w:w="4309"/>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Proteção de dados pessoais</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Objeto</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Esfera de liberdade contra intromissões indevidas</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Regulação do tratamento de informações sobre a pessoa</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Pergunta central</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O que é revelado?</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Quem trata, para quê e com quais efeitos?</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Natureza</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Direito fundamental à autodeterminação e livre desenvolvimento da personalidade</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Direito fundamental autônomo (EC 115/2022, art. 5º da CF/88)</w:t>
            </w:r>
          </w:p>
        </w:tc>
      </w:tr>
    </w:tbl>
    <w:p>
      <w:pPr>
        <w:spacing w:after="80"/>
      </w:pPr>
    </w:p>
    <w:p>
      <w:pPr>
        <w:spacing w:before="120" w:after="120"/>
        <w:pBdr>
          <w:bottom w:val="single" w:sz="4" w:space="1" w:color="BFA040"/>
        </w:pBdr>
      </w:pPr>
    </w:p>
    <w:p>
      <w:pPr>
        <w:pStyle w:val="Heading2"/>
        <w:spacing w:before="240" w:after="100"/>
        <w:pBdr>
          <w:left w:val="single" w:sz="18" w:space="6" w:color="BFA040"/>
        </w:pBdr>
      </w:pPr>
      <w:r>
        <w:rPr>
          <w:rFonts w:ascii="Arial Narrow" w:hAnsi="Arial Narrow"/>
          <w:b/>
          <w:color w:val="1E3A5F"/>
          <w:sz w:val="26"/>
        </w:rPr>
        <w:t>1.7 Checklist rápido do Capítulo 1 para a rotina diária</w:t>
      </w:r>
    </w:p>
    <w:p>
      <w:pPr>
        <w:spacing w:after="100" w:line="280" w:lineRule="exact"/>
        <w:jc w:val="both"/>
      </w:pPr>
      <w:r>
        <w:rPr>
          <w:rFonts w:ascii="Calibri" w:hAnsi="Calibri"/>
          <w:b w:val="0"/>
          <w:i w:val="0"/>
          <w:sz w:val="22"/>
        </w:rPr>
        <w:t>Antes de decidir sobre o fornecimento, o tarjamento ou o tratamento de qualquer informação em um procedimento investigativo ou processo correcional, vale percorrer este roteiro mínimo:</w:t>
      </w:r>
    </w:p>
    <w:tbl>
      <w:tblPr>
        <w:tblStyle w:val="TableGrid"/>
        <w:tblW w:type="auto" w:w="0"/>
        <w:tblLook w:firstColumn="1" w:firstRow="1" w:lastColumn="0" w:lastRow="0" w:noHBand="0" w:noVBand="1" w:val="04A0"/>
      </w:tblPr>
      <w:tblGrid>
        <w:gridCol w:w="3024"/>
        <w:gridCol w:w="3024"/>
        <w:gridCol w:w="3024"/>
      </w:tblGrid>
      <w:tr>
        <w:tc>
          <w:tcPr>
            <w:tcW w:type="dxa" w:w="45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w:t>
            </w:r>
          </w:p>
        </w:tc>
        <w:tc>
          <w:tcPr>
            <w:tcW w:type="dxa" w:w="4309"/>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Pergunta</w:t>
            </w:r>
          </w:p>
        </w:tc>
        <w:tc>
          <w:tcPr>
            <w:tcW w:type="dxa" w:w="4309"/>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Por quê</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 informação identifica (mesmo que indiretamente, combinada com outras) uma pessoa natural?</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Define se estamos diante de dado pessoal (item 1.1)</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Trata-se de dado da lista do art. 5º, II, da LGPD (saúde, vida sexual, origem racial, convicção religiosa/política/sindical, dado genético ou biométrico)?</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Se sim, regime de cautela reforçado (item 1.1)</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Qual operação de tratamento está sendo praticada agora — coleta, armazenamento, comunicação a terceiro, eliminação?</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Ajuda a identificar a base legal e a cautela aplicável (item 1.2; ver tabela de correspondência com a Portaria 27/2022)</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4</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Se a intenção é ocultar a informação: tarjar o nome é suficiente, ou há identificadores indiretos (cargo, lotação, número de processo, datas) que ainda permitem identificação?</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Tarjamento incompleto não é anonimização (item 1.3)</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5</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 informação é estritamente necessária à elucidação do fato apurado, ou é dado de vida privada de terceiro capturado "de passagem" (ex.: em e-mail funcional, oitiva, mensagem)?</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irrelevante para a finalidade deve ser removido ou tarjado (itens 1.4 e 1.5)</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O tratamento depende do consentimento do investigado?</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Não.</w:t>
            </w:r>
            <w:r>
              <w:rPr>
                <w:rFonts w:ascii="Calibri" w:hAnsi="Calibri"/>
                <w:b w:val="0"/>
                <w:i w:val="0"/>
                <w:sz w:val="19"/>
              </w:rPr>
              <w:t xml:space="preserve"> Nos termos do art. 116, parágrafo único, da Portaria CGU nº 27/2022, o tratamento de dados pessoais na instrução probatória independe de consentimento — a base legal é outra (ver Capítulo 2)</w:t>
            </w:r>
          </w:p>
        </w:tc>
      </w:tr>
    </w:tbl>
    <w:p>
      <w:pPr>
        <w:spacing w:after="80"/>
      </w:pPr>
    </w:p>
    <w:p>
      <w:pPr>
        <w:spacing w:before="120" w:after="120"/>
        <w:pBdr>
          <w:bottom w:val="single" w:sz="4" w:space="1" w:color="BFA040"/>
        </w:pBdr>
      </w:pPr>
    </w:p>
    <w:p>
      <w:r>
        <w:br w:type="page"/>
      </w:r>
    </w:p>
    <w:p>
      <w:pPr>
        <w:spacing w:before="80" w:after="0"/>
      </w:pPr>
      <w:r>
        <w:rPr>
          <w:rFonts w:ascii="Arial Narrow" w:hAnsi="Arial Narrow"/>
          <w:b/>
          <w:color w:val="BFA040"/>
          <w:sz w:val="18"/>
        </w:rPr>
        <w:t>CAPÍTULO 2</w:t>
      </w:r>
    </w:p>
    <w:p>
      <w:pPr>
        <w:pStyle w:val="Heading1"/>
        <w:spacing w:before="40" w:after="240"/>
      </w:pPr>
      <w:r>
        <w:rPr>
          <w:rFonts w:ascii="Arial Narrow" w:hAnsi="Arial Narrow"/>
          <w:b/>
          <w:color w:val="1E3A5F"/>
          <w:sz w:val="40"/>
        </w:rPr>
        <w:t>A Lei Geral de Proteção de Dados (LGPD)</w:t>
      </w:r>
    </w:p>
    <w:p>
      <w:pPr>
        <w:spacing w:before="0" w:after="200"/>
        <w:pBdr>
          <w:bottom w:val="single" w:sz="8" w:space="1" w:color="BFA040"/>
        </w:pBdr>
      </w:pPr>
    </w:p>
    <w:p>
      <w:pPr>
        <w:pStyle w:val="Heading2"/>
        <w:spacing w:before="240" w:after="100"/>
        <w:pBdr>
          <w:left w:val="single" w:sz="18" w:space="6" w:color="BFA040"/>
        </w:pBdr>
      </w:pPr>
      <w:r>
        <w:rPr>
          <w:rFonts w:ascii="Arial Narrow" w:hAnsi="Arial Narrow"/>
          <w:b/>
          <w:color w:val="1E3A5F"/>
          <w:sz w:val="26"/>
        </w:rPr>
        <w:t>2.1 Finalidade da LGPD</w:t>
      </w:r>
    </w:p>
    <w:p>
      <w:pPr>
        <w:spacing w:after="100" w:line="280" w:lineRule="exact"/>
        <w:jc w:val="both"/>
      </w:pPr>
      <w:r>
        <w:rPr>
          <w:rFonts w:ascii="Calibri" w:hAnsi="Calibri"/>
          <w:b w:val="0"/>
          <w:i w:val="0"/>
          <w:sz w:val="22"/>
        </w:rPr>
        <w:t>A LGPD (Lei nº 13.709/2018) tem como finalidades: (i) proteger o titular dos dados pessoais; (ii) regulamentar o tratamento de dados pessoais; (iii) criar um ente público (ANPD) para concretizar o direito fundamental e fiscalizar o cumprimento das normas.</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PONTO CENTRAL  </w:t>
      </w:r>
      <w:r>
        <w:rPr>
          <w:rFonts w:ascii="Calibri" w:hAnsi="Calibri"/>
          <w:b w:val="0"/>
          <w:i w:val="0"/>
          <w:sz w:val="20"/>
        </w:rPr>
        <w:t xml:space="preserve">A LGPD aplica-se a todos que realizem tratamento de dados pessoais — sejam pessoas jurídicas públicas ou privadas. </w:t>
      </w:r>
      <w:r>
        <w:rPr>
          <w:rFonts w:ascii="Calibri" w:hAnsi="Calibri"/>
          <w:b/>
          <w:i w:val="0"/>
          <w:sz w:val="20"/>
        </w:rPr>
        <w:t>Não traz nenhuma nova exceção ao princípio da transparência estatal.</w:t>
      </w:r>
    </w:p>
    <w:p>
      <w:pPr>
        <w:spacing w:after="60"/>
      </w:pPr>
    </w:p>
    <w:p>
      <w:pPr>
        <w:pStyle w:val="Heading2"/>
        <w:spacing w:before="240" w:after="100"/>
        <w:pBdr>
          <w:left w:val="single" w:sz="18" w:space="6" w:color="BFA040"/>
        </w:pBdr>
      </w:pPr>
      <w:r>
        <w:rPr>
          <w:rFonts w:ascii="Arial Narrow" w:hAnsi="Arial Narrow"/>
          <w:b/>
          <w:color w:val="1E3A5F"/>
          <w:sz w:val="26"/>
        </w:rPr>
        <w:t>2.2 Principais atores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Ator</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Definição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Observação relevante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Titular</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Pessoa natural a quem se referem os dados objeto de tratamento (art. 5º, V).</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Controlador</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Pessoa natural ou jurídica que toma as decisões referentes ao tratamento (o quê, para quê, por quanto tempo, com quem).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 organização (PJ) é o agente de tratamento — não os servidores ou funcionários, que atuam sob a direção do agente.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Operador</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Realiza o tratamento em nome do controlador, sem poder de decisão.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Responsabilidade solidária se descumprir a legislação ou as instruções lícitas do controlador (art. 42, §1º, I).</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Encarregado (DPO)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Canal de comunicação entre controlador, titulares e ANPD.</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 setor público, indicação preferencialmente de servidor de reputação ilibada, publicada no DOU. A Corregedoria da RFB não precisa indicar encarregado — a RFB sim, como órgão-controlador.</w:t>
            </w:r>
          </w:p>
        </w:tc>
      </w:tr>
    </w:tbl>
    <w:p>
      <w:pPr>
        <w:spacing w:after="80"/>
      </w:pPr>
    </w:p>
    <w:p>
      <w:pPr>
        <w:pStyle w:val="Heading3"/>
        <w:spacing w:before="160" w:after="60"/>
      </w:pPr>
      <w:r>
        <w:rPr>
          <w:rFonts w:ascii="Calibri" w:hAnsi="Calibri"/>
          <w:b/>
          <w:color w:val="1E3A5F"/>
          <w:sz w:val="22"/>
        </w:rPr>
        <w:t>Quem é "titular" dentro de um procedimento correcional</w:t>
      </w:r>
    </w:p>
    <w:p>
      <w:pPr>
        <w:spacing w:after="100" w:line="280" w:lineRule="exact"/>
        <w:jc w:val="both"/>
      </w:pPr>
      <w:r>
        <w:rPr>
          <w:rFonts w:ascii="Calibri" w:hAnsi="Calibri"/>
          <w:b w:val="0"/>
          <w:i w:val="0"/>
          <w:sz w:val="22"/>
        </w:rPr>
        <w:t xml:space="preserve">A apostila já alerta que a unidade de correição não é o controlador (quem decide é a pessoa jurídica RFB) — mas vale destacar, na rotina diária, que </w:t>
      </w:r>
      <w:r>
        <w:rPr>
          <w:rFonts w:ascii="Calibri" w:hAnsi="Calibri"/>
          <w:b/>
          <w:i w:val="0"/>
          <w:sz w:val="22"/>
        </w:rPr>
        <w:t>mais de uma pessoa é titular de dados dentro do mesmo processo</w:t>
      </w:r>
      <w:r>
        <w:rPr>
          <w:rFonts w:ascii="Calibri" w:hAnsi="Calibri"/>
          <w:b w:val="0"/>
          <w:i w:val="0"/>
          <w:sz w:val="22"/>
        </w:rPr>
        <w:t>, cada uma com interesses e proteções distintas: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Titular dentro do processo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Exemplo de dado pessoal tratado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Tem acesso aos próprios dados?</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Investigado/acusado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CPF, cargo, conteúdo das oitivas, eventuais dados de saúde citados em sua defesa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 — acesso integral aos autos garantido pelo art. 132 da Portaria 27/2022, mesmo antes da conclusão</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Vítima (em casos de assédio/discriminação)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Identificação, depoimento, dados de saúde/contato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Acesso aos próprios dados sim; mas seus dados de contato não devem constar nos autos quando dispensáveis (ver Capítulo 7)</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Testemunha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depoimento, dados de contato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Acesso limitado ao próprio depoimento; não é parte no processo</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Denunciante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Identidade (quando não anônima)</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Não tem acesso aos autos</w:t>
            </w:r>
            <w:r>
              <w:rPr>
                <w:rFonts w:ascii="Calibri" w:hAnsi="Calibri"/>
                <w:b w:val="0"/>
                <w:i w:val="0"/>
                <w:sz w:val="19"/>
              </w:rPr>
              <w:t xml:space="preserve"> (art. 114, §2º, Portaria 27/2022) — sua proteção decorre do Decreto nº 10.153/2019, não do exercício de direitos de titular sobre o restante do processo</w:t>
            </w:r>
          </w:p>
        </w:tc>
      </w:tr>
    </w:tbl>
    <w:p>
      <w:pPr>
        <w:spacing w:after="80"/>
      </w:pPr>
    </w:p>
    <w:p>
      <w:pPr>
        <w:spacing w:after="100" w:line="280" w:lineRule="exact"/>
        <w:jc w:val="both"/>
      </w:pPr>
      <w:r>
        <w:rPr>
          <w:rFonts w:ascii="Calibri" w:hAnsi="Calibri"/>
          <w:b w:val="0"/>
          <w:i w:val="0"/>
          <w:sz w:val="22"/>
        </w:rPr>
        <w:t xml:space="preserve">Essa distinção evita um erro comum: tratar "o titular" do Capítulo 1 como se fosse sempre o investigado. Em processos de assédio, por exemplo, a vítima é tão titular quanto o acusado — e, como já visto no Capítulo 7 desta apostila, sua proteção pode até ser </w:t>
      </w:r>
      <w:r>
        <w:rPr>
          <w:rFonts w:ascii="Calibri" w:hAnsi="Calibri"/>
          <w:b/>
          <w:i w:val="0"/>
          <w:sz w:val="22"/>
        </w:rPr>
        <w:t>prioritária</w:t>
      </w:r>
      <w:r>
        <w:rPr>
          <w:rFonts w:ascii="Calibri" w:hAnsi="Calibri"/>
          <w:b w:val="0"/>
          <w:i w:val="0"/>
          <w:sz w:val="22"/>
        </w:rPr>
        <w:t xml:space="preserve"> à dele.</w:t>
      </w:r>
    </w:p>
    <w:p>
      <w:pPr>
        <w:pStyle w:val="Heading2"/>
        <w:spacing w:before="240" w:after="100"/>
        <w:pBdr>
          <w:left w:val="single" w:sz="18" w:space="6" w:color="BFA040"/>
        </w:pBdr>
      </w:pPr>
      <w:r>
        <w:rPr>
          <w:rFonts w:ascii="Arial Narrow" w:hAnsi="Arial Narrow"/>
          <w:b/>
          <w:color w:val="1E3A5F"/>
          <w:sz w:val="26"/>
        </w:rPr>
        <w:t>2.3 Princípios — Finalidade, Adequação e Necessidade</w:t>
      </w:r>
    </w:p>
    <w:p>
      <w:pPr>
        <w:spacing w:after="100" w:line="280" w:lineRule="exact"/>
        <w:jc w:val="both"/>
      </w:pPr>
      <w:r>
        <w:rPr>
          <w:rFonts w:ascii="Calibri" w:hAnsi="Calibri"/>
          <w:b w:val="0"/>
          <w:i w:val="0"/>
          <w:sz w:val="22"/>
        </w:rPr>
        <w:t>Entre os onze princípios do art. 6º da LGPD, três formam o núcleo duro que orienta qualquer decisão sobre tratamento de dados no setor público. São perguntas que devem ser respondidas antes de iniciar ou manter qualquer coleta.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Princípio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Pergunta prática</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Exemplo de violação</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Finalidade</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Para que vou usar esses dados? A finalidade é legítima, específica, explícita e comunicada ao titular?</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Banco de dados público coletava dado de raça dos cadastrados "porque talvez um dia se queira fazer uma política pública de raça". Sem finalidade definida e presente, a coleta é ilegítima — não existe finalidade futura e hipotética como base legal.</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Adequação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 forma como vou coletar é compatível com a finalidade? Os meios são proporcionais?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 xml:space="preserve">Exigir o envio de </w:t>
            </w:r>
            <w:r>
              <w:rPr>
                <w:rFonts w:ascii="Calibri" w:hAnsi="Calibri"/>
                <w:b w:val="0"/>
                <w:i/>
                <w:sz w:val="19"/>
              </w:rPr>
              <w:t>cópia</w:t>
            </w:r>
            <w:r>
              <w:rPr>
                <w:rFonts w:ascii="Calibri" w:hAnsi="Calibri"/>
                <w:b w:val="0"/>
                <w:i w:val="0"/>
                <w:sz w:val="19"/>
              </w:rPr>
              <w:t xml:space="preserve"> do CPF para inscrição em evento online gratuito — basta o número; a cópia do documento vai muito além do necessário para a finalidade de controle de inscrições.</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Necessidade</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Consigo chegar à mesma finalidade com menos dados? Esse dado é necessário ou apenas útil?</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Exigir biometria para liberação de catraca em condomínio ou academia — QR Code, crachá ou CPF atendem à mesma finalidade com dado muito menos sensível e perigoso.</w:t>
            </w:r>
          </w:p>
        </w:tc>
      </w:tr>
    </w:tbl>
    <w:p>
      <w:pPr>
        <w:spacing w:after="80"/>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PONTO-CHAVE  </w:t>
      </w:r>
      <w:r>
        <w:rPr>
          <w:rFonts w:ascii="Calibri" w:hAnsi="Calibri"/>
          <w:b w:val="0"/>
          <w:i w:val="0"/>
          <w:sz w:val="20"/>
        </w:rPr>
        <w:t xml:space="preserve">A pergunta correta não é "esse dado é </w:t>
      </w:r>
      <w:r>
        <w:rPr>
          <w:rFonts w:ascii="Calibri" w:hAnsi="Calibri"/>
          <w:b w:val="0"/>
          <w:i/>
          <w:sz w:val="20"/>
        </w:rPr>
        <w:t>útil</w:t>
      </w:r>
      <w:r>
        <w:rPr>
          <w:rFonts w:ascii="Calibri" w:hAnsi="Calibri"/>
          <w:b w:val="0"/>
          <w:i w:val="0"/>
          <w:sz w:val="20"/>
        </w:rPr>
        <w:t xml:space="preserve">?" — é "esse dado é </w:t>
      </w:r>
      <w:r>
        <w:rPr>
          <w:rFonts w:ascii="Calibri" w:hAnsi="Calibri"/>
          <w:b w:val="0"/>
          <w:i/>
          <w:sz w:val="20"/>
        </w:rPr>
        <w:t>necessário</w:t>
      </w:r>
      <w:r>
        <w:rPr>
          <w:rFonts w:ascii="Calibri" w:hAnsi="Calibri"/>
          <w:b w:val="0"/>
          <w:i w:val="0"/>
          <w:sz w:val="20"/>
        </w:rPr>
        <w:t>?". Dado inútil é dado em risco: se você coleta o que não precisa, está armazenando risco sem nenhuma contrapartida de finalidade. O princípio da necessidade protege tanto o titular quanto o próprio órgão.</w:t>
      </w:r>
    </w:p>
    <w:p>
      <w:pPr>
        <w:spacing w:after="60"/>
      </w:pPr>
    </w:p>
    <w:p>
      <w:pPr>
        <w:pStyle w:val="Heading3"/>
        <w:spacing w:before="160" w:after="60"/>
      </w:pPr>
      <w:r>
        <w:rPr>
          <w:rFonts w:ascii="Calibri" w:hAnsi="Calibri"/>
          <w:b/>
          <w:color w:val="1E3A5F"/>
          <w:sz w:val="22"/>
        </w:rPr>
        <w:t>Finalidade, adequação e necessidade nas diligências patrimoniais (SINPA)</w:t>
      </w:r>
    </w:p>
    <w:p>
      <w:pPr>
        <w:spacing w:after="100" w:line="280" w:lineRule="exact"/>
        <w:jc w:val="both"/>
      </w:pPr>
      <w:r>
        <w:rPr>
          <w:rFonts w:ascii="Calibri" w:hAnsi="Calibri"/>
          <w:b w:val="0"/>
          <w:i w:val="0"/>
          <w:sz w:val="22"/>
        </w:rPr>
        <w:t xml:space="preserve">O exemplo mais concreto desses três princípios na rotina da Corregedoria aparece justamente na Sindicância Patrimonial. O art. 53 da Portaria 27/2022 autoriza a comissão de SINPA a </w:t>
      </w:r>
      <w:r>
        <w:rPr>
          <w:rFonts w:ascii="Calibri" w:hAnsi="Calibri"/>
          <w:b/>
          <w:i w:val="0"/>
          <w:sz w:val="22"/>
        </w:rPr>
        <w:t>solicitar a quaisquer órgãos e entidades detentoras de dados</w:t>
      </w:r>
      <w:r>
        <w:rPr>
          <w:rFonts w:ascii="Calibri" w:hAnsi="Calibri"/>
          <w:b w:val="0"/>
          <w:i w:val="0"/>
          <w:sz w:val="22"/>
        </w:rPr>
        <w:t xml:space="preserve"> (cartórios, Detrans, juntas comerciais) informações sobre o patrimônio do investigado e de terceiros que guardem relação com o fato. Esse é exatamente o tipo de poder amplo que exige disciplina redobrada de necessidade e adequação:</w:t>
      </w:r>
    </w:p>
    <w:p>
      <w:pPr>
        <w:spacing w:after="100" w:line="280" w:lineRule="exact"/>
        <w:jc w:val="both"/>
      </w:pPr>
      <w:r>
        <w:rPr>
          <w:rFonts w:ascii="Calibri" w:hAnsi="Calibri"/>
          <w:b w:val="0"/>
          <w:i w:val="0"/>
          <w:sz w:val="22"/>
        </w:rPr>
        <w:t xml:space="preserve">- </w:t>
      </w:r>
      <w:r>
        <w:rPr>
          <w:rFonts w:ascii="Calibri" w:hAnsi="Calibri"/>
          <w:b/>
          <w:i w:val="0"/>
          <w:sz w:val="22"/>
        </w:rPr>
        <w:t>Finalidade</w:t>
      </w:r>
      <w:r>
        <w:rPr>
          <w:rFonts w:ascii="Calibri" w:hAnsi="Calibri"/>
          <w:b w:val="0"/>
          <w:i w:val="0"/>
          <w:sz w:val="22"/>
        </w:rPr>
        <w:t>: a solicitação deve estar vinculada à apuração de evolução patrimonial incompatível com os rendimentos (art. 50) — não a uma investigação genérica sobre a vida do investigado.</w:t>
      </w:r>
    </w:p>
    <w:p>
      <w:pPr>
        <w:spacing w:after="100" w:line="280" w:lineRule="exact"/>
        <w:jc w:val="both"/>
      </w:pPr>
      <w:r>
        <w:rPr>
          <w:rFonts w:ascii="Calibri" w:hAnsi="Calibri"/>
          <w:b w:val="0"/>
          <w:i w:val="0"/>
          <w:sz w:val="22"/>
        </w:rPr>
        <w:t xml:space="preserve">- </w:t>
      </w:r>
      <w:r>
        <w:rPr>
          <w:rFonts w:ascii="Calibri" w:hAnsi="Calibri"/>
          <w:b/>
          <w:i w:val="0"/>
          <w:sz w:val="22"/>
        </w:rPr>
        <w:t>Adequação</w:t>
      </w:r>
      <w:r>
        <w:rPr>
          <w:rFonts w:ascii="Calibri" w:hAnsi="Calibri"/>
          <w:b w:val="0"/>
          <w:i w:val="0"/>
          <w:sz w:val="22"/>
        </w:rPr>
        <w:t>: solicitar extrato bancário completo de décadas quando o fato apurado se refere a um período específico é desproporcional; o recorte temporal da solicitação deve refletir o recorte temporal do fato.</w:t>
      </w:r>
    </w:p>
    <w:p>
      <w:pPr>
        <w:spacing w:after="100" w:line="280" w:lineRule="exact"/>
        <w:jc w:val="both"/>
      </w:pPr>
      <w:r>
        <w:rPr>
          <w:rFonts w:ascii="Calibri" w:hAnsi="Calibri"/>
          <w:b w:val="0"/>
          <w:i w:val="0"/>
          <w:sz w:val="22"/>
        </w:rPr>
        <w:t xml:space="preserve">- </w:t>
      </w:r>
      <w:r>
        <w:rPr>
          <w:rFonts w:ascii="Calibri" w:hAnsi="Calibri"/>
          <w:b/>
          <w:i w:val="0"/>
          <w:sz w:val="22"/>
        </w:rPr>
        <w:t>Necessidade</w:t>
      </w:r>
      <w:r>
        <w:rPr>
          <w:rFonts w:ascii="Calibri" w:hAnsi="Calibri"/>
          <w:b w:val="0"/>
          <w:i w:val="0"/>
          <w:sz w:val="22"/>
        </w:rPr>
        <w:t xml:space="preserve">: o art. 54 da Portaria estabelece que a </w:t>
      </w:r>
      <w:r>
        <w:rPr>
          <w:rFonts w:ascii="Calibri" w:hAnsi="Calibri"/>
          <w:b w:val="0"/>
          <w:i/>
          <w:sz w:val="22"/>
        </w:rPr>
        <w:t>apresentação voluntária</w:t>
      </w:r>
      <w:r>
        <w:rPr>
          <w:rFonts w:ascii="Calibri" w:hAnsi="Calibri"/>
          <w:b w:val="0"/>
          <w:i w:val="0"/>
          <w:sz w:val="22"/>
        </w:rPr>
        <w:t xml:space="preserve"> de documentos fiscais/bancários pelo sindicado já implica renúncia ao sigilo </w:t>
      </w:r>
      <w:r>
        <w:rPr>
          <w:rFonts w:ascii="Calibri" w:hAnsi="Calibri"/>
          <w:b/>
          <w:i w:val="0"/>
          <w:sz w:val="22"/>
        </w:rPr>
        <w:t>para fins daquela apuração</w:t>
      </w:r>
      <w:r>
        <w:rPr>
          <w:rFonts w:ascii="Calibri" w:hAnsi="Calibri"/>
          <w:b w:val="0"/>
          <w:i w:val="0"/>
          <w:sz w:val="22"/>
        </w:rPr>
        <w:t xml:space="preserve"> — não para qualquer outro propósito. Reter ou utilizar esses dados além da finalidade da SINPA específica viola o princípio da necessidade.</w:t>
      </w:r>
    </w:p>
    <w:p>
      <w:pPr>
        <w:pStyle w:val="Heading2"/>
        <w:spacing w:before="240" w:after="100"/>
        <w:pBdr>
          <w:left w:val="single" w:sz="18" w:space="6" w:color="BFA040"/>
        </w:pBdr>
      </w:pPr>
      <w:r>
        <w:rPr>
          <w:rFonts w:ascii="Arial Narrow" w:hAnsi="Arial Narrow"/>
          <w:b/>
          <w:color w:val="1E3A5F"/>
          <w:sz w:val="26"/>
        </w:rPr>
        <w:t>2.4 Bases legais para tratamento</w:t>
      </w:r>
    </w:p>
    <w:p>
      <w:pPr>
        <w:spacing w:after="100" w:line="280" w:lineRule="exact"/>
        <w:jc w:val="both"/>
      </w:pPr>
      <w:r>
        <w:rPr>
          <w:rFonts w:ascii="Calibri" w:hAnsi="Calibri"/>
          <w:b w:val="0"/>
          <w:i w:val="0"/>
          <w:sz w:val="22"/>
        </w:rPr>
        <w:t xml:space="preserve">Todo tratamento de dados pessoais no Brasil precisa de </w:t>
      </w:r>
      <w:r>
        <w:rPr>
          <w:rFonts w:ascii="Calibri" w:hAnsi="Calibri"/>
          <w:b/>
          <w:i w:val="0"/>
          <w:sz w:val="22"/>
        </w:rPr>
        <w:t>base legal</w:t>
      </w:r>
      <w:r>
        <w:rPr>
          <w:rFonts w:ascii="Calibri" w:hAnsi="Calibri"/>
          <w:b w:val="0"/>
          <w:i w:val="0"/>
          <w:sz w:val="22"/>
        </w:rPr>
        <w:t xml:space="preserve"> (art. 7º para dados gerais; art. 11 para dados sensíveis). O consentimento </w:t>
      </w:r>
      <w:r>
        <w:rPr>
          <w:rFonts w:ascii="Calibri" w:hAnsi="Calibri"/>
          <w:b/>
          <w:i w:val="0"/>
          <w:sz w:val="22"/>
        </w:rPr>
        <w:t>não</w:t>
      </w:r>
      <w:r>
        <w:rPr>
          <w:rFonts w:ascii="Calibri" w:hAnsi="Calibri"/>
          <w:b w:val="0"/>
          <w:i w:val="0"/>
          <w:sz w:val="22"/>
        </w:rPr>
        <w:t xml:space="preserve"> é a única base — e, para o Poder Público, raramente será a mais adequada. As bases mais vocacionadas para o setor público são:</w:t>
      </w:r>
    </w:p>
    <w:p>
      <w:pPr>
        <w:spacing w:after="60" w:line="270" w:lineRule="exact"/>
        <w:ind w:left="397"/>
        <w:jc w:val="both"/>
      </w:pPr>
      <w:r>
        <w:rPr>
          <w:rFonts w:ascii="Calibri" w:hAnsi="Calibri"/>
          <w:sz w:val="22"/>
        </w:rPr>
        <w:t xml:space="preserve">— </w:t>
      </w:r>
      <w:r>
        <w:rPr>
          <w:rFonts w:ascii="Calibri" w:hAnsi="Calibri"/>
          <w:b/>
          <w:i w:val="0"/>
          <w:sz w:val="22"/>
        </w:rPr>
        <w:t>Cumprimento de obrigação legal ou regulatória</w:t>
      </w:r>
      <w:r>
        <w:rPr>
          <w:rFonts w:ascii="Calibri" w:hAnsi="Calibri"/>
          <w:b w:val="0"/>
          <w:i w:val="0"/>
          <w:sz w:val="22"/>
        </w:rPr>
        <w:t xml:space="preserve"> (art. 7º, II): exige norma válida e vigente — lei, decreto, instrução normativa, resolução de agência etc. Não basta conveniência administrativa.</w:t>
      </w:r>
    </w:p>
    <w:p>
      <w:pPr>
        <w:spacing w:after="60" w:line="270" w:lineRule="exact"/>
        <w:ind w:left="397"/>
        <w:jc w:val="both"/>
      </w:pPr>
      <w:r>
        <w:rPr>
          <w:rFonts w:ascii="Calibri" w:hAnsi="Calibri"/>
          <w:sz w:val="22"/>
        </w:rPr>
        <w:t xml:space="preserve">— </w:t>
      </w:r>
      <w:r>
        <w:rPr>
          <w:rFonts w:ascii="Calibri" w:hAnsi="Calibri"/>
          <w:b/>
          <w:i w:val="0"/>
          <w:sz w:val="22"/>
        </w:rPr>
        <w:t>Execução de políticas públicas</w:t>
      </w:r>
      <w:r>
        <w:rPr>
          <w:rFonts w:ascii="Calibri" w:hAnsi="Calibri"/>
          <w:b w:val="0"/>
          <w:i w:val="0"/>
          <w:sz w:val="22"/>
        </w:rPr>
        <w:t xml:space="preserve"> (art. 7º, III): exige ato formal que institua a política (lei, regulamento, contrato, convênio etc.) e objetivo governamental claro. Exclusiva do Poder Público.</w:t>
      </w:r>
    </w:p>
    <w:p>
      <w:pPr>
        <w:pStyle w:val="Heading3"/>
        <w:spacing w:before="160" w:after="60"/>
      </w:pPr>
      <w:r>
        <w:rPr>
          <w:rFonts w:ascii="Calibri" w:hAnsi="Calibri"/>
          <w:b/>
          <w:color w:val="1E3A5F"/>
          <w:sz w:val="22"/>
        </w:rPr>
        <w:t>O problema do consentimento</w:t>
      </w:r>
    </w:p>
    <w:p>
      <w:pPr>
        <w:spacing w:after="100" w:line="280" w:lineRule="exact"/>
        <w:jc w:val="both"/>
      </w:pPr>
      <w:r>
        <w:rPr>
          <w:rFonts w:ascii="Calibri" w:hAnsi="Calibri"/>
          <w:b w:val="0"/>
          <w:i w:val="0"/>
          <w:sz w:val="22"/>
        </w:rPr>
        <w:t>O consentimento é, talvez, a base legal mais conhecida — e a mais problemática. Há um costume de tratá-lo como a base universal, uma espécie de "coringa" que resolve qualquer situação. Na prática, ele é profundamente questionável por várias razões:</w:t>
      </w:r>
    </w:p>
    <w:p>
      <w:pPr>
        <w:spacing w:after="60" w:line="270" w:lineRule="exact"/>
        <w:ind w:left="397"/>
        <w:jc w:val="both"/>
      </w:pPr>
      <w:r>
        <w:rPr>
          <w:rFonts w:ascii="Calibri" w:hAnsi="Calibri"/>
          <w:sz w:val="22"/>
        </w:rPr>
        <w:t xml:space="preserve">— </w:t>
      </w:r>
      <w:r>
        <w:rPr>
          <w:rFonts w:ascii="Calibri" w:hAnsi="Calibri"/>
          <w:b/>
          <w:i w:val="0"/>
          <w:sz w:val="22"/>
        </w:rPr>
        <w:t>Fadiga do consentimento:</w:t>
      </w:r>
      <w:r>
        <w:rPr>
          <w:rFonts w:ascii="Calibri" w:hAnsi="Calibri"/>
          <w:b w:val="0"/>
          <w:i w:val="0"/>
          <w:sz w:val="22"/>
        </w:rPr>
        <w:t xml:space="preserve"> somos bombardeados de termos de uso imensos, escritos em juridiquês, que ninguém lê. Clica-se em "aceitar" por pura fadiga cognitiva — o consentimento deixa de ser uma escolha real e vira um ritual esvaziado.</w:t>
      </w:r>
    </w:p>
    <w:p>
      <w:pPr>
        <w:spacing w:after="60" w:line="270" w:lineRule="exact"/>
        <w:ind w:left="397"/>
        <w:jc w:val="both"/>
      </w:pPr>
      <w:r>
        <w:rPr>
          <w:rFonts w:ascii="Calibri" w:hAnsi="Calibri"/>
          <w:sz w:val="22"/>
        </w:rPr>
        <w:t xml:space="preserve">— </w:t>
      </w:r>
      <w:r>
        <w:rPr>
          <w:rFonts w:ascii="Calibri" w:hAnsi="Calibri"/>
          <w:b/>
          <w:i w:val="0"/>
          <w:sz w:val="22"/>
        </w:rPr>
        <w:t>Consentimento raramente é livre:</w:t>
      </w:r>
      <w:r>
        <w:rPr>
          <w:rFonts w:ascii="Calibri" w:hAnsi="Calibri"/>
          <w:b w:val="0"/>
          <w:i w:val="0"/>
          <w:sz w:val="22"/>
        </w:rPr>
        <w:t xml:space="preserve"> para que seja válido, o consentimento precisa ser livre, informado e inequívoco (art. 5º, XII, LGPD). Em relações de hipossuficiência — e o cidadão é hipossuficiente diante do Estado e diante das grandes plataformas — essa liberdade é ficção. Quando o serviço só é prestado se você aceitar, o consentimento não é livre.</w:t>
      </w:r>
    </w:p>
    <w:p>
      <w:pPr>
        <w:spacing w:after="60" w:line="270" w:lineRule="exact"/>
        <w:ind w:left="397"/>
        <w:jc w:val="both"/>
      </w:pPr>
      <w:r>
        <w:rPr>
          <w:rFonts w:ascii="Calibri" w:hAnsi="Calibri"/>
          <w:sz w:val="22"/>
        </w:rPr>
        <w:t xml:space="preserve">— </w:t>
      </w:r>
      <w:r>
        <w:rPr>
          <w:rFonts w:ascii="Calibri" w:hAnsi="Calibri"/>
          <w:b/>
          <w:i w:val="0"/>
          <w:sz w:val="22"/>
        </w:rPr>
        <w:t>Inverte a responsabilidade:</w:t>
      </w:r>
      <w:r>
        <w:rPr>
          <w:rFonts w:ascii="Calibri" w:hAnsi="Calibri"/>
          <w:b w:val="0"/>
          <w:i w:val="0"/>
          <w:sz w:val="22"/>
        </w:rPr>
        <w:t xml:space="preserve"> ao usar o consentimento como base, o agente de tratamento joga nas costas do titular o risco da atividade econômica ou governamental. "Você aceitou" vira um escudo contra a responsabilização. Se o direito à proteção de dados está mais próximo de um direito de personalidade do que de um bem patrimonial, há forte discussão sobre até que ponto ele pode ser objeto de renúncia.</w:t>
      </w:r>
    </w:p>
    <w:p>
      <w:pPr>
        <w:spacing w:after="60" w:line="270" w:lineRule="exact"/>
        <w:ind w:left="397"/>
        <w:jc w:val="both"/>
      </w:pPr>
      <w:r>
        <w:rPr>
          <w:rFonts w:ascii="Calibri" w:hAnsi="Calibri"/>
          <w:sz w:val="22"/>
        </w:rPr>
        <w:t xml:space="preserve">— </w:t>
      </w:r>
      <w:r>
        <w:rPr>
          <w:rFonts w:ascii="Calibri" w:hAnsi="Calibri"/>
          <w:b/>
          <w:i w:val="0"/>
          <w:sz w:val="22"/>
        </w:rPr>
        <w:t>Para o Poder Público é base residual:</w:t>
      </w:r>
      <w:r>
        <w:rPr>
          <w:rFonts w:ascii="Calibri" w:hAnsi="Calibri"/>
          <w:b w:val="0"/>
          <w:i w:val="0"/>
          <w:sz w:val="22"/>
        </w:rPr>
        <w:t xml:space="preserve"> a relação Estado-cidadão é estruturalmente assimétrica — dificilmente um consentimento dado ao Estado é genuinamente livre. As bases adequadas para o setor público são, via de regra, o cumprimento de obrigação legal (art. 7º, II) e a execução de políticas públicas (art. 7º, III).</w:t>
      </w: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w:t>
      </w:r>
      <w:r>
        <w:rPr>
          <w:rFonts w:ascii="Calibri" w:hAnsi="Calibri"/>
          <w:b w:val="0"/>
          <w:i w:val="0"/>
          <w:sz w:val="20"/>
        </w:rPr>
        <w:t>Não precisar de consentimento não é um problema — é a regra para o Poder Público. O que importa é ter base legal legítima, finalidade definida e tratamento proporcional. Legítimo interesse é incompatível com obrigações compulsórias; só cabível em contextos auxiliares, sem prerrogativas estatais típicas.</w:t>
      </w:r>
    </w:p>
    <w:p>
      <w:pPr>
        <w:spacing w:after="60"/>
      </w:pPr>
    </w:p>
    <w:p>
      <w:pPr>
        <w:spacing w:before="100" w:after="20"/>
        <w:ind w:left="227" w:right="170"/>
        <w:jc w:val="both"/>
        <w:pBdr>
          <w:left w:val="single" w:sz="24" w:space="6" w:color="707070"/>
        </w:pBdr>
        <w:shd w:val="clear" w:color="auto" w:fill="F4F4F4"/>
      </w:pPr>
      <w:r>
        <w:rPr>
          <w:rFonts w:ascii="Arial Narrow" w:hAnsi="Arial Narrow"/>
          <w:b/>
          <w:color w:val="707070"/>
          <w:sz w:val="18"/>
        </w:rPr>
        <w:t xml:space="preserve">LEI  </w:t>
      </w:r>
      <w:r>
        <w:rPr>
          <w:rFonts w:ascii="Calibri" w:hAnsi="Calibri"/>
          <w:b w:val="0"/>
          <w:i w:val="0"/>
          <w:sz w:val="20"/>
        </w:rPr>
        <w:t>Art. 7º, II — LGPD: "O tratamento de dados pessoais somente poderá ser realizado nas seguintes hipóteses: II — para o cumprimento de obrigação legal ou regulatória pelo controlador."</w:t>
      </w:r>
    </w:p>
    <w:p>
      <w:pPr>
        <w:spacing w:before="20" w:after="20"/>
        <w:ind w:left="227" w:right="170"/>
        <w:jc w:val="both"/>
        <w:pBdr>
          <w:left w:val="single" w:sz="24" w:space="6" w:color="707070"/>
        </w:pBdr>
        <w:shd w:val="clear" w:color="auto" w:fill="F4F4F4"/>
      </w:pPr>
      <w:r>
        <w:rPr>
          <w:rFonts w:ascii="Calibri" w:hAnsi="Calibri"/>
          <w:b w:val="0"/>
          <w:i w:val="0"/>
          <w:sz w:val="20"/>
        </w:rPr>
        <w:t>Art. 23 — LGPD: O tratamento de dados pessoais pelas pessoas jurídicas de direito público deverá ser realizado para o atendimento de sua finalidade pública, na persecução do interesse público, com o objetivo de executar as competências legais ou cumprir as atribuições legais do serviço público.</w:t>
      </w:r>
    </w:p>
    <w:p>
      <w:pPr>
        <w:spacing w:after="60"/>
      </w:pPr>
    </w:p>
    <w:p>
      <w:pPr>
        <w:pStyle w:val="Heading3"/>
        <w:spacing w:before="160" w:after="60"/>
      </w:pPr>
      <w:r>
        <w:rPr>
          <w:rFonts w:ascii="Calibri" w:hAnsi="Calibri"/>
          <w:b/>
          <w:color w:val="1E3A5F"/>
          <w:sz w:val="22"/>
        </w:rPr>
        <w:t>A base legal específica da atividade correcional</w:t>
      </w:r>
    </w:p>
    <w:p>
      <w:pPr>
        <w:spacing w:after="100" w:line="280" w:lineRule="exact"/>
        <w:jc w:val="both"/>
      </w:pPr>
      <w:r>
        <w:rPr>
          <w:rFonts w:ascii="Calibri" w:hAnsi="Calibri"/>
          <w:b w:val="0"/>
          <w:i w:val="0"/>
          <w:sz w:val="22"/>
        </w:rPr>
        <w:t>Como já visto no Capítulo 1 (item 1.2), a Portaria 27/2022 fecha esse raciocínio de forma direta para a Corregedoria:</w:t>
      </w:r>
    </w:p>
    <w:p>
      <w:pPr>
        <w:spacing w:before="100" w:after="20"/>
        <w:ind w:left="227" w:right="170"/>
        <w:jc w:val="both"/>
        <w:pBdr>
          <w:left w:val="single" w:sz="24" w:space="6" w:color="2E75B6"/>
        </w:pBdr>
        <w:shd w:val="clear" w:color="auto" w:fill="EBF3FB"/>
      </w:pPr>
      <w:r>
        <w:rPr>
          <w:rFonts w:ascii="Calibri" w:hAnsi="Calibri"/>
          <w:b/>
          <w:i w:val="0"/>
          <w:sz w:val="20"/>
        </w:rPr>
        <w:t xml:space="preserve">ART. 116, </w:t>
      </w:r>
      <w:r>
        <w:rPr>
          <w:rFonts w:ascii="Calibri" w:hAnsi="Calibri"/>
          <w:b/>
          <w:i/>
          <w:sz w:val="20"/>
        </w:rPr>
        <w:t>CAPUT</w:t>
      </w:r>
      <w:r>
        <w:rPr>
          <w:rFonts w:ascii="Calibri" w:hAnsi="Calibri"/>
          <w:b/>
          <w:i w:val="0"/>
          <w:sz w:val="20"/>
        </w:rPr>
        <w:t xml:space="preserve"> E PARÁGRAFO ÚNICO, DA PORTARIA 27/2022</w:t>
      </w:r>
      <w:r>
        <w:rPr>
          <w:rFonts w:ascii="Calibri" w:hAnsi="Calibri"/>
          <w:b w:val="0"/>
          <w:i w:val="0"/>
          <w:sz w:val="20"/>
        </w:rPr>
        <w:t xml:space="preserve"> </w:t>
      </w:r>
      <w:r>
        <w:rPr>
          <w:rFonts w:ascii="Calibri" w:hAnsi="Calibri"/>
          <w:b w:val="0"/>
          <w:i/>
          <w:sz w:val="20"/>
        </w:rPr>
        <w:t>"Nos procedimentos investigativos, no TAC e nos processos correcionais, os dados pessoais necessários à devida instrução probatória serão tratados em consonância com os princípios estabelecidos no art. 6º da Lei nº 13.709 [...]. O tratamento de dados a que se refere o caput independe do consentimento do titular."</w:t>
      </w:r>
    </w:p>
    <w:p>
      <w:pPr>
        <w:spacing w:after="60"/>
      </w:pPr>
    </w:p>
    <w:p>
      <w:pPr>
        <w:spacing w:after="100" w:line="280" w:lineRule="exact"/>
        <w:jc w:val="both"/>
      </w:pPr>
      <w:r>
        <w:rPr>
          <w:rFonts w:ascii="Calibri" w:hAnsi="Calibri"/>
          <w:b w:val="0"/>
          <w:i w:val="0"/>
          <w:sz w:val="22"/>
        </w:rPr>
        <w:t xml:space="preserve">Ou seja: a base legal do tratamento de dados pessoais em qualquer um dos oito tipos de procedimento/processo da Portaria (IPS, SINVE, SINPA, IP, SINAC, PAD, PAD sumário, PAR) é o </w:t>
      </w:r>
      <w:r>
        <w:rPr>
          <w:rFonts w:ascii="Calibri" w:hAnsi="Calibri"/>
          <w:b/>
          <w:i w:val="0"/>
          <w:sz w:val="22"/>
        </w:rPr>
        <w:t>art. 7º, II e III, da LGPD</w:t>
      </w:r>
      <w:r>
        <w:rPr>
          <w:rFonts w:ascii="Calibri" w:hAnsi="Calibri"/>
          <w:b w:val="0"/>
          <w:i w:val="0"/>
          <w:sz w:val="22"/>
        </w:rPr>
        <w:t xml:space="preserve"> — cumprimento de obrigação legal (a própria Lei nº 8.112/1990, a Lei nº 12.846/2013 e a Portaria 27/2022) combinado com a execução da competência legal de apuração disciplinar. O servidor nunca precisa — nem deve — pedir "autorização" ao investigado para tratar seus dados nos autos. O que se exige dele é a observância dos princípios do art. 6º, não o consentimento do art. 5º, XII.</w:t>
      </w:r>
    </w:p>
    <w:p>
      <w:pPr>
        <w:pStyle w:val="Heading2"/>
        <w:spacing w:before="240" w:after="100"/>
        <w:pBdr>
          <w:left w:val="single" w:sz="18" w:space="6" w:color="BFA040"/>
        </w:pBdr>
      </w:pPr>
      <w:r>
        <w:rPr>
          <w:rFonts w:ascii="Arial Narrow" w:hAnsi="Arial Narrow"/>
          <w:b/>
          <w:color w:val="1E3A5F"/>
          <w:sz w:val="26"/>
        </w:rPr>
        <w:t>2.5 Tratamento pelo Poder Público — Regras e Limites</w:t>
      </w:r>
    </w:p>
    <w:p>
      <w:pPr>
        <w:spacing w:after="100" w:line="280" w:lineRule="exact"/>
        <w:jc w:val="both"/>
      </w:pPr>
      <w:r>
        <w:rPr>
          <w:rFonts w:ascii="Calibri" w:hAnsi="Calibri"/>
          <w:b w:val="0"/>
          <w:i w:val="0"/>
          <w:sz w:val="22"/>
        </w:rPr>
        <w:t>O Estado é importantíssimo agente de tratamento de dados pessoais. A LGPD (arts. 23 e ss.) traz regras específicas:</w:t>
      </w:r>
    </w:p>
    <w:p>
      <w:pPr>
        <w:spacing w:after="60" w:line="270" w:lineRule="exact"/>
        <w:ind w:left="397"/>
        <w:jc w:val="both"/>
      </w:pPr>
      <w:r>
        <w:rPr>
          <w:rFonts w:ascii="Calibri" w:hAnsi="Calibri"/>
          <w:sz w:val="22"/>
        </w:rPr>
        <w:t xml:space="preserve">— </w:t>
      </w:r>
      <w:r>
        <w:rPr>
          <w:rFonts w:ascii="Calibri" w:hAnsi="Calibri"/>
          <w:b w:val="0"/>
          <w:i w:val="0"/>
          <w:sz w:val="22"/>
        </w:rPr>
        <w:t>Informar publicamente as hipóteses de tratamento (previsão legal, finalidade, procedimentos e práticas) — transparência ativa.</w:t>
      </w:r>
    </w:p>
    <w:p>
      <w:pPr>
        <w:spacing w:after="60" w:line="270" w:lineRule="exact"/>
        <w:ind w:left="397"/>
        <w:jc w:val="both"/>
      </w:pPr>
      <w:r>
        <w:rPr>
          <w:rFonts w:ascii="Calibri" w:hAnsi="Calibri"/>
          <w:sz w:val="22"/>
        </w:rPr>
        <w:t xml:space="preserve">— </w:t>
      </w:r>
      <w:r>
        <w:rPr>
          <w:rFonts w:ascii="Calibri" w:hAnsi="Calibri"/>
          <w:b w:val="0"/>
          <w:i w:val="0"/>
          <w:sz w:val="22"/>
        </w:rPr>
        <w:t>Nomear encarregado (DPO).</w:t>
      </w:r>
    </w:p>
    <w:p>
      <w:pPr>
        <w:spacing w:after="60" w:line="270" w:lineRule="exact"/>
        <w:ind w:left="397"/>
        <w:jc w:val="both"/>
      </w:pPr>
      <w:r>
        <w:rPr>
          <w:rFonts w:ascii="Calibri" w:hAnsi="Calibri"/>
          <w:sz w:val="22"/>
        </w:rPr>
        <w:t xml:space="preserve">— </w:t>
      </w:r>
      <w:r>
        <w:rPr>
          <w:rFonts w:ascii="Calibri" w:hAnsi="Calibri"/>
          <w:b w:val="0"/>
          <w:i w:val="0"/>
          <w:sz w:val="22"/>
        </w:rPr>
        <w:t>Atender ao interesse público e ter finalidade pública.</w:t>
      </w:r>
    </w:p>
    <w:p>
      <w:pPr>
        <w:spacing w:after="60" w:line="270" w:lineRule="exact"/>
        <w:ind w:left="397"/>
        <w:jc w:val="both"/>
      </w:pPr>
      <w:r>
        <w:rPr>
          <w:rFonts w:ascii="Calibri" w:hAnsi="Calibri"/>
          <w:sz w:val="22"/>
        </w:rPr>
        <w:t xml:space="preserve">— </w:t>
      </w:r>
      <w:r>
        <w:rPr>
          <w:rFonts w:ascii="Calibri" w:hAnsi="Calibri"/>
          <w:b w:val="0"/>
          <w:i w:val="0"/>
          <w:sz w:val="22"/>
        </w:rPr>
        <w:t>Estar vinculado a competência ou atribuição legal.</w:t>
      </w:r>
    </w:p>
    <w:p>
      <w:pPr>
        <w:spacing w:after="100" w:line="280" w:lineRule="exact"/>
        <w:jc w:val="both"/>
      </w:pPr>
      <w:r>
        <w:rPr>
          <w:rFonts w:ascii="Calibri" w:hAnsi="Calibri"/>
          <w:b w:val="0"/>
          <w:i w:val="0"/>
          <w:sz w:val="22"/>
        </w:rPr>
        <w:t xml:space="preserve">Quando órgãos públicos tratam </w:t>
      </w:r>
      <w:r>
        <w:rPr>
          <w:rFonts w:ascii="Calibri" w:hAnsi="Calibri"/>
          <w:b/>
          <w:i w:val="0"/>
          <w:sz w:val="22"/>
        </w:rPr>
        <w:t>dados sensíveis</w:t>
      </w:r>
      <w:r>
        <w:rPr>
          <w:rFonts w:ascii="Calibri" w:hAnsi="Calibri"/>
          <w:b w:val="0"/>
          <w:i w:val="0"/>
          <w:sz w:val="22"/>
        </w:rPr>
        <w:t xml:space="preserve"> com dispensa de consentimento, é obrigatório publicar a dispensa (art. 11, §2º) e indicar base legal, finalidade e práticas de tratamento (art. 23, I) — transparência reforçada.</w:t>
      </w:r>
    </w:p>
    <w:p>
      <w:pPr>
        <w:pStyle w:val="Heading3"/>
        <w:spacing w:before="160" w:after="60"/>
      </w:pPr>
      <w:r>
        <w:rPr>
          <w:rFonts w:ascii="Calibri" w:hAnsi="Calibri"/>
          <w:b/>
          <w:color w:val="1E3A5F"/>
          <w:sz w:val="22"/>
        </w:rPr>
        <w:t>O tratamento de dados pelo Poder Público está sob escrutínio reforçado da ANPD</w:t>
      </w:r>
    </w:p>
    <w:p>
      <w:pPr>
        <w:spacing w:after="100" w:line="280" w:lineRule="exact"/>
        <w:jc w:val="both"/>
      </w:pPr>
      <w:r>
        <w:rPr>
          <w:rFonts w:ascii="Calibri" w:hAnsi="Calibri"/>
          <w:b w:val="0"/>
          <w:i w:val="0"/>
          <w:sz w:val="22"/>
        </w:rPr>
        <w:t xml:space="preserve">Vale que os servidores da Corregedoria tenham conhecimento de um movimento institucional recente: a ANPD publicou, em dezembro de 2025, o </w:t>
      </w:r>
      <w:r>
        <w:rPr>
          <w:rFonts w:ascii="Calibri" w:hAnsi="Calibri"/>
          <w:b/>
          <w:i w:val="0"/>
          <w:sz w:val="22"/>
        </w:rPr>
        <w:t>Mapa de Temas Prioritários para Fiscalização e Atuação Regulatória no biênio 2026–2027</w:t>
      </w:r>
      <w:r>
        <w:rPr>
          <w:rFonts w:ascii="Calibri" w:hAnsi="Calibri"/>
          <w:b w:val="0"/>
          <w:i w:val="0"/>
          <w:sz w:val="22"/>
        </w:rPr>
        <w:t xml:space="preserve"> (Resolução CD/ANPD nº 30/2025), que elege </w:t>
      </w:r>
      <w:r>
        <w:rPr>
          <w:rFonts w:ascii="Calibri" w:hAnsi="Calibri"/>
          <w:b/>
          <w:i w:val="0"/>
          <w:sz w:val="22"/>
        </w:rPr>
        <w:t>o tratamento de dados pessoais pelo Poder Público</w:t>
      </w:r>
      <w:r>
        <w:rPr>
          <w:rFonts w:ascii="Calibri" w:hAnsi="Calibri"/>
          <w:b w:val="0"/>
          <w:i w:val="0"/>
          <w:sz w:val="22"/>
        </w:rPr>
        <w:t xml:space="preserve"> como um dos quatro eixos estratégicos de fiscalização da Autoridade — ao lado da proteção de dados de crianças/adolescentes, dos direitos dos titulares e da inteligência artificial. Isso significa, na prática, que órgãos como a RFB devem esperar maior atenção específica da ANPD sobre como tratam dados pessoais — incluindo dados em processos correcionais, dado o volume de informações sensíveis que esse tipo de atividade concentra.</w:t>
      </w:r>
    </w:p>
    <w:p>
      <w:pPr>
        <w:spacing w:after="100" w:line="280" w:lineRule="exact"/>
        <w:jc w:val="both"/>
      </w:pPr>
      <w:r>
        <w:rPr>
          <w:rFonts w:ascii="Calibri" w:hAnsi="Calibri"/>
          <w:b w:val="0"/>
          <w:i w:val="0"/>
          <w:sz w:val="22"/>
        </w:rPr>
        <w:t xml:space="preserve">Um instrumento que vem ganhando peso nesse cenário, e que a apostila ainda não trata, é o </w:t>
      </w:r>
      <w:r>
        <w:rPr>
          <w:rFonts w:ascii="Calibri" w:hAnsi="Calibri"/>
          <w:b/>
          <w:i w:val="0"/>
          <w:sz w:val="22"/>
        </w:rPr>
        <w:t>Relatório de Impacto à Proteção de Dados Pessoais (RIPD)</w:t>
      </w:r>
      <w:r>
        <w:rPr>
          <w:rFonts w:ascii="Calibri" w:hAnsi="Calibri"/>
          <w:b w:val="0"/>
          <w:i w:val="0"/>
          <w:sz w:val="22"/>
        </w:rPr>
        <w:t xml:space="preserve"> — previsto no art. 5º, XVII, e art. 38 da LGPD. Trata-se de um documento que descreve os processos de tratamento de dados capazes de gerar riscos às liberdades civis e aos direitos fundamentais, bem como as medidas de mitigação adotadas. A ANPD já aplicou sanções a órgãos públicos justamente pela ausência de RIPD em tratamentos de alto risco — e a SINPA, por envolver dados patrimoniais, fiscais e bancários de terceiros em larga escala, e o tratamento de oitivas de assédio, por envolver dados de saúde e vida sexual, são exemplos de processos correcionais que poderiam justificar a elaboração de um RIPD institucional pela Corregedoria, mesmo sem obrigatoriedade legal expressa hoje.</w:t>
      </w:r>
    </w:p>
    <w:p>
      <w:pPr>
        <w:pStyle w:val="Heading2"/>
        <w:spacing w:before="240" w:after="100"/>
        <w:pBdr>
          <w:left w:val="single" w:sz="18" w:space="6" w:color="BFA040"/>
        </w:pBdr>
      </w:pPr>
      <w:r>
        <w:rPr>
          <w:rFonts w:ascii="Arial Narrow" w:hAnsi="Arial Narrow"/>
          <w:b/>
          <w:color w:val="1E3A5F"/>
          <w:sz w:val="26"/>
        </w:rPr>
        <w:t>2.6 Regime Sancionador</w:t>
      </w:r>
    </w:p>
    <w:p>
      <w:pPr>
        <w:spacing w:after="100" w:line="280" w:lineRule="exact"/>
        <w:jc w:val="both"/>
      </w:pPr>
      <w:r>
        <w:rPr>
          <w:rFonts w:ascii="Calibri" w:hAnsi="Calibri"/>
          <w:b w:val="0"/>
          <w:i w:val="0"/>
          <w:sz w:val="22"/>
        </w:rPr>
        <w:t xml:space="preserve">A LGPD prevê dois modelos sancionatórios: o </w:t>
      </w:r>
      <w:r>
        <w:rPr>
          <w:rFonts w:ascii="Calibri" w:hAnsi="Calibri"/>
          <w:b/>
          <w:i w:val="0"/>
          <w:sz w:val="22"/>
        </w:rPr>
        <w:t>civil</w:t>
      </w:r>
      <w:r>
        <w:rPr>
          <w:rFonts w:ascii="Calibri" w:hAnsi="Calibri"/>
          <w:b w:val="0"/>
          <w:i w:val="0"/>
          <w:sz w:val="22"/>
        </w:rPr>
        <w:t xml:space="preserve"> (reparação de danos, Poder Judiciário, art. 42) e o </w:t>
      </w:r>
      <w:r>
        <w:rPr>
          <w:rFonts w:ascii="Calibri" w:hAnsi="Calibri"/>
          <w:b/>
          <w:i w:val="0"/>
          <w:sz w:val="22"/>
        </w:rPr>
        <w:t>administrativo</w:t>
      </w:r>
      <w:r>
        <w:rPr>
          <w:rFonts w:ascii="Calibri" w:hAnsi="Calibri"/>
          <w:b w:val="0"/>
          <w:i w:val="0"/>
          <w:sz w:val="22"/>
        </w:rPr>
        <w:t xml:space="preserve"> (descumprimento das normas, competência exclusiva da ANPD, art. 52).</w:t>
      </w:r>
    </w:p>
    <w:p>
      <w:pPr>
        <w:spacing w:after="100" w:line="280" w:lineRule="exact"/>
        <w:jc w:val="both"/>
      </w:pPr>
      <w:r>
        <w:rPr>
          <w:rFonts w:ascii="Calibri" w:hAnsi="Calibri"/>
          <w:b w:val="0"/>
          <w:i w:val="0"/>
          <w:sz w:val="22"/>
        </w:rPr>
        <w:t>Sanções administrativas aplicáveis pela ANPD (art. 52): advertência; multa simples (até 2% do faturamento, limitada a R$ 50 milhões por infração); multa diária; publicização da infração; bloqueio e eliminação dos dados; suspensão do banco de dados ou do exercício da atividade; proibição total ou parcial de atividades de tratamento.</w:t>
      </w:r>
    </w:p>
    <w:p>
      <w:pPr>
        <w:spacing w:after="100" w:line="280" w:lineRule="exact"/>
        <w:jc w:val="both"/>
      </w:pPr>
      <w:r>
        <w:rPr>
          <w:rFonts w:ascii="Calibri" w:hAnsi="Calibri"/>
          <w:b w:val="0"/>
          <w:i w:val="0"/>
          <w:sz w:val="22"/>
        </w:rPr>
        <w:t xml:space="preserve">O regime de responsabilidade do servidor não é específico da LGPD — é o regime comum do direito administrativo disciplinar (Lei nº 8.112/1990). A LGPD responsabiliza os </w:t>
      </w:r>
      <w:r>
        <w:rPr>
          <w:rFonts w:ascii="Calibri" w:hAnsi="Calibri"/>
          <w:b w:val="0"/>
          <w:i/>
          <w:sz w:val="22"/>
        </w:rPr>
        <w:t>agentes de tratamento</w:t>
      </w:r>
      <w:r>
        <w:rPr>
          <w:rFonts w:ascii="Calibri" w:hAnsi="Calibri"/>
          <w:b w:val="0"/>
          <w:i w:val="0"/>
          <w:sz w:val="22"/>
        </w:rPr>
        <w:t>, não os servidores individualmente.</w:t>
      </w:r>
    </w:p>
    <w:p>
      <w:pPr>
        <w:pStyle w:val="Heading3"/>
        <w:spacing w:before="160" w:after="60"/>
      </w:pPr>
      <w:r>
        <w:rPr>
          <w:rFonts w:ascii="Calibri" w:hAnsi="Calibri"/>
          <w:b/>
          <w:color w:val="1E3A5F"/>
          <w:sz w:val="22"/>
        </w:rPr>
        <w:t>Uma terceira camada de responsabilidade: a Lei de Improbidade Administrativa</w:t>
      </w:r>
    </w:p>
    <w:p>
      <w:pPr>
        <w:spacing w:after="100" w:line="280" w:lineRule="exact"/>
        <w:jc w:val="both"/>
      </w:pPr>
      <w:r>
        <w:rPr>
          <w:rFonts w:ascii="Calibri" w:hAnsi="Calibri"/>
          <w:b w:val="0"/>
          <w:i w:val="0"/>
          <w:sz w:val="22"/>
        </w:rPr>
        <w:t xml:space="preserve">Além do regime sancionador da LGPD (que recai sobre o agente de tratamento — a RFB) e do regime disciplinar comum (Lei nº 8.112/1990, que recai sobre o servidor individualmente), há uma terceira camada que vale ter em mente: a exposição indevida ou o uso desviado de dados pessoais sigilosos por agente público — por exemplo, divulgar dados de um PAD em andamento, vazar a identidade de um denunciante ou de uma vítima de assédio — pode, em tese, configurar também </w:t>
      </w:r>
      <w:r>
        <w:rPr>
          <w:rFonts w:ascii="Calibri" w:hAnsi="Calibri"/>
          <w:b/>
          <w:i w:val="0"/>
          <w:sz w:val="22"/>
        </w:rPr>
        <w:t>ato de improbidade administrativa</w:t>
      </w:r>
      <w:r>
        <w:rPr>
          <w:rFonts w:ascii="Calibri" w:hAnsi="Calibri"/>
          <w:b w:val="0"/>
          <w:i w:val="0"/>
          <w:sz w:val="22"/>
        </w:rPr>
        <w:t xml:space="preserve"> (Lei nº 8.429/1992), por lesão a princípios da Administração Pública, com consequências que vão além da seara disciplinar (perda de função pública, suspensão de direitos políticos, ressarcimento ao erário). Essa camada adicional reforça, na prática, a importância das cautelas de tarjamento detalhadas no Capítulo 6 desta apostila: o risco de uma falha não se limita à esfera da própria correição.</w:t>
      </w:r>
    </w:p>
    <w:p>
      <w:pPr>
        <w:pStyle w:val="Heading2"/>
        <w:spacing w:before="240" w:after="100"/>
        <w:pBdr>
          <w:left w:val="single" w:sz="18" w:space="6" w:color="BFA040"/>
        </w:pBdr>
      </w:pPr>
      <w:r>
        <w:rPr>
          <w:rFonts w:ascii="Arial Narrow" w:hAnsi="Arial Narrow"/>
          <w:b/>
          <w:color w:val="1E3A5F"/>
          <w:sz w:val="26"/>
        </w:rPr>
        <w:t>2.7 Os direitos dos titulares (arts. 17 a 22 da LGPD) — uma lacuna a cobrir</w:t>
      </w:r>
    </w:p>
    <w:p>
      <w:pPr>
        <w:spacing w:after="100" w:line="280" w:lineRule="exact"/>
        <w:jc w:val="both"/>
      </w:pPr>
      <w:r>
        <w:rPr>
          <w:rFonts w:ascii="Calibri" w:hAnsi="Calibri"/>
          <w:b w:val="0"/>
          <w:i w:val="0"/>
          <w:sz w:val="22"/>
        </w:rPr>
        <w:t xml:space="preserve">A apostila trata extensamente de princípios, bases legais e do regime sancionador, mas não aborda os </w:t>
      </w:r>
      <w:r>
        <w:rPr>
          <w:rFonts w:ascii="Calibri" w:hAnsi="Calibri"/>
          <w:b/>
          <w:i w:val="0"/>
          <w:sz w:val="22"/>
        </w:rPr>
        <w:t>direitos do titular</w:t>
      </w:r>
      <w:r>
        <w:rPr>
          <w:rFonts w:ascii="Calibri" w:hAnsi="Calibri"/>
          <w:b w:val="0"/>
          <w:i w:val="0"/>
          <w:sz w:val="22"/>
        </w:rPr>
        <w:t xml:space="preserve"> previstos no Capítulo III da LGPD. Como visto no item 2.2, mais de uma pessoa é titular de dados dentro de um processo correcional — e cada uma pode, em tese, exercer esses direitos perante a Administração. É importante que o servidor saiba identificar quando um direito é exercível e quando ele encontra limite legítimo na própria natureza do processo.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Direito (LGPD)</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O que significa</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Aplicação no processo correcional</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Confirmação e acesso (art. 18, I e II)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Saber se há tratamento de seus dados e acessá-los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Para o investigado/acusado, já garantido de forma ampla pelo art. 132 da Portaria 27/2022 (acesso integral aos autos, mesmo antes do julgamento). Para terceiros, o acesso é mediado pelas regras de sigilo do art. 114</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Correção de dados incompletos, inexatos ou desatualizados (art. 18, III)</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Corrigir erro de cadastro, grafia, matrícula etc.</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Plenamente aplicável — erro de CPF ou matrícula nos autos deve ser corrigido mediante petição simples, sem burocracia desproporcional</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Anonimização, bloqueio ou eliminação de dados desnecessários ou tratados em desconformidade (art. 18, IV)</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Pedir a retirada de dado irrelevante ou tratado fora dos princípios do art. 6º</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Tem limite claro: dados que compõem prova nos autos não podem ser eliminados a pedido do titular enquanto o processo estiver em curso (isso esvaziaria a função probatória); mas dados de terceiros irrelevantes à apuração podem e devem ser tarjados de ofício, independentemente de pedido (ver Capítulo 6)</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Portabilidade (art. 18, V)</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Levar os dados a outro controlador</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tem aplicação típica em processos correcionais — é direito pensado para relações de mercado</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Eliminação dos dados tratados com consentimento (art. 18, VI)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se aplica: como visto no item 2.4, o tratamento na atividade correcional não depende de consentimento</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Informação sobre compartilhamento de dados (art. 18, VII)</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Saber com quem os dados foram compartilhados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Diretamente atendido pelo art. 117 da Portaria 27/2022, que determina que o acusado seja informado sobre o uso de seus dados e sobre eventual compartilhamento com órgãos de persecução civil ou criminal</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Informação sobre a possibilidade de não consentir e as consequências (art. 18, VIII)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se aplica, pelo mesmo motivo do item anterior</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Revisão de decisões automatizadas (art. 20)</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Direito a obter informações claras sobre os critérios de uma decisão tomada unicamente com base em tratamento automatizado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Ponto de atenção institucional</w:t>
            </w:r>
            <w:r>
              <w:rPr>
                <w:rFonts w:ascii="Calibri" w:hAnsi="Calibri"/>
                <w:b w:val="0"/>
                <w:i w:val="0"/>
                <w:sz w:val="19"/>
              </w:rPr>
              <w:t>: o art. 141 da Portaria 27/2022 prevê que a sanção disciplinar seja calculada "com o auxílio da Calculadora de Penalidade Administrativa". Embora a decisão final continue sendo da autoridade julgadora (e não puramente automatizada), é prudente que a motivação do julgamento explicite os critérios utilizados na calculadora sempre que ela influenciar a dosimetria — isso reduz o risco de o ato ser questionado como decisão automatizada não revisável</w:t>
            </w:r>
          </w:p>
        </w:tc>
      </w:tr>
    </w:tbl>
    <w:p>
      <w:pPr>
        <w:spacing w:after="80"/>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w:t>
      </w:r>
      <w:r>
        <w:rPr>
          <w:rFonts w:ascii="Calibri" w:hAnsi="Calibri"/>
          <w:b w:val="0"/>
          <w:i w:val="0"/>
          <w:sz w:val="20"/>
        </w:rPr>
        <w:t>O direito de acesso e de informação do titular nunca pode ser confundido com o direito de acesso de terceiros via LAI (Capítulo 3 e 4 desta apostila) — são regimes diferentes. O investigado acessando os próprios dados nos autos (art. 18 da LGPD c/c art. 132 da Portaria 27/2022) é uma coisa; um jornalista pedindo cópia do processo via Fala.BR é outra, sujeita às regras de tarjamento detalhadas no Capítulo 5 e 6.</w:t>
      </w:r>
    </w:p>
    <w:p>
      <w:pPr>
        <w:spacing w:after="60"/>
      </w:pPr>
    </w:p>
    <w:p>
      <w:pPr>
        <w:spacing w:before="120" w:after="120"/>
        <w:pBdr>
          <w:bottom w:val="single" w:sz="4" w:space="1" w:color="BFA040"/>
        </w:pBdr>
      </w:pPr>
    </w:p>
    <w:p>
      <w:r>
        <w:br w:type="page"/>
      </w:r>
    </w:p>
    <w:p>
      <w:pPr>
        <w:spacing w:before="80" w:after="0"/>
      </w:pPr>
      <w:r>
        <w:rPr>
          <w:rFonts w:ascii="Arial Narrow" w:hAnsi="Arial Narrow"/>
          <w:b/>
          <w:color w:val="BFA040"/>
          <w:sz w:val="18"/>
        </w:rPr>
        <w:t>CAPÍTULO 3</w:t>
      </w:r>
    </w:p>
    <w:p>
      <w:pPr>
        <w:pStyle w:val="Heading1"/>
        <w:spacing w:before="40" w:after="240"/>
      </w:pPr>
      <w:r>
        <w:rPr>
          <w:rFonts w:ascii="Arial Narrow" w:hAnsi="Arial Narrow"/>
          <w:b/>
          <w:color w:val="1E3A5F"/>
          <w:sz w:val="40"/>
        </w:rPr>
        <w:t>Lei de Acesso à Informação (LAI)</w:t>
      </w:r>
    </w:p>
    <w:p>
      <w:pPr>
        <w:spacing w:before="0" w:after="200"/>
        <w:pBdr>
          <w:bottom w:val="single" w:sz="8" w:space="1" w:color="BFA040"/>
        </w:pBdr>
      </w:pPr>
    </w:p>
    <w:p>
      <w:pPr>
        <w:pStyle w:val="Heading2"/>
        <w:spacing w:before="240" w:after="100"/>
        <w:pBdr>
          <w:left w:val="single" w:sz="18" w:space="6" w:color="BFA040"/>
        </w:pBdr>
      </w:pPr>
      <w:r>
        <w:rPr>
          <w:rFonts w:ascii="Arial Narrow" w:hAnsi="Arial Narrow"/>
          <w:b/>
          <w:color w:val="1E3A5F"/>
          <w:sz w:val="26"/>
        </w:rPr>
        <w:t>3.1 Fundamento e objetivo</w:t>
      </w:r>
    </w:p>
    <w:p>
      <w:pPr>
        <w:spacing w:after="100" w:line="280" w:lineRule="exact"/>
        <w:jc w:val="both"/>
      </w:pPr>
      <w:r>
        <w:rPr>
          <w:rFonts w:ascii="Calibri" w:hAnsi="Calibri"/>
          <w:b w:val="0"/>
          <w:i w:val="0"/>
          <w:sz w:val="22"/>
        </w:rPr>
        <w:t>A LAI (Lei nº 12.527/2011) regulamenta o direito constitucional de acesso à informação (art. 5º, XXXIII, e art. 37, §3º, II, da CF/88). O Estado administra informações em nome da sociedade — toda informação pública deve ser acessível, salvo justificativa legal e legítima para restrição.</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PRINCÍPIO  </w:t>
      </w:r>
      <w:r>
        <w:rPr>
          <w:rFonts w:ascii="Calibri" w:hAnsi="Calibri"/>
          <w:b w:val="0"/>
          <w:i w:val="0"/>
          <w:sz w:val="20"/>
        </w:rPr>
        <w:t xml:space="preserve">No Estado Democrático de Direito, </w:t>
      </w:r>
      <w:r>
        <w:rPr>
          <w:rFonts w:ascii="Calibri" w:hAnsi="Calibri"/>
          <w:b/>
          <w:i w:val="0"/>
          <w:sz w:val="20"/>
        </w:rPr>
        <w:t>transparência é a regra — sigilo é a exceção</w:t>
      </w:r>
      <w:r>
        <w:rPr>
          <w:rFonts w:ascii="Calibri" w:hAnsi="Calibri"/>
          <w:b w:val="0"/>
          <w:i w:val="0"/>
          <w:sz w:val="20"/>
        </w:rPr>
        <w:t xml:space="preserve"> (art. 3º, I, LAI). Efetiva democracia requer participação informada, accountability e prestação de contas — nada disso acontece sem informação.</w:t>
      </w:r>
    </w:p>
    <w:p>
      <w:pPr>
        <w:spacing w:after="60"/>
      </w:pPr>
    </w:p>
    <w:p>
      <w:pPr>
        <w:pStyle w:val="Heading3"/>
        <w:spacing w:before="160" w:after="60"/>
      </w:pPr>
      <w:r>
        <w:rPr>
          <w:rFonts w:ascii="Calibri" w:hAnsi="Calibri"/>
          <w:b/>
          <w:color w:val="1E3A5F"/>
          <w:sz w:val="22"/>
        </w:rPr>
        <w:t>O mesmo princípio, reafirmado na norma que rege a própria Corregedoria</w:t>
      </w:r>
    </w:p>
    <w:p>
      <w:pPr>
        <w:spacing w:after="100" w:line="280" w:lineRule="exact"/>
        <w:jc w:val="both"/>
      </w:pPr>
      <w:r>
        <w:rPr>
          <w:rFonts w:ascii="Calibri" w:hAnsi="Calibri"/>
          <w:b w:val="0"/>
          <w:i w:val="0"/>
          <w:sz w:val="22"/>
        </w:rPr>
        <w:t xml:space="preserve">Vale destacar que esse princípio não fica apenas no plano abstrato da LAI: a própria Portaria Normativa CGU nº 27/2022 o internaliza como diretriz da atividade correcional. O art. 5º, XII, lista entre as atividades típicas da unidade setorial de correição </w:t>
      </w:r>
      <w:r>
        <w:rPr>
          <w:rFonts w:ascii="Calibri" w:hAnsi="Calibri"/>
          <w:b/>
          <w:i w:val="0"/>
          <w:sz w:val="22"/>
        </w:rPr>
        <w:t>"promover a divulgação e transparência de dados acerca das atividades de correição, de modo a propiciar o controle social, com resguardo das informações restritas ou sigilosas"</w:t>
      </w:r>
      <w:r>
        <w:rPr>
          <w:rFonts w:ascii="Calibri" w:hAnsi="Calibri"/>
          <w:b w:val="0"/>
          <w:i w:val="0"/>
          <w:sz w:val="22"/>
        </w:rPr>
        <w:t>. Ou seja: a Portaria já parte da mesma lógica do Capítulo 3 desta apostila — transparência como regra, sigilo como exceção pontual e justificada — e não o contrário.</w:t>
      </w:r>
    </w:p>
    <w:p>
      <w:pPr>
        <w:pStyle w:val="Heading2"/>
        <w:spacing w:before="240" w:after="100"/>
        <w:pBdr>
          <w:left w:val="single" w:sz="18" w:space="6" w:color="BFA040"/>
        </w:pBdr>
      </w:pPr>
      <w:r>
        <w:rPr>
          <w:rFonts w:ascii="Arial Narrow" w:hAnsi="Arial Narrow"/>
          <w:b/>
          <w:color w:val="1E3A5F"/>
          <w:sz w:val="26"/>
        </w:rPr>
        <w:t>3.2 Transparência ativa e passiva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Modalidade</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Definição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Base legal</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Transparência ativa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 xml:space="preserve">Obrigação de divulgar informações de interesse coletivo ou geral </w:t>
            </w:r>
            <w:r>
              <w:rPr>
                <w:rFonts w:ascii="Calibri" w:hAnsi="Calibri"/>
                <w:b w:val="0"/>
                <w:i/>
                <w:sz w:val="19"/>
              </w:rPr>
              <w:t>sponte propria</w:t>
            </w:r>
            <w:r>
              <w:rPr>
                <w:rFonts w:ascii="Calibri" w:hAnsi="Calibri"/>
                <w:b w:val="0"/>
                <w:i w:val="0"/>
                <w:sz w:val="19"/>
              </w:rPr>
              <w:t>, em local de fácil acesso / site.</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8º, §1º, LAI + Art. 29, §2º, Lei nº 14.129/2021.</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Transparência passiva</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Atendimento do pedido de acesso à informação (LAI). Pedido não precisa ser motivado. Escopo mais amplo que a ativa.</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10 e ss. LAI. Plataforma: Fala.BR (âmbito federal).</w:t>
            </w:r>
          </w:p>
        </w:tc>
      </w:tr>
    </w:tbl>
    <w:p>
      <w:pPr>
        <w:spacing w:after="80"/>
      </w:pPr>
    </w:p>
    <w:p>
      <w:pPr>
        <w:spacing w:after="100" w:line="280" w:lineRule="exact"/>
        <w:jc w:val="both"/>
      </w:pPr>
      <w:r>
        <w:rPr>
          <w:rFonts w:ascii="Calibri" w:hAnsi="Calibri"/>
          <w:b w:val="0"/>
          <w:i w:val="0"/>
          <w:sz w:val="22"/>
        </w:rPr>
        <w:t>Estão em transparência ativa: competências e estrutura; registros de repasses e despesas; licitações e contratos; programas e projetos; sanções administrativas aplicadas a pessoas e servidores (art. 29, §2º, IX, Lei nº 14.129/2021).</w:t>
      </w:r>
    </w:p>
    <w:p>
      <w:pPr>
        <w:pStyle w:val="Heading3"/>
        <w:spacing w:before="160" w:after="60"/>
      </w:pPr>
      <w:r>
        <w:rPr>
          <w:rFonts w:ascii="Calibri" w:hAnsi="Calibri"/>
          <w:b/>
          <w:color w:val="1E3A5F"/>
          <w:sz w:val="22"/>
        </w:rPr>
        <w:t>O que a unidade de correição é obrigada a publicar em transparência ativa</w:t>
      </w:r>
    </w:p>
    <w:p>
      <w:pPr>
        <w:spacing w:after="100" w:line="280" w:lineRule="exact"/>
        <w:jc w:val="both"/>
      </w:pPr>
      <w:r>
        <w:rPr>
          <w:rFonts w:ascii="Calibri" w:hAnsi="Calibri"/>
          <w:b w:val="0"/>
          <w:i w:val="0"/>
          <w:sz w:val="22"/>
        </w:rPr>
        <w:t>O art. 33 da Portaria 27/2022 detalha, de forma objetiva e diretamente aplicável, o conteúdo mínimo de transparência ativa específico da atividade correcional — uma lista de verificação útil para qualquer revisão de portal da unidade:</w:t>
      </w:r>
    </w:p>
    <w:tbl>
      <w:tblPr>
        <w:tblStyle w:val="TableGrid"/>
        <w:tblW w:type="auto" w:w="0"/>
        <w:tblLook w:firstColumn="1" w:firstRow="1" w:lastColumn="0" w:lastRow="0" w:noHBand="0" w:noVBand="1" w:val="04A0"/>
      </w:tblPr>
      <w:tblGrid>
        <w:gridCol w:w="4536"/>
        <w:gridCol w:w="4536"/>
      </w:tblGrid>
      <w:tr>
        <w:tc>
          <w:tcPr>
            <w:tcW w:type="dxa" w:w="4535"/>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Conteúdo obrigatório (art. 33, Portaria 27/2022)</w:t>
            </w:r>
          </w:p>
        </w:tc>
        <w:tc>
          <w:tcPr>
            <w:tcW w:type="dxa" w:w="4535"/>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Observação</w:t>
            </w:r>
          </w:p>
        </w:tc>
      </w:tr>
      <w:tr>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Formas de contato com a unidade setorial de correição (e-mail e telefone)</w:t>
            </w:r>
          </w:p>
        </w:tc>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Deve estar em local de fácil acesso no portal do órgão</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currículo e período do mandato do titular da unidade</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pessoal do titular que é, ele próprio, objeto de transparência ativa obrigatória — coerente com o quadro do Capítulo 6 (cargo/função pública é informação divulgável)</w:t>
            </w:r>
          </w:p>
        </w:tc>
      </w:tr>
      <w:tr>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Normas vigentes inerentes à atividade correcional</w:t>
            </w:r>
          </w:p>
        </w:tc>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Inclui a própria Portaria 27/2022 e normas complementares</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Banner de acesso direto ao Painel de Corregedorias da CRG</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Direciona o cidadão à ferramenta centralizada de indicadores mantida pela CRG (art. 32)</w:t>
            </w:r>
          </w:p>
        </w:tc>
      </w:tr>
    </w:tbl>
    <w:p>
      <w:pPr>
        <w:spacing w:after="80"/>
      </w:pPr>
    </w:p>
    <w:p>
      <w:pPr>
        <w:spacing w:after="100" w:line="280" w:lineRule="exact"/>
        <w:jc w:val="both"/>
      </w:pPr>
      <w:r>
        <w:rPr>
          <w:rFonts w:ascii="Calibri" w:hAnsi="Calibri"/>
          <w:b w:val="0"/>
          <w:i w:val="0"/>
          <w:sz w:val="22"/>
        </w:rPr>
        <w:t>Esse rol é complementar — e não substitui — a transparência ativa específica de sanções já tratada no Capítulo 5 desta apostila (art. 29, §2º, IX, Lei nº 14.129/2021).</w:t>
      </w:r>
    </w:p>
    <w:p>
      <w:pPr>
        <w:pStyle w:val="Heading2"/>
        <w:spacing w:before="240" w:after="100"/>
        <w:pBdr>
          <w:left w:val="single" w:sz="18" w:space="6" w:color="BFA040"/>
        </w:pBdr>
      </w:pPr>
      <w:r>
        <w:rPr>
          <w:rFonts w:ascii="Arial Narrow" w:hAnsi="Arial Narrow"/>
          <w:b/>
          <w:color w:val="1E3A5F"/>
          <w:sz w:val="26"/>
        </w:rPr>
        <w:t>3.2-A Rito operacional do pedido de LAI: prazos e cadeia recursal</w:t>
      </w:r>
    </w:p>
    <w:p>
      <w:pPr>
        <w:spacing w:after="100" w:line="280" w:lineRule="exact"/>
        <w:jc w:val="both"/>
      </w:pPr>
      <w:r>
        <w:rPr>
          <w:rFonts w:ascii="Calibri" w:hAnsi="Calibri"/>
          <w:b w:val="0"/>
          <w:i w:val="0"/>
          <w:sz w:val="22"/>
        </w:rPr>
        <w:t>A apostila concentra-se, com razão, no mérito de cada decisão (fornecer, tarjar, negar). Mas vale o registro do rito em si, que tem prazos próprios e nem sempre coincide com os prazos internos de tramitação correcional: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Etapa</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Prazo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Base legal</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Resposta ao pedido de LAI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20 dias, prorrogáveis por mais 10 dias mediante justificativa expressa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 xml:space="preserve">Art. 11, </w:t>
            </w:r>
            <w:r>
              <w:rPr>
                <w:rFonts w:ascii="Calibri" w:hAnsi="Calibri"/>
                <w:b w:val="0"/>
                <w:i/>
                <w:sz w:val="19"/>
              </w:rPr>
              <w:t>caput</w:t>
            </w:r>
            <w:r>
              <w:rPr>
                <w:rFonts w:ascii="Calibri" w:hAnsi="Calibri"/>
                <w:b w:val="0"/>
                <w:i w:val="0"/>
                <w:sz w:val="19"/>
              </w:rPr>
              <w:t xml:space="preserve"> e §2º, LAI</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Recurso à autoridade hierarquicamente superior à que indeferiu</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10 dias, a contar da ciência da decisão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15, LAI</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Recurso à autoridade máxima do órgão (quando o anterior não decidir em 5 dias)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16, LAI</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Recurso à CGU (quando o órgão não é vinculado a Ministério, ou em última instância)</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16, §2º, LAI</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Recurso final à Comissão Mista de Reavaliação de Informações (CMRI)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Apenas para negativas fundadas em sigilo de informação classificada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35, LAI</w:t>
            </w:r>
          </w:p>
        </w:tc>
      </w:tr>
    </w:tbl>
    <w:p>
      <w:pPr>
        <w:spacing w:after="80"/>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w:t>
      </w:r>
      <w:r>
        <w:rPr>
          <w:rFonts w:ascii="Calibri" w:hAnsi="Calibri"/>
          <w:b w:val="0"/>
          <w:i w:val="0"/>
          <w:sz w:val="20"/>
        </w:rPr>
        <w:t xml:space="preserve">Esse prazo de 20 (+10) dias da LAI </w:t>
      </w:r>
      <w:r>
        <w:rPr>
          <w:rFonts w:ascii="Calibri" w:hAnsi="Calibri"/>
          <w:b/>
          <w:i w:val="0"/>
          <w:sz w:val="20"/>
        </w:rPr>
        <w:t>não se confunde</w:t>
      </w:r>
      <w:r>
        <w:rPr>
          <w:rFonts w:ascii="Calibri" w:hAnsi="Calibri"/>
          <w:b w:val="0"/>
          <w:i w:val="0"/>
          <w:sz w:val="20"/>
        </w:rPr>
        <w:t xml:space="preserve"> com o prazo de 20 dias (prorrogável por igual período) que a própria unidade setorial de correição usa para requisitar informações de outras áreas do órgão, previsto no parágrafo único do art. 5º da Portaria 27/2022. Na prática, se um pedido de LAI exigir buscar dados em outra área do órgão, o servidor da Corregedoria precisa se atentar para que a soma dos dois prazos internos não ultrapasse o prazo de resposta ao cidadão.</w:t>
      </w:r>
    </w:p>
    <w:p>
      <w:pPr>
        <w:spacing w:after="60"/>
      </w:pPr>
    </w:p>
    <w:p>
      <w:pPr>
        <w:spacing w:after="100" w:line="280" w:lineRule="exact"/>
        <w:jc w:val="both"/>
      </w:pPr>
      <w:r>
        <w:rPr>
          <w:rFonts w:ascii="Calibri" w:hAnsi="Calibri"/>
          <w:b w:val="0"/>
          <w:i w:val="0"/>
          <w:sz w:val="22"/>
        </w:rPr>
        <w:t xml:space="preserve">A CGU também publicou, em fevereiro de 2025, a segunda edição do boletim </w:t>
      </w:r>
      <w:r>
        <w:rPr>
          <w:rFonts w:ascii="Calibri" w:hAnsi="Calibri"/>
          <w:b/>
          <w:i w:val="0"/>
          <w:sz w:val="22"/>
        </w:rPr>
        <w:t>"Por Dentro da LAI"</w:t>
      </w:r>
      <w:r>
        <w:rPr>
          <w:rFonts w:ascii="Calibri" w:hAnsi="Calibri"/>
          <w:b w:val="0"/>
          <w:i w:val="0"/>
          <w:sz w:val="22"/>
        </w:rPr>
        <w:t>, voltado especificamente ao procedimento adequado diante de pedidos de acesso a processos administrativos que contenham dados pessoais — material de consulta direta e complementar a este capítulo.</w:t>
      </w:r>
    </w:p>
    <w:p>
      <w:pPr>
        <w:pStyle w:val="Heading2"/>
        <w:spacing w:before="240" w:after="100"/>
        <w:pBdr>
          <w:left w:val="single" w:sz="18" w:space="6" w:color="BFA040"/>
        </w:pBdr>
      </w:pPr>
      <w:r>
        <w:rPr>
          <w:rFonts w:ascii="Arial Narrow" w:hAnsi="Arial Narrow"/>
          <w:b/>
          <w:color w:val="1E3A5F"/>
          <w:sz w:val="26"/>
        </w:rPr>
        <w:t>3.3 Hipóteses de sigilo e restrição de acesso</w:t>
      </w:r>
    </w:p>
    <w:p>
      <w:pPr>
        <w:spacing w:after="100" w:line="280" w:lineRule="exact"/>
        <w:jc w:val="both"/>
      </w:pPr>
      <w:r>
        <w:rPr>
          <w:rFonts w:ascii="Calibri" w:hAnsi="Calibri"/>
          <w:b w:val="0"/>
          <w:i w:val="0"/>
          <w:sz w:val="22"/>
        </w:rPr>
        <w:t>A própria LAI delimita as restrições ao direito de acesso: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Hipótese</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Fundamento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Observação</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Documentos preparatórios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7º, §3º, LAI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Acesso pode ser restringido antes da decisão; após a decisão, acesso garantido.</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Sigilos legais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22 LAI</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Sigilo bancário (LC 105/2001), fiscal (art. 198 CTN), segredo de justiça, industrial, autoral. A LAI não revoga esses sigilos.</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Documentos classificados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23 e ss. LAI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Restrição temporária: ultrassecreto (até 25 anos), secreto (até 15), reservado (até 5). Rol taxativo. Apenas leis podem criar novos sigilos.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Informações pessoais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31 LAI</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Acesso restrito por até 100 anos para informações referentes a intimidade, vida privada, honra e imagem.</w:t>
            </w:r>
          </w:p>
        </w:tc>
      </w:tr>
    </w:tbl>
    <w:p>
      <w:pPr>
        <w:spacing w:after="80"/>
      </w:pPr>
    </w:p>
    <w:p>
      <w:pPr>
        <w:pStyle w:val="Heading3"/>
        <w:spacing w:before="160" w:after="60"/>
      </w:pPr>
      <w:r>
        <w:rPr>
          <w:rFonts w:ascii="Calibri" w:hAnsi="Calibri"/>
          <w:b/>
          <w:color w:val="1E3A5F"/>
          <w:sz w:val="22"/>
        </w:rPr>
        <w:t>Cada hipótese de sigilo da LAI, na "tradução" da Portaria 27/2022</w:t>
      </w:r>
    </w:p>
    <w:p>
      <w:pPr>
        <w:spacing w:after="100" w:line="280" w:lineRule="exact"/>
        <w:jc w:val="both"/>
      </w:pPr>
      <w:r>
        <w:rPr>
          <w:rFonts w:ascii="Calibri" w:hAnsi="Calibri"/>
          <w:b w:val="0"/>
          <w:i w:val="0"/>
          <w:sz w:val="22"/>
        </w:rPr>
        <w:t>O art. 114 da Portaria 27/2022 é, na prática, a aplicação direta dessas quatro hipóteses de sigilo à rotina da unidade de correição — e acrescenta uma categoria própria. Vale o quadro-espelho: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Hipótese da LAI (item 3.3)</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Correspondente no art. 114 da Portaria 27/2022</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Exemplo concreto na correição</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Documentos preparatórios (art. 7º, §3º, LAI)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Inciso V — "procedimentos investigativos e processos correcionais que ainda não estejam concluídos"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IPS, SINVE, SINPA e IP, por definição legal, são "não contraditórios, não punitivos, de acesso restrito" (arts. 40, 46, 50 e 57 da Portaria)</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Sigilos legais (art. 22, LAI)</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Inciso II — "informações e documentos caracterizados em lei como de natureza sigilosa, tais como sigilo bancário, fiscal, telefônico e patrimonial"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levantados em SINPA (arts. 53 e 54) e informações fiscais obtidas com base no art. 198, §1º, II, do CTN (art. 121)</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Documentos classificados (arts. 23 e ss., LAI)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Remetido ao Decreto nº 7.845/2012</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118 da Portaria: "o acesso à informação classificada nos termos do art. 23 da Lei nº 12.527/2011 será dado em conformidade com o disposto no Decreto nº 7.845/2012"</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Informações pessoais (art. 31, LAI)</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Inciso I — "dados pessoais"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Regra geral de tarjamento explicada no Capítulo 6 desta apostila</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sz w:val="19"/>
              </w:rPr>
              <w:t>(categoria adicional, sem equivalente direto na LAI)</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Inciso III — "processos e inquéritos sob segredo de justiça, bem como apurações correcionais a estes relacionados"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Casos em que a apuração disciplinar tramita em paralelo a uma investigação criminal conduzida pela Polícia Federal/MPF — o sigilo aqui não decorre da LAI, mas do regime processual penal (segredo de justiça), e deve ser respeitado mesmo quando, isoladamente, a parte administrativa do processo já seria pública</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sz w:val="19"/>
              </w:rPr>
              <w:t>(categoria adicional, sem equivalente direto na LAI)</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Inciso IV — "identificação do denunciante"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Decreto nº 10.153/2019 — já visto no item 3.4 abaixo e nos Capítulos 1 e 2</w:t>
            </w:r>
          </w:p>
        </w:tc>
      </w:tr>
    </w:tbl>
    <w:p>
      <w:pPr>
        <w:spacing w:after="80"/>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w:t>
      </w:r>
      <w:r>
        <w:rPr>
          <w:rFonts w:ascii="Calibri" w:hAnsi="Calibri"/>
          <w:b w:val="0"/>
          <w:i w:val="0"/>
          <w:sz w:val="20"/>
        </w:rPr>
        <w:t xml:space="preserve">O §3º do art. 114 da Portaria estabelece algo que merece destaque: a restrição de acesso </w:t>
      </w:r>
      <w:r>
        <w:rPr>
          <w:rFonts w:ascii="Calibri" w:hAnsi="Calibri"/>
          <w:b/>
          <w:i w:val="0"/>
          <w:sz w:val="20"/>
        </w:rPr>
        <w:t>não se aplica ao Órgão Central do Siscor (CRG), nem às unidades setoriais de correição e a seus servidores no exercício de suas atribuições</w:t>
      </w:r>
      <w:r>
        <w:rPr>
          <w:rFonts w:ascii="Calibri" w:hAnsi="Calibri"/>
          <w:b w:val="0"/>
          <w:i w:val="0"/>
          <w:sz w:val="20"/>
        </w:rPr>
        <w:t>. Ou seja: o sigilo é erguido contra terceiros (incluindo, em regra, o público em geral via LAI) — não contra a própria rede de correição, que precisa de acesso pleno aos autos para exercer supervisão, avocação e reexame (Título IV da Portaria).</w:t>
      </w:r>
    </w:p>
    <w:p>
      <w:pPr>
        <w:spacing w:after="60"/>
      </w:pPr>
    </w:p>
    <w:p>
      <w:pPr>
        <w:pStyle w:val="Heading2"/>
        <w:spacing w:before="240" w:after="100"/>
        <w:pBdr>
          <w:left w:val="single" w:sz="18" w:space="6" w:color="BFA040"/>
        </w:pBdr>
      </w:pPr>
      <w:r>
        <w:rPr>
          <w:rFonts w:ascii="Arial Narrow" w:hAnsi="Arial Narrow"/>
          <w:b/>
          <w:color w:val="1E3A5F"/>
          <w:sz w:val="26"/>
        </w:rPr>
        <w:t>3.4 Informações pessoais — art. 31 da LAI</w:t>
      </w:r>
    </w:p>
    <w:p>
      <w:pPr>
        <w:spacing w:before="100" w:after="20"/>
        <w:ind w:left="227" w:right="170"/>
        <w:jc w:val="both"/>
        <w:pBdr>
          <w:left w:val="single" w:sz="24" w:space="6" w:color="707070"/>
        </w:pBdr>
        <w:shd w:val="clear" w:color="auto" w:fill="F4F4F4"/>
      </w:pPr>
      <w:r>
        <w:rPr>
          <w:rFonts w:ascii="Arial Narrow" w:hAnsi="Arial Narrow"/>
          <w:b/>
          <w:color w:val="707070"/>
          <w:sz w:val="18"/>
        </w:rPr>
        <w:t xml:space="preserve">LEI  </w:t>
      </w:r>
      <w:r>
        <w:rPr>
          <w:rFonts w:ascii="Calibri" w:hAnsi="Calibri"/>
          <w:b w:val="0"/>
          <w:i w:val="0"/>
          <w:sz w:val="20"/>
        </w:rPr>
        <w:t>Art. 31, §1º — As informações pessoais relativas à intimidade, vida privada, honra e imagem:</w:t>
      </w:r>
    </w:p>
    <w:p>
      <w:pPr>
        <w:spacing w:before="20" w:after="20"/>
        <w:ind w:left="227" w:right="170"/>
        <w:jc w:val="both"/>
        <w:pBdr>
          <w:left w:val="single" w:sz="24" w:space="6" w:color="707070"/>
        </w:pBdr>
        <w:shd w:val="clear" w:color="auto" w:fill="F4F4F4"/>
      </w:pPr>
      <w:r>
        <w:rPr>
          <w:rFonts w:ascii="Calibri" w:hAnsi="Calibri"/>
          <w:b w:val="0"/>
          <w:i w:val="0"/>
          <w:sz w:val="20"/>
        </w:rPr>
        <w:t>I — terão seu acesso restrito, independentemente de classificação de sigilo e pelo prazo máximo de 100 anos;</w:t>
      </w:r>
    </w:p>
    <w:p>
      <w:pPr>
        <w:spacing w:before="20" w:after="20"/>
        <w:ind w:left="227" w:right="170"/>
        <w:jc w:val="both"/>
        <w:pBdr>
          <w:left w:val="single" w:sz="24" w:space="6" w:color="707070"/>
        </w:pBdr>
        <w:shd w:val="clear" w:color="auto" w:fill="F4F4F4"/>
      </w:pPr>
      <w:r>
        <w:rPr>
          <w:rFonts w:ascii="Calibri" w:hAnsi="Calibri"/>
          <w:b w:val="0"/>
          <w:i w:val="0"/>
          <w:sz w:val="20"/>
        </w:rPr>
        <w:t>II — poderão ter autorizada sua divulgação por terceiros diante de previsão legal ou consentimento expresso da pessoa a que se referirem.</w:t>
      </w:r>
    </w:p>
    <w:p>
      <w:pPr>
        <w:spacing w:after="60"/>
      </w:pPr>
    </w:p>
    <w:p>
      <w:pPr>
        <w:spacing w:after="100" w:line="280" w:lineRule="exact"/>
        <w:jc w:val="both"/>
      </w:pPr>
      <w:r>
        <w:rPr>
          <w:rFonts w:ascii="Calibri" w:hAnsi="Calibri"/>
          <w:b w:val="0"/>
          <w:i w:val="0"/>
          <w:sz w:val="22"/>
        </w:rPr>
        <w:t xml:space="preserve">Hipóteses de dispensa de consentimento (art. 31, §3º): prevenção e diagnóstico médico; estatísticas e pesquisas científicas de interesse público; cumprimento de ordem judicial; defesa de direitos humanos; </w:t>
      </w:r>
      <w:r>
        <w:rPr>
          <w:rFonts w:ascii="Calibri" w:hAnsi="Calibri"/>
          <w:b/>
          <w:i w:val="0"/>
          <w:sz w:val="22"/>
        </w:rPr>
        <w:t>proteção do interesse público e geral preponderante</w:t>
      </w:r>
      <w:r>
        <w:rPr>
          <w:rFonts w:ascii="Calibri" w:hAnsi="Calibri"/>
          <w:b w:val="0"/>
          <w:i w:val="0"/>
          <w:sz w:val="22"/>
        </w:rPr>
        <w:t>.</w:t>
      </w: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ENUNCIADO CGU  </w:t>
      </w:r>
      <w:r>
        <w:rPr>
          <w:rFonts w:ascii="Calibri" w:hAnsi="Calibri"/>
          <w:b w:val="0"/>
          <w:i w:val="0"/>
          <w:sz w:val="20"/>
        </w:rPr>
        <w:t>Enunciado CGU nº 12/2023: O fundamento "informações pessoais" não pode ser utilizado de forma geral e abstrata para se negar pedidos de acesso a documentos que contenham dados pessoais — esses podem ser tratados (tarjados) para que o restante seja fornecido.</w:t>
      </w:r>
    </w:p>
    <w:p>
      <w:pPr>
        <w:spacing w:after="60"/>
      </w:pPr>
    </w:p>
    <w:p>
      <w:pPr>
        <w:spacing w:after="100" w:line="280" w:lineRule="exact"/>
        <w:jc w:val="both"/>
      </w:pPr>
      <w:r>
        <w:rPr>
          <w:rFonts w:ascii="Calibri" w:hAnsi="Calibri"/>
          <w:b w:val="0"/>
          <w:i w:val="0"/>
          <w:sz w:val="22"/>
        </w:rPr>
        <w:t>Hipóteses de negativa por impossibilidade operacional (Decreto nº 7.724/2012, art. 13): pedido genérico (descrição vaga), pedido desproporcional (esforço excessivo), pedido desarrazoado (contrário ao interesse público preponderante) e pedido de produção de informação que não existe na forma solicitada.</w:t>
      </w:r>
    </w:p>
    <w:p>
      <w:pPr>
        <w:spacing w:after="100" w:line="280" w:lineRule="exact"/>
        <w:jc w:val="both"/>
      </w:pPr>
      <w:r>
        <w:rPr>
          <w:rFonts w:ascii="Calibri" w:hAnsi="Calibri"/>
          <w:b w:val="0"/>
          <w:i w:val="0"/>
          <w:sz w:val="22"/>
        </w:rPr>
        <w:t xml:space="preserve">A motivação do cidadão </w:t>
      </w:r>
      <w:r>
        <w:rPr>
          <w:rFonts w:ascii="Calibri" w:hAnsi="Calibri"/>
          <w:b/>
          <w:i w:val="0"/>
          <w:sz w:val="22"/>
        </w:rPr>
        <w:t>não pode</w:t>
      </w:r>
      <w:r>
        <w:rPr>
          <w:rFonts w:ascii="Calibri" w:hAnsi="Calibri"/>
          <w:b w:val="0"/>
          <w:i w:val="0"/>
          <w:sz w:val="22"/>
        </w:rPr>
        <w:t xml:space="preserve"> ser usada como critério para considerar um pedido desarrazoado (art. 10, §3º, LAI). Dificuldades operacionais não eximem o órgão indefinidamente.</w:t>
      </w:r>
    </w:p>
    <w:p>
      <w:pPr>
        <w:pStyle w:val="Heading3"/>
        <w:spacing w:before="160" w:after="60"/>
      </w:pPr>
      <w:r>
        <w:rPr>
          <w:rFonts w:ascii="Calibri" w:hAnsi="Calibri"/>
          <w:b/>
          <w:color w:val="1E3A5F"/>
          <w:sz w:val="22"/>
        </w:rPr>
        <w:t>Cuidado com o excesso de cautela: o contraponto ao Enunciado CGU nº 12/2023</w:t>
      </w:r>
    </w:p>
    <w:p>
      <w:pPr>
        <w:spacing w:after="100" w:line="280" w:lineRule="exact"/>
        <w:jc w:val="both"/>
      </w:pPr>
      <w:r>
        <w:rPr>
          <w:rFonts w:ascii="Calibri" w:hAnsi="Calibri"/>
          <w:b w:val="0"/>
          <w:i w:val="0"/>
          <w:sz w:val="22"/>
        </w:rPr>
        <w:t xml:space="preserve">O Enunciado CGU nº 12/2023, citado na apostila, tem uma leitura simétrica que vale reforçar: ele não apenas autoriza o tarjamento parcial — ele </w:t>
      </w:r>
      <w:r>
        <w:rPr>
          <w:rFonts w:ascii="Calibri" w:hAnsi="Calibri"/>
          <w:b/>
          <w:i w:val="0"/>
          <w:sz w:val="22"/>
        </w:rPr>
        <w:t>proíbe</w:t>
      </w:r>
      <w:r>
        <w:rPr>
          <w:rFonts w:ascii="Calibri" w:hAnsi="Calibri"/>
          <w:b w:val="0"/>
          <w:i w:val="0"/>
          <w:sz w:val="22"/>
        </w:rPr>
        <w:t xml:space="preserve"> o uso do argumento "informações pessoais" como bloqueio genérico e abstrato ao pedido. Esse ponto ganhou reforço institucional recente: o </w:t>
      </w:r>
      <w:r>
        <w:rPr>
          <w:rFonts w:ascii="Calibri" w:hAnsi="Calibri"/>
          <w:b/>
          <w:i w:val="0"/>
          <w:sz w:val="22"/>
        </w:rPr>
        <w:t>Enunciado CGU nº 2/2024</w:t>
      </w:r>
      <w:r>
        <w:rPr>
          <w:rFonts w:ascii="Calibri" w:hAnsi="Calibri"/>
          <w:b w:val="0"/>
          <w:i w:val="0"/>
          <w:sz w:val="22"/>
        </w:rPr>
        <w:t xml:space="preserve"> (já mencionado no Capítulo 4 desta apostila) estabelece que o uso reiterado e em desacordo com as orientações da CGU do fundamento "informações pessoais" para negar pedidos de acesso </w:t>
      </w:r>
      <w:r>
        <w:rPr>
          <w:rFonts w:ascii="Calibri" w:hAnsi="Calibri"/>
          <w:b/>
          <w:i w:val="0"/>
          <w:sz w:val="22"/>
        </w:rPr>
        <w:t>sujeita o próprio agente público a apuração de responsabilidade</w:t>
      </w:r>
      <w:r>
        <w:rPr>
          <w:rFonts w:ascii="Calibri" w:hAnsi="Calibri"/>
          <w:b w:val="0"/>
          <w:i w:val="0"/>
          <w:sz w:val="22"/>
        </w:rPr>
        <w:t xml:space="preserve"> (art. 32, LAI). Há também um debate técnico mais recente — refletido em parecer da AGU de 2025 sobre dados pessoais em processos de contratação pública — que reforça a mesma lógica: usar a LGPD ou a LAI como "escudo de opacidade", tarjando informação que já é pública por natureza ou cuja base legal e finalidade pública autorizam divulgação, é tão equivocado quanto fornecer informação indevidamente. Na prática diária da Corregedoria, isso significa que a régua de decisão não deve ser apenas "existe dado pessoal? então tarjo" — deve ser, sempre, </w:t>
      </w:r>
      <w:r>
        <w:rPr>
          <w:rFonts w:ascii="Calibri" w:hAnsi="Calibri"/>
          <w:b/>
          <w:i w:val="0"/>
          <w:sz w:val="22"/>
        </w:rPr>
        <w:t>"existe dado pessoal cuja divulgação, neste caso concreto, viola intimidade, vida privada, honra ou imagem, sem que se enquadre em nenhuma hipótese de dispensa do art. 31, §3º?"</w:t>
      </w:r>
    </w:p>
    <w:p>
      <w:pPr>
        <w:pStyle w:val="Heading3"/>
        <w:spacing w:before="160" w:after="60"/>
      </w:pPr>
      <w:r>
        <w:rPr>
          <w:rFonts w:ascii="Calibri" w:hAnsi="Calibri"/>
          <w:b/>
          <w:color w:val="1E3A5F"/>
          <w:sz w:val="22"/>
        </w:rPr>
        <w:t>Quando o sigilo se enquadra na hipótese de "interesse público preponderante"</w:t>
      </w:r>
    </w:p>
    <w:p>
      <w:pPr>
        <w:spacing w:after="100" w:line="280" w:lineRule="exact"/>
        <w:jc w:val="both"/>
      </w:pPr>
      <w:r>
        <w:rPr>
          <w:rFonts w:ascii="Calibri" w:hAnsi="Calibri"/>
          <w:b w:val="0"/>
          <w:i w:val="0"/>
          <w:sz w:val="22"/>
        </w:rPr>
        <w:t>Vale notar a conexão entre a última hipótese de dispensa de consentimento do art. 31, §3º, da LAI ("proteção do interesse público e geral preponderante") e a regra de transparência reforçada que a própria atividade correcional já adota para PADs julgados com sanção (Capítulo 5 desta apostila): a divulgação do nome e da matrícula do servidor sancionado não é uma excepcionalidade isolada — ela é justamente uma aplicação concreta dessa hipótese de interesse público preponderante combinada com a obrigação de transparência ativa de sanções (art. 29, §2º, IX, Lei nº 14.129/2021). Os dois fundamentos — um da LAI, outro da legislação de transparência — convergem para o mesmo resultado prático.</w:t>
      </w:r>
    </w:p>
    <w:p>
      <w:pPr>
        <w:spacing w:before="120" w:after="120"/>
        <w:pBdr>
          <w:bottom w:val="single" w:sz="4" w:space="1" w:color="BFA040"/>
        </w:pBdr>
      </w:pPr>
    </w:p>
    <w:p>
      <w:r>
        <w:br w:type="page"/>
      </w:r>
    </w:p>
    <w:p>
      <w:pPr>
        <w:spacing w:before="80" w:after="0"/>
      </w:pPr>
      <w:r>
        <w:rPr>
          <w:rFonts w:ascii="Arial Narrow" w:hAnsi="Arial Narrow"/>
          <w:b/>
          <w:color w:val="BFA040"/>
          <w:sz w:val="18"/>
        </w:rPr>
        <w:t>CAPÍTULO 4</w:t>
      </w:r>
    </w:p>
    <w:p>
      <w:pPr>
        <w:pStyle w:val="Heading1"/>
        <w:spacing w:before="40" w:after="240"/>
      </w:pPr>
      <w:r>
        <w:rPr>
          <w:rFonts w:ascii="Arial Narrow" w:hAnsi="Arial Narrow"/>
          <w:b/>
          <w:color w:val="1E3A5F"/>
          <w:sz w:val="40"/>
        </w:rPr>
        <w:t>LAI e LGPD: Como Harmonizar</w:t>
      </w:r>
    </w:p>
    <w:p>
      <w:pPr>
        <w:spacing w:before="0" w:after="200"/>
        <w:pBdr>
          <w:bottom w:val="single" w:sz="8" w:space="1" w:color="BFA040"/>
        </w:pBdr>
      </w:pPr>
    </w:p>
    <w:p>
      <w:pPr>
        <w:pStyle w:val="Heading2"/>
        <w:spacing w:before="240" w:after="100"/>
        <w:pBdr>
          <w:left w:val="single" w:sz="18" w:space="6" w:color="BFA040"/>
        </w:pBdr>
      </w:pPr>
      <w:r>
        <w:rPr>
          <w:rFonts w:ascii="Arial Narrow" w:hAnsi="Arial Narrow"/>
          <w:b/>
          <w:color w:val="1E3A5F"/>
          <w:sz w:val="26"/>
        </w:rPr>
        <w:t>4.1 Quadro comparativo</w:t>
      </w:r>
    </w:p>
    <w:tbl>
      <w:tblPr>
        <w:tblStyle w:val="TableGrid"/>
        <w:tblW w:type="auto" w:w="0"/>
        <w:tblLook w:firstColumn="1" w:firstRow="1" w:lastColumn="0" w:lastRow="0" w:noHBand="0" w:noVBand="1" w:val="04A0"/>
      </w:tblPr>
      <w:tblGrid>
        <w:gridCol w:w="3024"/>
        <w:gridCol w:w="3024"/>
        <w:gridCol w:w="3024"/>
      </w:tblGrid>
      <w:tr>
        <w:tc>
          <w:tcPr>
            <w:tcW w:type="dxa" w:w="45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p>
        </w:tc>
        <w:tc>
          <w:tcPr>
            <w:tcW w:type="dxa" w:w="4309"/>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LAI (Lei nº 12.527/2011)</w:t>
            </w:r>
          </w:p>
        </w:tc>
        <w:tc>
          <w:tcPr>
            <w:tcW w:type="dxa" w:w="4309"/>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LGPD (Lei nº 13.709/2018)</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Objeto</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Acesso à informação produzida/custodiada pelo Estado e suas exceções.</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Regulamentação do tratamento de dados pessoais (hipóteses, princípios, segurança, término).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Inovação em sigilo</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É a lei que trata das exceções à transparência estatal.</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inova quanto ao sigilo das informações estatais.</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Aplicação</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Vincula os órgãos e entidades públicas.</w:t>
            </w:r>
          </w:p>
        </w:tc>
        <w:tc>
          <w:tcPr>
            <w:tcW w:type="dxa" w:w="4309"/>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Aplica-se a todos que realizem tratamento de dados pessoais — públicos e privados.</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Relação</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Norma mais específica para pedidos de acesso à informação envolvendo dados pessoais (Enunciado CGU nº 4/2022).</w:t>
            </w:r>
          </w:p>
        </w:tc>
        <w:tc>
          <w:tcPr>
            <w:tcW w:type="dxa" w:w="43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As duas leis são sistematicamente compatíveis — não há antinomia.</w:t>
            </w:r>
          </w:p>
        </w:tc>
      </w:tr>
    </w:tbl>
    <w:p>
      <w:pPr>
        <w:spacing w:after="80"/>
      </w:pPr>
    </w:p>
    <w:p>
      <w:pPr>
        <w:pStyle w:val="Heading3"/>
        <w:spacing w:before="160" w:after="60"/>
      </w:pPr>
      <w:r>
        <w:rPr>
          <w:rFonts w:ascii="Calibri" w:hAnsi="Calibri"/>
          <w:b/>
          <w:color w:val="1E3A5F"/>
          <w:sz w:val="22"/>
        </w:rPr>
        <w:t>A harmonização também é um compromisso institucional formal</w:t>
      </w:r>
    </w:p>
    <w:p>
      <w:pPr>
        <w:spacing w:after="100" w:line="280" w:lineRule="exact"/>
        <w:jc w:val="both"/>
      </w:pPr>
      <w:r>
        <w:rPr>
          <w:rFonts w:ascii="Calibri" w:hAnsi="Calibri"/>
          <w:b w:val="0"/>
          <w:i w:val="0"/>
          <w:sz w:val="22"/>
        </w:rPr>
        <w:t xml:space="preserve">A afirmação de que "as duas leis são sistematicamente compatíveis" não é apenas uma posição doutrinária — ela tem respaldo institucional concreto: ANPD e CGU firmaram, em maio de 2023, um </w:t>
      </w:r>
      <w:r>
        <w:rPr>
          <w:rFonts w:ascii="Calibri" w:hAnsi="Calibri"/>
          <w:b/>
          <w:i w:val="0"/>
          <w:sz w:val="22"/>
        </w:rPr>
        <w:t>Acordo de Cooperação Técnica (ACT)</w:t>
      </w:r>
      <w:r>
        <w:rPr>
          <w:rFonts w:ascii="Calibri" w:hAnsi="Calibri"/>
          <w:b w:val="0"/>
          <w:i w:val="0"/>
          <w:sz w:val="22"/>
        </w:rPr>
        <w:t xml:space="preserve"> com o objetivo explícito de promover a convergência de interpretações, a uniformidade de normas e o intercâmbio de conhecimento entre as duas autoridades, justamente para evitar que a LGPD seja usada como pretexto para negar indevidamente a transparência ou que a LAI seja aplicada sem o devido resguardo a dados pessoais. O roteiro decisório do item 4.2, abaixo, é em larga medida fruto direto desse esforço conjunto (consolidado no </w:t>
      </w:r>
      <w:r>
        <w:rPr>
          <w:rFonts w:ascii="Calibri" w:hAnsi="Calibri"/>
          <w:b/>
          <w:i w:val="0"/>
          <w:sz w:val="22"/>
        </w:rPr>
        <w:t>Guia LAI/LGPD</w:t>
      </w:r>
      <w:r>
        <w:rPr>
          <w:rFonts w:ascii="Calibri" w:hAnsi="Calibri"/>
          <w:b w:val="0"/>
          <w:i w:val="0"/>
          <w:sz w:val="22"/>
        </w:rPr>
        <w:t xml:space="preserve"> elaborado por CGU e ANPD).</w:t>
      </w:r>
    </w:p>
    <w:p>
      <w:pPr>
        <w:pStyle w:val="Heading2"/>
        <w:spacing w:before="240" w:after="100"/>
        <w:pBdr>
          <w:left w:val="single" w:sz="18" w:space="6" w:color="BFA040"/>
        </w:pBdr>
      </w:pPr>
      <w:r>
        <w:rPr>
          <w:rFonts w:ascii="Arial Narrow" w:hAnsi="Arial Narrow"/>
          <w:b/>
          <w:color w:val="1E3A5F"/>
          <w:sz w:val="26"/>
        </w:rPr>
        <w:t>4.2 Como nortear a análise em um pedido de LAI com dados pessoais</w:t>
      </w:r>
    </w:p>
    <w:p>
      <w:pPr>
        <w:spacing w:after="100" w:line="280" w:lineRule="exact"/>
        <w:jc w:val="both"/>
      </w:pPr>
      <w:r>
        <w:rPr>
          <w:rFonts w:ascii="Calibri" w:hAnsi="Calibri"/>
          <w:b w:val="0"/>
          <w:i w:val="0"/>
          <w:sz w:val="22"/>
        </w:rPr>
        <w:t>Roteiro decisório (Guia LAI/LGPD — CGU e ANPD):</w:t>
      </w:r>
    </w:p>
    <w:p>
      <w:pPr>
        <w:spacing w:after="100" w:line="264" w:lineRule="exact"/>
        <w:ind w:left="454"/>
        <w:jc w:val="both"/>
      </w:pPr>
      <w:r>
        <w:rPr>
          <w:rFonts w:ascii="Calibri" w:hAnsi="Calibri"/>
          <w:b/>
          <w:color w:val="1E3A5F"/>
          <w:sz w:val="22"/>
        </w:rPr>
        <w:t xml:space="preserve">1.  </w:t>
      </w:r>
      <w:r>
        <w:rPr>
          <w:rFonts w:ascii="Calibri" w:hAnsi="Calibri"/>
          <w:b w:val="0"/>
          <w:i w:val="0"/>
          <w:sz w:val="22"/>
        </w:rPr>
        <w:t>Estou diante de informações que identificam uma pessoa natural?</w:t>
      </w:r>
      <w:r>
        <w:rPr>
          <w:rFonts w:ascii="Calibri" w:hAnsi="Calibri"/>
          <w:b/>
          <w:i w:val="0"/>
          <w:sz w:val="22"/>
        </w:rPr>
        <w:t xml:space="preserve"> — Se não → não há restrição por dado pessoal.</w:t>
      </w:r>
    </w:p>
    <w:p>
      <w:pPr>
        <w:spacing w:after="100" w:line="264" w:lineRule="exact"/>
        <w:ind w:left="454"/>
        <w:jc w:val="both"/>
      </w:pPr>
      <w:r>
        <w:rPr>
          <w:rFonts w:ascii="Calibri" w:hAnsi="Calibri"/>
          <w:b/>
          <w:color w:val="1E3A5F"/>
          <w:sz w:val="22"/>
        </w:rPr>
        <w:t xml:space="preserve">2.  </w:t>
      </w:r>
      <w:r>
        <w:rPr>
          <w:rFonts w:ascii="Calibri" w:hAnsi="Calibri"/>
          <w:b w:val="0"/>
          <w:i w:val="0"/>
          <w:sz w:val="22"/>
        </w:rPr>
        <w:t>Essas informações dizem respeito à vida privada, honra ou imagem dessa pessoa?</w:t>
      </w:r>
      <w:r>
        <w:rPr>
          <w:rFonts w:ascii="Calibri" w:hAnsi="Calibri"/>
          <w:b/>
          <w:i w:val="0"/>
          <w:sz w:val="22"/>
        </w:rPr>
        <w:t xml:space="preserve"> — Se não → podem ser fornecidas (art. 31 LAI não se aplica).</w:t>
      </w:r>
    </w:p>
    <w:p>
      <w:pPr>
        <w:spacing w:after="100" w:line="264" w:lineRule="exact"/>
        <w:ind w:left="454"/>
        <w:jc w:val="both"/>
      </w:pPr>
      <w:r>
        <w:rPr>
          <w:rFonts w:ascii="Calibri" w:hAnsi="Calibri"/>
          <w:b/>
          <w:color w:val="1E3A5F"/>
          <w:sz w:val="22"/>
        </w:rPr>
        <w:t xml:space="preserve">3.  </w:t>
      </w:r>
      <w:r>
        <w:rPr>
          <w:rFonts w:ascii="Calibri" w:hAnsi="Calibri"/>
          <w:b w:val="0"/>
          <w:i w:val="0"/>
          <w:sz w:val="22"/>
        </w:rPr>
        <w:t>O pedido diz respeito a dado pessoal de terceiro (diferente do requerente)?</w:t>
      </w:r>
      <w:r>
        <w:rPr>
          <w:rFonts w:ascii="Calibri" w:hAnsi="Calibri"/>
          <w:b/>
          <w:i w:val="0"/>
          <w:sz w:val="22"/>
        </w:rPr>
        <w:t xml:space="preserve"> — Se não (o requerente pede seus próprios dados) → deve ter acesso.</w:t>
      </w:r>
    </w:p>
    <w:p>
      <w:pPr>
        <w:spacing w:after="100" w:line="264" w:lineRule="exact"/>
        <w:ind w:left="454"/>
        <w:jc w:val="both"/>
      </w:pPr>
      <w:r>
        <w:rPr>
          <w:rFonts w:ascii="Calibri" w:hAnsi="Calibri"/>
          <w:b/>
          <w:color w:val="1E3A5F"/>
          <w:sz w:val="22"/>
        </w:rPr>
        <w:t xml:space="preserve">4.  </w:t>
      </w:r>
      <w:r>
        <w:rPr>
          <w:rFonts w:ascii="Calibri" w:hAnsi="Calibri"/>
          <w:b w:val="0"/>
          <w:i w:val="0"/>
          <w:sz w:val="22"/>
        </w:rPr>
        <w:t>O terceiro deu consentimento para esse acesso?</w:t>
      </w:r>
      <w:r>
        <w:rPr>
          <w:rFonts w:ascii="Calibri" w:hAnsi="Calibri"/>
          <w:b/>
          <w:i w:val="0"/>
          <w:sz w:val="22"/>
        </w:rPr>
        <w:t xml:space="preserve"> — Se sim → fornece. Se não → verificar hipóteses de dispensa.</w:t>
      </w:r>
    </w:p>
    <w:p>
      <w:pPr>
        <w:spacing w:after="100" w:line="264" w:lineRule="exact"/>
        <w:ind w:left="454"/>
        <w:jc w:val="both"/>
      </w:pPr>
      <w:r>
        <w:rPr>
          <w:rFonts w:ascii="Calibri" w:hAnsi="Calibri"/>
          <w:b/>
          <w:color w:val="1E3A5F"/>
          <w:sz w:val="22"/>
        </w:rPr>
        <w:t xml:space="preserve">5.  </w:t>
      </w:r>
      <w:r>
        <w:rPr>
          <w:rFonts w:ascii="Calibri" w:hAnsi="Calibri"/>
          <w:b w:val="0"/>
          <w:i w:val="0"/>
          <w:sz w:val="22"/>
        </w:rPr>
        <w:t>Existe hipótese de dispensa de consentimento (art. 31, §3º)?</w:t>
      </w:r>
      <w:r>
        <w:rPr>
          <w:rFonts w:ascii="Calibri" w:hAnsi="Calibri"/>
          <w:b/>
          <w:i w:val="0"/>
          <w:sz w:val="22"/>
        </w:rPr>
        <w:t xml:space="preserve"> — Se sim (ex.: interesse público preponderante) → fornece. Se não → acesso restrito.</w:t>
      </w:r>
    </w:p>
    <w:p>
      <w:pPr>
        <w:pStyle w:val="Heading3"/>
        <w:spacing w:before="160" w:after="60"/>
      </w:pPr>
      <w:r>
        <w:rPr>
          <w:rFonts w:ascii="Calibri" w:hAnsi="Calibri"/>
          <w:b/>
          <w:color w:val="1E3A5F"/>
          <w:sz w:val="22"/>
        </w:rPr>
        <w:t>Um "Passo 0" indispensável antes mesmo de aplicar o roteiro</w:t>
      </w:r>
    </w:p>
    <w:p>
      <w:pPr>
        <w:spacing w:after="100" w:line="280" w:lineRule="exact"/>
        <w:jc w:val="both"/>
      </w:pPr>
      <w:r>
        <w:rPr>
          <w:rFonts w:ascii="Calibri" w:hAnsi="Calibri"/>
          <w:b w:val="0"/>
          <w:i w:val="0"/>
          <w:sz w:val="22"/>
        </w:rPr>
        <w:t xml:space="preserve">O roteiro do Guia LAI/LGPD foi pensado para informações públicas em geral. Na rotina da Corregedoria, há uma verificação anterior que precisa ser feita antes de chegar ao Passo 1 — porque ela pode, isoladamente, já restringir o acesso </w:t>
      </w:r>
      <w:r>
        <w:rPr>
          <w:rFonts w:ascii="Calibri" w:hAnsi="Calibri"/>
          <w:b/>
          <w:i w:val="0"/>
          <w:sz w:val="22"/>
        </w:rPr>
        <w:t>independentemente de existir ou não dado pessoal envolvido</w:t>
      </w:r>
      <w:r>
        <w:rPr>
          <w:rFonts w:ascii="Calibri" w:hAnsi="Calibri"/>
          <w:b w:val="0"/>
          <w:i w:val="0"/>
          <w:sz w:val="22"/>
        </w:rPr>
        <w:t>:</w:t>
      </w:r>
    </w:p>
    <w:p>
      <w:pPr>
        <w:spacing w:before="100" w:after="20"/>
        <w:ind w:left="227" w:right="170"/>
        <w:jc w:val="both"/>
        <w:pBdr>
          <w:left w:val="single" w:sz="24" w:space="6" w:color="707070"/>
        </w:pBdr>
        <w:shd w:val="clear" w:color="auto" w:fill="F4F4F4"/>
      </w:pPr>
      <w:r>
        <w:rPr>
          <w:rFonts w:ascii="Arial Narrow" w:hAnsi="Arial Narrow"/>
          <w:b/>
          <w:color w:val="707070"/>
          <w:sz w:val="18"/>
        </w:rPr>
        <w:t xml:space="preserve">PASSO 0 — O procedimento ou processo já está concluído, nos termos do art. 115 da Portaria 27/2022?  </w:t>
      </w:r>
      <w:r>
        <w:rPr>
          <w:rFonts w:ascii="Calibri" w:hAnsi="Calibri"/>
          <w:b w:val="0"/>
          <w:i w:val="0"/>
          <w:sz w:val="20"/>
        </w:rPr>
        <w:t xml:space="preserve">- </w:t>
      </w:r>
      <w:r>
        <w:rPr>
          <w:rFonts w:ascii="Calibri" w:hAnsi="Calibri"/>
          <w:b/>
          <w:i w:val="0"/>
          <w:sz w:val="20"/>
        </w:rPr>
        <w:t>Se não</w:t>
      </w:r>
      <w:r>
        <w:rPr>
          <w:rFonts w:ascii="Calibri" w:hAnsi="Calibri"/>
          <w:b w:val="0"/>
          <w:i w:val="0"/>
          <w:sz w:val="20"/>
        </w:rPr>
        <w:t xml:space="preserve"> (procedimento investigativo em curso, ou processo correcional sem decisão definitiva) → acesso restrito a terceiros, com fundamento autônomo no art. 7º, §3º, da LAI (documento preparatório) e no art. 114, V, da Portaria — </w:t>
      </w:r>
      <w:r>
        <w:rPr>
          <w:rFonts w:ascii="Calibri" w:hAnsi="Calibri"/>
          <w:b/>
          <w:i w:val="0"/>
          <w:sz w:val="20"/>
        </w:rPr>
        <w:t>independentemente</w:t>
      </w:r>
      <w:r>
        <w:rPr>
          <w:rFonts w:ascii="Calibri" w:hAnsi="Calibri"/>
          <w:b w:val="0"/>
          <w:i w:val="0"/>
          <w:sz w:val="20"/>
        </w:rPr>
        <w:t xml:space="preserve"> do conteúdo conter ou não dado pessoal. Só prossiga para o Passo 1 se a finalidade for avaliar o que pode ser informado ao próprio interessado (acusado/investigado), que tem acesso amplo mesmo nessa fase (art. 132 da Portaria).</w:t>
      </w:r>
    </w:p>
    <w:p>
      <w:pPr>
        <w:spacing w:before="20" w:after="20"/>
        <w:ind w:left="227" w:right="170"/>
        <w:jc w:val="both"/>
        <w:pBdr>
          <w:left w:val="single" w:sz="24" w:space="6" w:color="707070"/>
        </w:pBdr>
        <w:shd w:val="clear" w:color="auto" w:fill="F4F4F4"/>
      </w:pPr>
      <w:r>
        <w:rPr>
          <w:rFonts w:ascii="Calibri" w:hAnsi="Calibri"/>
          <w:b w:val="0"/>
          <w:i w:val="0"/>
          <w:sz w:val="20"/>
        </w:rPr>
        <w:t xml:space="preserve">- </w:t>
      </w:r>
      <w:r>
        <w:rPr>
          <w:rFonts w:ascii="Calibri" w:hAnsi="Calibri"/>
          <w:b/>
          <w:i w:val="0"/>
          <w:sz w:val="20"/>
        </w:rPr>
        <w:t>Se sim</w:t>
      </w:r>
      <w:r>
        <w:rPr>
          <w:rFonts w:ascii="Calibri" w:hAnsi="Calibri"/>
          <w:b w:val="0"/>
          <w:i w:val="0"/>
          <w:sz w:val="20"/>
        </w:rPr>
        <w:t xml:space="preserve"> (decisão definitiva proferida) → o documento passa, em princípio, ao regime de publicidade — mas ainda sujeito ao roteiro dos Passos 1 a 5 para qualquer dado pessoal nele contido (ver Capítulo 5 desta apostila para o detalhamento fase a fase).</w:t>
      </w:r>
    </w:p>
    <w:p>
      <w:pPr>
        <w:spacing w:after="60"/>
      </w:pPr>
    </w:p>
    <w:p>
      <w:pPr>
        <w:pStyle w:val="Heading3"/>
        <w:spacing w:before="160" w:after="60"/>
      </w:pPr>
      <w:r>
        <w:rPr>
          <w:rFonts w:ascii="Calibri" w:hAnsi="Calibri"/>
          <w:b/>
          <w:color w:val="1E3A5F"/>
          <w:sz w:val="22"/>
        </w:rPr>
        <w:t>Atenção ao Passo 3: nem todo pedido de "acesso" passa pelo rito da LAI</w:t>
      </w:r>
    </w:p>
    <w:p>
      <w:pPr>
        <w:spacing w:after="100" w:line="280" w:lineRule="exact"/>
        <w:jc w:val="both"/>
      </w:pPr>
      <w:r>
        <w:rPr>
          <w:rFonts w:ascii="Calibri" w:hAnsi="Calibri"/>
          <w:b w:val="0"/>
          <w:i w:val="0"/>
          <w:sz w:val="22"/>
        </w:rPr>
        <w:t xml:space="preserve">O Passo 3 do roteiro pergunta se o requerente está pedindo dados próprios ou de terceiro. Vale um esclarecimento prático frequentemente confundido na rotina: quando o </w:t>
      </w:r>
      <w:r>
        <w:rPr>
          <w:rFonts w:ascii="Calibri" w:hAnsi="Calibri"/>
          <w:b/>
          <w:i w:val="0"/>
          <w:sz w:val="22"/>
        </w:rPr>
        <w:t>próprio acusado, investigado ou seu procurador</w:t>
      </w:r>
      <w:r>
        <w:rPr>
          <w:rFonts w:ascii="Calibri" w:hAnsi="Calibri"/>
          <w:b w:val="0"/>
          <w:i w:val="0"/>
          <w:sz w:val="22"/>
        </w:rPr>
        <w:t xml:space="preserve"> solicita acesso aos autos, esse pedido </w:t>
      </w:r>
      <w:r>
        <w:rPr>
          <w:rFonts w:ascii="Calibri" w:hAnsi="Calibri"/>
          <w:b/>
          <w:i w:val="0"/>
          <w:sz w:val="22"/>
        </w:rPr>
        <w:t>não tramita como pedido de LAI pelo Fala.BR</w:t>
      </w:r>
      <w:r>
        <w:rPr>
          <w:rFonts w:ascii="Calibri" w:hAnsi="Calibri"/>
          <w:b w:val="0"/>
          <w:i w:val="0"/>
          <w:sz w:val="22"/>
        </w:rPr>
        <w:t xml:space="preserve"> — ele é atendido diretamente pela comissão ou pela unidade de correição, com base no direito de ampla defesa e no art. 132 da Portaria 27/2022, de forma mais ampla e mais rápida do que o rito de 20 (+10) dias da LAI. O rito da LAI (e, portanto, todo o roteiro de 5 passos) aplica-se a </w:t>
      </w:r>
      <w:r>
        <w:rPr>
          <w:rFonts w:ascii="Calibri" w:hAnsi="Calibri"/>
          <w:b/>
          <w:i w:val="0"/>
          <w:sz w:val="22"/>
        </w:rPr>
        <w:t>terceiros estranhos ao processo</w:t>
      </w:r>
      <w:r>
        <w:rPr>
          <w:rFonts w:ascii="Calibri" w:hAnsi="Calibri"/>
          <w:b w:val="0"/>
          <w:i w:val="0"/>
          <w:sz w:val="22"/>
        </w:rPr>
        <w:t xml:space="preserve"> — jornalistas, pesquisadores, qualquer cidadão. Achar que o investigado "precisa fazer um pedido de LAI" para ver seu próprio processo é um erro recorrente que atrasa indevidamente o exercício da ampla defesa.</w:t>
      </w:r>
    </w:p>
    <w:p>
      <w:pPr>
        <w:pStyle w:val="Heading3"/>
        <w:spacing w:before="160" w:after="60"/>
      </w:pPr>
      <w:r>
        <w:rPr>
          <w:rFonts w:ascii="Calibri" w:hAnsi="Calibri"/>
          <w:b/>
          <w:color w:val="1E3A5F"/>
          <w:sz w:val="22"/>
        </w:rPr>
        <w:t>Roteiro aplicado: quatro situações típicas da rotina correcional</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Situação</w:t>
            </w:r>
          </w:p>
        </w:tc>
        <w:tc>
          <w:tcPr>
            <w:tcW w:type="dxa" w:w="1296"/>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Passo 0</w:t>
            </w:r>
          </w:p>
        </w:tc>
        <w:tc>
          <w:tcPr>
            <w:tcW w:type="dxa" w:w="1296"/>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Passo 1</w:t>
            </w:r>
          </w:p>
        </w:tc>
        <w:tc>
          <w:tcPr>
            <w:tcW w:type="dxa" w:w="1296"/>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Passo 2</w:t>
            </w:r>
          </w:p>
        </w:tc>
        <w:tc>
          <w:tcPr>
            <w:tcW w:type="dxa" w:w="1296"/>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Passo 3</w:t>
            </w:r>
          </w:p>
        </w:tc>
        <w:tc>
          <w:tcPr>
            <w:tcW w:type="dxa" w:w="1296"/>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Passo 4/5</w:t>
            </w:r>
          </w:p>
        </w:tc>
        <w:tc>
          <w:tcPr>
            <w:tcW w:type="dxa" w:w="1296"/>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Decisão</w:t>
            </w:r>
          </w:p>
        </w:tc>
      </w:tr>
      <w:tr>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Cidadão pede cópia de PAD ainda em instrução</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concluído</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Acesso restrito</w:t>
            </w:r>
            <w:r>
              <w:rPr>
                <w:rFonts w:ascii="Calibri" w:hAnsi="Calibri"/>
                <w:b w:val="0"/>
                <w:i w:val="0"/>
                <w:sz w:val="19"/>
              </w:rPr>
              <w:t xml:space="preserve"> (documento preparatório, independente de dado pessoal)</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Jornalista pede decisão de arquivamento de IP já finalizada, mencionando nome do investigado</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Concluído</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 (honra/imagem)</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 (terceiro)</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Sem consentimento; sem hipótese de dispensa clara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 com tarjamento</w:t>
            </w:r>
            <w:r>
              <w:rPr>
                <w:rFonts w:ascii="Calibri" w:hAnsi="Calibri"/>
                <w:b w:val="0"/>
                <w:i w:val="0"/>
                <w:sz w:val="19"/>
              </w:rPr>
              <w:t xml:space="preserve"> do nome/matrícula (NT 2418/2023)</w:t>
            </w:r>
          </w:p>
        </w:tc>
      </w:tr>
      <w:tr>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Cidadão pede portaria de sanção (demissão) já publicada no DOU</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Concluído</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 (terceiro)</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Interesse público preponderante (sanção = informação de interesse coletivo, art. 29, §2º, IX, Lei 14.129/2021)</w:t>
            </w:r>
          </w:p>
        </w:tc>
        <w:tc>
          <w:tcPr>
            <w:tcW w:type="dxa" w:w="1296"/>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 integralmente</w:t>
            </w:r>
            <w:r>
              <w:rPr>
                <w:rFonts w:ascii="Calibri" w:hAnsi="Calibri"/>
                <w:b w:val="0"/>
                <w:i w:val="0"/>
                <w:sz w:val="19"/>
              </w:rPr>
              <w:t>, com nome e matrícula</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Acusado pede acesso ao próprio PAD em curso</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sz w:val="19"/>
              </w:rPr>
              <w:t>(não se aplica o roteiro — ver complemento acima)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Acesso integral</w:t>
            </w:r>
            <w:r>
              <w:rPr>
                <w:rFonts w:ascii="Calibri" w:hAnsi="Calibri"/>
                <w:b w:val="0"/>
                <w:i w:val="0"/>
                <w:sz w:val="19"/>
              </w:rPr>
              <w:t>, direto pela comissão (art. 132 da Portaria), sem rito de LAI</w:t>
            </w:r>
          </w:p>
        </w:tc>
      </w:tr>
    </w:tbl>
    <w:p>
      <w:pPr>
        <w:spacing w:after="80"/>
      </w:pPr>
    </w:p>
    <w:p>
      <w:pPr>
        <w:pStyle w:val="Heading2"/>
        <w:spacing w:before="240" w:after="100"/>
        <w:pBdr>
          <w:left w:val="single" w:sz="18" w:space="6" w:color="BFA040"/>
        </w:pBdr>
      </w:pPr>
      <w:r>
        <w:rPr>
          <w:rFonts w:ascii="Arial Narrow" w:hAnsi="Arial Narrow"/>
          <w:b/>
          <w:color w:val="1E3A5F"/>
          <w:sz w:val="26"/>
        </w:rPr>
        <w:t>4.3 Enunciados da CGU mais relevantes</w:t>
      </w:r>
    </w:p>
    <w:p>
      <w:pPr>
        <w:spacing w:after="100" w:line="280" w:lineRule="exact"/>
        <w:jc w:val="both"/>
      </w:pPr>
      <w:r>
        <w:rPr>
          <w:rFonts w:ascii="Calibri" w:hAnsi="Calibri"/>
          <w:b/>
          <w:i w:val="0"/>
          <w:sz w:val="22"/>
        </w:rPr>
        <w:t>Enunciado CGU nº 4/2022</w:t>
      </w:r>
      <w:r>
        <w:rPr>
          <w:rFonts w:ascii="Calibri" w:hAnsi="Calibri"/>
          <w:b w:val="0"/>
          <w:i w:val="0"/>
          <w:sz w:val="22"/>
        </w:rPr>
        <w:t>: Decisões sobre publicidade de dados de pessoas naturais devem ser fundamentadas nos arts. 3º e 31 da LAI, que é a norma de regência processual e material para pedidos de acesso à informação envolvendo dados pessoais.</w:t>
      </w:r>
    </w:p>
    <w:p>
      <w:pPr>
        <w:spacing w:after="100" w:line="280" w:lineRule="exact"/>
        <w:jc w:val="both"/>
      </w:pPr>
      <w:r>
        <w:rPr>
          <w:rFonts w:ascii="Calibri" w:hAnsi="Calibri"/>
          <w:b/>
          <w:i w:val="0"/>
          <w:sz w:val="22"/>
        </w:rPr>
        <w:t>Enunciado CGU nº 12/2023</w:t>
      </w:r>
      <w:r>
        <w:rPr>
          <w:rFonts w:ascii="Calibri" w:hAnsi="Calibri"/>
          <w:b w:val="0"/>
          <w:i w:val="0"/>
          <w:sz w:val="22"/>
        </w:rPr>
        <w:t>: "Informações pessoais" não pode ser fundamento para negar acesso a documentos que contenham dados pessoais sem que se verifique a possibilidade de tratamento (tarjamento/ocultação) para fornecer a parte não sigilosa.</w:t>
      </w:r>
    </w:p>
    <w:p>
      <w:pPr>
        <w:spacing w:after="100" w:line="280" w:lineRule="exact"/>
        <w:jc w:val="both"/>
      </w:pPr>
      <w:r>
        <w:rPr>
          <w:rFonts w:ascii="Calibri" w:hAnsi="Calibri"/>
          <w:b/>
          <w:i w:val="0"/>
          <w:sz w:val="22"/>
        </w:rPr>
        <w:t>Enunciado CGU nº 1/2024</w:t>
      </w:r>
      <w:r>
        <w:rPr>
          <w:rFonts w:ascii="Calibri" w:hAnsi="Calibri"/>
          <w:b w:val="0"/>
          <w:i w:val="0"/>
          <w:sz w:val="22"/>
        </w:rPr>
        <w:t>: Na ausência de indicação expressa do prazo de sigilo, não se presume o prazo máximo de 100 anos. Adota-se presunção de 15 anos ou, quando possível, até o evento que permita determinar o termo final.</w:t>
      </w:r>
    </w:p>
    <w:p>
      <w:pPr>
        <w:spacing w:after="100" w:line="280" w:lineRule="exact"/>
        <w:jc w:val="both"/>
      </w:pPr>
      <w:r>
        <w:rPr>
          <w:rFonts w:ascii="Calibri" w:hAnsi="Calibri"/>
          <w:b/>
          <w:i w:val="0"/>
          <w:sz w:val="22"/>
        </w:rPr>
        <w:t>Enunciado CGU nº 2/2024</w:t>
      </w:r>
      <w:r>
        <w:rPr>
          <w:rFonts w:ascii="Calibri" w:hAnsi="Calibri"/>
          <w:b w:val="0"/>
          <w:i w:val="0"/>
          <w:sz w:val="22"/>
        </w:rPr>
        <w:t>: O uso reiterado do fundamento "informações pessoais" para negar pedidos de acesso, em desacordo com orientações da CGU, sujeita o agente público à apuração de responsabilidade (art. 32 LAI).</w:t>
      </w:r>
    </w:p>
    <w:p>
      <w:pPr>
        <w:pStyle w:val="Heading3"/>
        <w:spacing w:before="160" w:after="60"/>
      </w:pPr>
      <w:r>
        <w:rPr>
          <w:rFonts w:ascii="Calibri" w:hAnsi="Calibri"/>
          <w:b/>
          <w:color w:val="1E3A5F"/>
          <w:sz w:val="22"/>
        </w:rPr>
        <w:t>Outros enunciados da CGU com aplicação direta na rotina da RFB/Corregedoria</w:t>
      </w:r>
    </w:p>
    <w:p>
      <w:pPr>
        <w:spacing w:after="100" w:line="280" w:lineRule="exact"/>
        <w:jc w:val="both"/>
      </w:pPr>
      <w:r>
        <w:rPr>
          <w:rFonts w:ascii="Calibri" w:hAnsi="Calibri"/>
          <w:b w:val="0"/>
          <w:i w:val="0"/>
          <w:sz w:val="22"/>
        </w:rPr>
        <w:t>A apostila já cita, no quadro do Capítulo 6, o Enunciado CGU nº 7/2023 (currículos e títulos acadêmicos). Vale reunir aqui, no capítulo dedicado aos enunciados, outros dois da mesma série de 2023 que tendem a aparecer na rotina:</w:t>
      </w:r>
    </w:p>
    <w:p>
      <w:pPr>
        <w:spacing w:after="100" w:line="280" w:lineRule="exact"/>
        <w:jc w:val="both"/>
      </w:pPr>
      <w:r>
        <w:rPr>
          <w:rFonts w:ascii="Calibri" w:hAnsi="Calibri"/>
          <w:b/>
          <w:i w:val="0"/>
          <w:sz w:val="22"/>
        </w:rPr>
        <w:t>Enunciado CGU nº 8/2023</w:t>
      </w:r>
      <w:r>
        <w:rPr>
          <w:rFonts w:ascii="Calibri" w:hAnsi="Calibri"/>
          <w:b w:val="0"/>
          <w:i w:val="0"/>
          <w:sz w:val="22"/>
        </w:rPr>
        <w:t xml:space="preserve"> — Provas e concursos públicos: a divulgação de documentos e informações relacionados a candidatos aprovados em seleções para provimento de cargos públicos, inclusive provas orais, é passível de acesso público, pois a transparência dos processos seletivos está diretamente relacionada à promoção do controle administrativo e social — ressalvadas as informações pessoais sensíveis. Pode ser relevante se a Corregedoria apurar irregularidade em certame interno (ex.: fraude em prova de capacitação correcional).</w:t>
      </w:r>
    </w:p>
    <w:p>
      <w:pPr>
        <w:spacing w:after="100" w:line="280" w:lineRule="exact"/>
        <w:jc w:val="both"/>
      </w:pPr>
      <w:r>
        <w:rPr>
          <w:rFonts w:ascii="Calibri" w:hAnsi="Calibri"/>
          <w:b/>
          <w:i w:val="0"/>
          <w:sz w:val="22"/>
        </w:rPr>
        <w:t>Enunciado CGU nº 10/2023</w:t>
      </w:r>
      <w:r>
        <w:rPr>
          <w:rFonts w:ascii="Calibri" w:hAnsi="Calibri"/>
          <w:b w:val="0"/>
          <w:i w:val="0"/>
          <w:sz w:val="22"/>
        </w:rPr>
        <w:t xml:space="preserve"> — Informações financeiras de programas e benefícios sociais: informações sobre valores pagos e identificação de beneficiários de programas sociais são de acesso público, sem que incida sigilo bancário ou proteção de dados pessoais como óbice — ressalvados os casos em que a identificação possa expor informação pessoal sensível. Tem alguma analogia com o tratamento de valores de multa em PAR (Capítulo 5, item 5.7 desta apostila: "resultado — valor da multa e cálculo — é público, sem exceção").</w:t>
      </w: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w:t>
      </w:r>
      <w:r>
        <w:rPr>
          <w:rFonts w:ascii="Calibri" w:hAnsi="Calibri"/>
          <w:b w:val="0"/>
          <w:i w:val="0"/>
          <w:sz w:val="20"/>
        </w:rPr>
        <w:t>A lista de enunciados da CGU é viva — novos enunciados são publicados regularmente e os anteriores podem ser atualizados ou cancelados. O servidor da Corregedoria deve consultar a página oficial de enunciados da CGU antes de fundamentar uma decisão relevante exclusivamente em um enunciado citado nesta apostila, especialmente para casos de maior repercussão.</w:t>
      </w:r>
    </w:p>
    <w:p>
      <w:pPr>
        <w:spacing w:after="60"/>
      </w:pPr>
    </w:p>
    <w:p>
      <w:pPr>
        <w:spacing w:before="120" w:after="120"/>
        <w:pBdr>
          <w:bottom w:val="single" w:sz="4" w:space="1" w:color="BFA040"/>
        </w:pBdr>
      </w:pPr>
    </w:p>
    <w:p>
      <w:r>
        <w:br w:type="page"/>
      </w:r>
    </w:p>
    <w:p>
      <w:pPr>
        <w:spacing w:before="80" w:after="0"/>
      </w:pPr>
      <w:r>
        <w:rPr>
          <w:rFonts w:ascii="Arial Narrow" w:hAnsi="Arial Narrow"/>
          <w:b/>
          <w:color w:val="BFA040"/>
          <w:sz w:val="18"/>
        </w:rPr>
        <w:t>CAPÍTULO 5</w:t>
      </w:r>
    </w:p>
    <w:p>
      <w:pPr>
        <w:pStyle w:val="Heading1"/>
        <w:spacing w:before="40" w:after="240"/>
      </w:pPr>
      <w:r>
        <w:rPr>
          <w:rFonts w:ascii="Arial Narrow" w:hAnsi="Arial Narrow"/>
          <w:b/>
          <w:color w:val="1E3A5F"/>
          <w:sz w:val="40"/>
        </w:rPr>
        <w:t>Processos Disciplinares — Transparência e Dados Pessoais, Fase a Fase</w:t>
      </w:r>
    </w:p>
    <w:p>
      <w:pPr>
        <w:spacing w:before="0" w:after="200"/>
        <w:pBdr>
          <w:bottom w:val="single" w:sz="8" w:space="1" w:color="BFA040"/>
        </w:pBdr>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REGRA GERAL  </w:t>
      </w:r>
      <w:r>
        <w:rPr>
          <w:rFonts w:ascii="Calibri" w:hAnsi="Calibri"/>
          <w:b w:val="0"/>
          <w:i w:val="0"/>
          <w:sz w:val="20"/>
        </w:rPr>
        <w:t xml:space="preserve">Princípio geral: a lógica que rege a atuação do Estado é a da TRANSPARÊNCIA. O sigilo é excepcional. PADs finalizados </w:t>
      </w:r>
      <w:r>
        <w:rPr>
          <w:rFonts w:ascii="Calibri" w:hAnsi="Calibri"/>
          <w:b/>
          <w:i w:val="0"/>
          <w:sz w:val="20"/>
        </w:rPr>
        <w:t>não</w:t>
      </w:r>
      <w:r>
        <w:rPr>
          <w:rFonts w:ascii="Calibri" w:hAnsi="Calibri"/>
          <w:b w:val="0"/>
          <w:i w:val="0"/>
          <w:sz w:val="20"/>
        </w:rPr>
        <w:t xml:space="preserve"> precisam estar em transparência ativa — o que deve estar são as sanções aplicadas (art. 29, §2º, IX, Lei nº 14.129/2021).</w:t>
      </w:r>
    </w:p>
    <w:p>
      <w:pPr>
        <w:spacing w:after="60"/>
      </w:pPr>
    </w:p>
    <w:p>
      <w:pPr>
        <w:spacing w:after="100" w:line="280" w:lineRule="exact"/>
        <w:jc w:val="both"/>
      </w:pPr>
      <w:r>
        <w:rPr>
          <w:rFonts w:ascii="Calibri" w:hAnsi="Calibri"/>
          <w:b w:val="0"/>
          <w:i w:val="0"/>
          <w:sz w:val="22"/>
        </w:rPr>
        <w:t>Regra geral de acesso aos PADs em curso: acusado e advogado | comissão designada | autoridade instauradora | servidores que atuam como longa manus da instauradora. Testemunhas e denunciantes não são partes.</w:t>
      </w:r>
    </w:p>
    <w:p>
      <w:pPr>
        <w:pStyle w:val="Heading2"/>
        <w:spacing w:before="240" w:after="100"/>
        <w:pBdr>
          <w:left w:val="single" w:sz="18" w:space="6" w:color="BFA040"/>
        </w:pBdr>
      </w:pPr>
      <w:r>
        <w:rPr>
          <w:rFonts w:ascii="Arial Narrow" w:hAnsi="Arial Narrow"/>
          <w:b/>
          <w:color w:val="1E3A5F"/>
          <w:sz w:val="26"/>
        </w:rPr>
        <w:t>5.0 Mapa completo dos instrumentos da Portaria 27/2022 e seu regime de acesso</w:t>
      </w:r>
    </w:p>
    <w:p>
      <w:pPr>
        <w:spacing w:after="100" w:line="280" w:lineRule="exact"/>
        <w:jc w:val="both"/>
      </w:pPr>
      <w:r>
        <w:rPr>
          <w:rFonts w:ascii="Calibri" w:hAnsi="Calibri"/>
          <w:b w:val="0"/>
          <w:i w:val="0"/>
          <w:sz w:val="22"/>
        </w:rPr>
        <w:t xml:space="preserve">A apostila original trabalha principalmente com "IP" e "PAD" como categorias genéricas. Na prática da Corregedoria, a Portaria 27/2022 prevê </w:t>
      </w:r>
      <w:r>
        <w:rPr>
          <w:rFonts w:ascii="Calibri" w:hAnsi="Calibri"/>
          <w:b/>
          <w:i w:val="0"/>
          <w:sz w:val="22"/>
        </w:rPr>
        <w:t>doze instrumentos</w:t>
      </w:r>
      <w:r>
        <w:rPr>
          <w:rFonts w:ascii="Calibri" w:hAnsi="Calibri"/>
          <w:b w:val="0"/>
          <w:i w:val="0"/>
          <w:sz w:val="22"/>
        </w:rPr>
        <w:t xml:space="preserve"> distintos, divididos em procedimentos investigativos (preparatórios, não contraditórios) e processos correcionais/TAC (com contraditório e ampla defesa, exceto o próprio TAC, que é consensual). Cada um tem prazo e regra de publicidade da instauração próprios — informação que muda a análise de qualquer pedido de acesso. Este mapa serve de referência rápida antes de aplicar os itens 5.1 a 5.7 abaixo.</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Instrumento</w:t>
            </w:r>
          </w:p>
        </w:tc>
        <w:tc>
          <w:tcPr>
            <w:tcW w:type="dxa" w:w="151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Natureza</w:t>
            </w:r>
          </w:p>
        </w:tc>
        <w:tc>
          <w:tcPr>
            <w:tcW w:type="dxa" w:w="151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Contraditório?</w:t>
            </w:r>
          </w:p>
        </w:tc>
        <w:tc>
          <w:tcPr>
            <w:tcW w:type="dxa" w:w="151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Publicação do ato instaurador?</w:t>
            </w:r>
          </w:p>
        </w:tc>
        <w:tc>
          <w:tcPr>
            <w:tcW w:type="dxa" w:w="151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Prazo de conclusão</w:t>
            </w:r>
          </w:p>
        </w:tc>
        <w:tc>
          <w:tcPr>
            <w:tcW w:type="dxa" w:w="151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Base legal (Portaria 27/2022)</w:t>
            </w:r>
          </w:p>
        </w:tc>
      </w:tr>
      <w:tr>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IPS</w:t>
            </w:r>
            <w:r>
              <w:rPr>
                <w:rFonts w:ascii="Calibri" w:hAnsi="Calibri"/>
                <w:b w:val="0"/>
                <w:i w:val="0"/>
                <w:sz w:val="19"/>
              </w:rPr>
              <w:t xml:space="preserve"> — Investigação Preliminar Sumária</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Procedimento investigativo preparatório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Dispensada</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180 dias</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40 a 45</w:t>
            </w:r>
          </w:p>
        </w:tc>
      </w:tr>
      <w:tr>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SINVE</w:t>
            </w:r>
            <w:r>
              <w:rPr>
                <w:rFonts w:ascii="Calibri" w:hAnsi="Calibri"/>
                <w:b w:val="0"/>
                <w:i w:val="0"/>
                <w:sz w:val="19"/>
              </w:rPr>
              <w:t xml:space="preserve"> — Sindicância Investigativa</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Procedimento investigativo preparatório</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Dispensada</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60 dias, prorrogável sucessivamente</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46 a 49</w:t>
            </w:r>
          </w:p>
        </w:tc>
      </w:tr>
      <w:tr>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SINPA</w:t>
            </w:r>
            <w:r>
              <w:rPr>
                <w:rFonts w:ascii="Calibri" w:hAnsi="Calibri"/>
                <w:b w:val="0"/>
                <w:i w:val="0"/>
                <w:sz w:val="19"/>
              </w:rPr>
              <w:t xml:space="preserve"> — Sindicância Patrimonial</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Procedimento investigativo preparatório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Dispensada</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30 dias, prorrogável sucessivamente</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50 a 56</w:t>
            </w:r>
          </w:p>
        </w:tc>
      </w:tr>
      <w:tr>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IP</w:t>
            </w:r>
            <w:r>
              <w:rPr>
                <w:rFonts w:ascii="Calibri" w:hAnsi="Calibri"/>
                <w:b w:val="0"/>
                <w:i w:val="0"/>
                <w:sz w:val="19"/>
              </w:rPr>
              <w:t xml:space="preserve"> — Investigação Preliminar (Lei 12.846/2013, ato lesivo de PJ)</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Procedimento investigativo preparatório</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Dispensada</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60 dias, prorrogável sucessivamente</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57 a 60</w:t>
            </w:r>
          </w:p>
        </w:tc>
      </w:tr>
      <w:tr>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TAC</w:t>
            </w:r>
            <w:r>
              <w:rPr>
                <w:rFonts w:ascii="Calibri" w:hAnsi="Calibri"/>
                <w:b w:val="0"/>
                <w:i w:val="0"/>
                <w:sz w:val="19"/>
              </w:rPr>
              <w:t xml:space="preserve"> — Termo de Ajustamento de Conduta</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Procedimento consensual</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se aplica (acordo)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Extrato publicado após celebração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Cumprimento em até 2 anos</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61 a 72</w:t>
            </w:r>
          </w:p>
        </w:tc>
      </w:tr>
      <w:tr>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SINAC</w:t>
            </w:r>
            <w:r>
              <w:rPr>
                <w:rFonts w:ascii="Calibri" w:hAnsi="Calibri"/>
                <w:b w:val="0"/>
                <w:i w:val="0"/>
                <w:sz w:val="19"/>
              </w:rPr>
              <w:t xml:space="preserve"> — Sindicância Acusatória</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Processo correcional</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Publicado o ato instaurador</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30 dias, prorrogável por igual período</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73 e 74</w:t>
            </w:r>
          </w:p>
        </w:tc>
      </w:tr>
      <w:tr>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PAD</w:t>
            </w:r>
            <w:r>
              <w:rPr>
                <w:rFonts w:ascii="Calibri" w:hAnsi="Calibri"/>
                <w:b w:val="0"/>
                <w:i w:val="0"/>
                <w:sz w:val="19"/>
              </w:rPr>
              <w:t xml:space="preserve"> — Processo Administrativo Disciplinar</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Processo correcional</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Publicado o ato instaurador</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60 dias, prorrogável por igual período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75 a 78</w:t>
            </w:r>
          </w:p>
        </w:tc>
      </w:tr>
      <w:tr>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PAD sumário</w:t>
            </w:r>
            <w:r>
              <w:rPr>
                <w:rFonts w:ascii="Calibri" w:hAnsi="Calibri"/>
                <w:b w:val="0"/>
                <w:i w:val="0"/>
                <w:sz w:val="19"/>
              </w:rPr>
              <w:t xml:space="preserve"> (acúmulo de cargos, inassiduidade, abandono)</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Processo correcional</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 mas sem notificação prévia</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Publicado o ato instaurador</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30 dias + 15 dias</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79 a 81</w:t>
            </w:r>
          </w:p>
        </w:tc>
      </w:tr>
      <w:tr>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Sindicância</w:t>
            </w:r>
            <w:r>
              <w:rPr>
                <w:rFonts w:ascii="Calibri" w:hAnsi="Calibri"/>
                <w:b w:val="0"/>
                <w:i w:val="0"/>
                <w:sz w:val="19"/>
              </w:rPr>
              <w:t xml:space="preserve"> (servidores temporários, Lei 8.745/1993)</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Processo correcional</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Publicado o ato instaurador</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30 dias, prorrogável sucessivamente</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82 a 85</w:t>
            </w:r>
          </w:p>
        </w:tc>
      </w:tr>
      <w:tr>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Processo disciplinar</w:t>
            </w:r>
            <w:r>
              <w:rPr>
                <w:rFonts w:ascii="Calibri" w:hAnsi="Calibri"/>
                <w:b w:val="0"/>
                <w:i w:val="0"/>
                <w:sz w:val="19"/>
              </w:rPr>
              <w:t xml:space="preserve"> (empregados públicos, Lei 9.962/2000)</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Processo correcional</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Publicado o ato instaurador</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30 dias, prorrogável sucessivamente</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86 a 89</w:t>
            </w:r>
          </w:p>
        </w:tc>
      </w:tr>
      <w:tr>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Processo sancionador</w:t>
            </w:r>
            <w:r>
              <w:rPr>
                <w:rFonts w:ascii="Calibri" w:hAnsi="Calibri"/>
                <w:b w:val="0"/>
                <w:i w:val="0"/>
                <w:sz w:val="19"/>
              </w:rPr>
              <w:t xml:space="preserve"> (empregados de EP/SEM)</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Processo correcional</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Conforme regulamento interno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Conforme regulamento interno</w:t>
            </w:r>
          </w:p>
        </w:tc>
        <w:tc>
          <w:tcPr>
            <w:tcW w:type="dxa" w:w="151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90 a 93</w:t>
            </w:r>
          </w:p>
        </w:tc>
      </w:tr>
      <w:tr>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PAR</w:t>
            </w:r>
            <w:r>
              <w:rPr>
                <w:rFonts w:ascii="Calibri" w:hAnsi="Calibri"/>
                <w:b w:val="0"/>
                <w:i w:val="0"/>
                <w:sz w:val="19"/>
              </w:rPr>
              <w:t xml:space="preserve"> — Processo Administrativo de Responsabilização (pessoa jurídica)</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Processo correcional</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Publicado o ato instaurador</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180 dias, prorrogável por igual período</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Arts. 94 a 96</w:t>
            </w:r>
          </w:p>
        </w:tc>
      </w:tr>
    </w:tbl>
    <w:p>
      <w:pPr>
        <w:spacing w:after="80"/>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PONTO-CHAVE  </w:t>
      </w:r>
      <w:r>
        <w:rPr>
          <w:rFonts w:ascii="Calibri" w:hAnsi="Calibri"/>
          <w:b w:val="0"/>
          <w:i w:val="0"/>
          <w:sz w:val="20"/>
        </w:rPr>
        <w:t xml:space="preserve">Note a diferença sistemática: nos </w:t>
      </w:r>
      <w:r>
        <w:rPr>
          <w:rFonts w:ascii="Calibri" w:hAnsi="Calibri"/>
          <w:b/>
          <w:i w:val="0"/>
          <w:sz w:val="20"/>
        </w:rPr>
        <w:t>procedimentos investigativos</w:t>
      </w:r>
      <w:r>
        <w:rPr>
          <w:rFonts w:ascii="Calibri" w:hAnsi="Calibri"/>
          <w:b w:val="0"/>
          <w:i w:val="0"/>
          <w:sz w:val="20"/>
        </w:rPr>
        <w:t xml:space="preserve"> (IPS, SINVE, SINPA, IP) a publicação do ato instaurador é </w:t>
      </w:r>
      <w:r>
        <w:rPr>
          <w:rFonts w:ascii="Calibri" w:hAnsi="Calibri"/>
          <w:b/>
          <w:i w:val="0"/>
          <w:sz w:val="20"/>
        </w:rPr>
        <w:t>dispensada</w:t>
      </w:r>
      <w:r>
        <w:rPr>
          <w:rFonts w:ascii="Calibri" w:hAnsi="Calibri"/>
          <w:b w:val="0"/>
          <w:i w:val="0"/>
          <w:sz w:val="20"/>
        </w:rPr>
        <w:t xml:space="preserve"> — a própria existência do procedimento tende a ser menos visível externamente. Já nos </w:t>
      </w:r>
      <w:r>
        <w:rPr>
          <w:rFonts w:ascii="Calibri" w:hAnsi="Calibri"/>
          <w:b/>
          <w:i w:val="0"/>
          <w:sz w:val="20"/>
        </w:rPr>
        <w:t>processos correcionais</w:t>
      </w:r>
      <w:r>
        <w:rPr>
          <w:rFonts w:ascii="Calibri" w:hAnsi="Calibri"/>
          <w:b w:val="0"/>
          <w:i w:val="0"/>
          <w:sz w:val="20"/>
        </w:rPr>
        <w:t xml:space="preserve"> (SINAC, PAD, PAD sumário, sindicâncias, PAR), a publicação do ato instaurador </w:t>
      </w:r>
      <w:r>
        <w:rPr>
          <w:rFonts w:ascii="Calibri" w:hAnsi="Calibri"/>
          <w:b/>
          <w:i w:val="0"/>
          <w:sz w:val="20"/>
        </w:rPr>
        <w:t>é obrigatória</w:t>
      </w:r>
      <w:r>
        <w:rPr>
          <w:rFonts w:ascii="Calibri" w:hAnsi="Calibri"/>
          <w:b w:val="0"/>
          <w:i w:val="0"/>
          <w:sz w:val="20"/>
        </w:rPr>
        <w:t>, ainda que sem o nome do investigado em alguns casos (ver item 5.3) — o que já gera, desde a instauração, um mínimo de rastro público sobre a existência do processo (mas não sobre seu mérito ou sobre a identidade do acusado).</w:t>
      </w:r>
    </w:p>
    <w:p>
      <w:pPr>
        <w:spacing w:after="60"/>
      </w:pP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NOTA TERMINOLÓGICA  </w:t>
      </w:r>
      <w:r>
        <w:rPr>
          <w:rFonts w:ascii="Calibri" w:hAnsi="Calibri"/>
          <w:b w:val="0"/>
          <w:i w:val="0"/>
          <w:sz w:val="20"/>
        </w:rPr>
        <w:t>A redação original deste capítulo cita "CSIND" e "ISM" como exemplos de publicações possíveis na fase de juízo de admissibilidade (item 5.1). Esses nomes pertencem a normativos anteriores — revogados expressamente pelo art. 144 da Portaria 27/2022 (Instruções Normativas CGU nºs 12/2011, 14/2018, 4/2020, 8/2020 e 9/2020, e Portarias nºs 1.182/2020 e 3.108/2020). Ao aplicar esse trecho na prática atual, o servidor deve trabalhar com a nomenclatura vigente da própria Portaria 27/2022 (IPS, SINVE, SINPA, IP), mantendo o raciocínio de fundo: a portaria de instauração de procedimento investigativo, quando excepcionalmente publicada, não traz o nome do investigado.</w:t>
      </w:r>
    </w:p>
    <w:p>
      <w:pPr>
        <w:spacing w:after="60"/>
      </w:pPr>
    </w:p>
    <w:p>
      <w:pPr>
        <w:pStyle w:val="Heading2"/>
        <w:spacing w:before="240" w:after="100"/>
        <w:pBdr>
          <w:left w:val="single" w:sz="18" w:space="6" w:color="BFA040"/>
        </w:pBdr>
      </w:pPr>
      <w:r>
        <w:rPr>
          <w:rFonts w:ascii="Arial Narrow" w:hAnsi="Arial Narrow"/>
          <w:b/>
          <w:color w:val="1E3A5F"/>
          <w:sz w:val="26"/>
        </w:rPr>
        <w:t>5.1 Juízo de admissibilidade — durante a análise</w:t>
      </w:r>
    </w:p>
    <w:p>
      <w:pPr>
        <w:spacing w:after="100" w:line="280" w:lineRule="exact"/>
        <w:jc w:val="both"/>
      </w:pPr>
      <w:r>
        <w:rPr>
          <w:rFonts w:ascii="Calibri" w:hAnsi="Calibri"/>
          <w:b w:val="0"/>
          <w:i w:val="0"/>
          <w:sz w:val="22"/>
        </w:rPr>
        <w:t xml:space="preserve">Enquanto não concluído o juízo de admissibilidade, os documentos de instrução são </w:t>
      </w:r>
      <w:r>
        <w:rPr>
          <w:rFonts w:ascii="Calibri" w:hAnsi="Calibri"/>
          <w:b/>
          <w:i w:val="0"/>
          <w:sz w:val="22"/>
        </w:rPr>
        <w:t>documentos preparatórios</w:t>
      </w:r>
      <w:r>
        <w:rPr>
          <w:rFonts w:ascii="Calibri" w:hAnsi="Calibri"/>
          <w:b w:val="0"/>
          <w:i w:val="0"/>
          <w:sz w:val="22"/>
        </w:rPr>
        <w:t xml:space="preserve"> (art. 7º, §3º, LAI) e têm acesso restrito a terceiros.</w:t>
      </w:r>
    </w:p>
    <w:p>
      <w:pPr>
        <w:spacing w:after="100" w:line="280" w:lineRule="exact"/>
        <w:jc w:val="both"/>
      </w:pPr>
      <w:r>
        <w:rPr>
          <w:rFonts w:ascii="Calibri" w:hAnsi="Calibri"/>
          <w:b w:val="0"/>
          <w:i w:val="0"/>
          <w:sz w:val="22"/>
        </w:rPr>
        <w:t>Publicações possíveis nesta fase: instauração de CSIND/SINPA (portaria com nome e matrícula dos membros, prazo e número do processo, publicada no Boletim Interno de Serviço); instauração de ISM (portaria de designação da Junta Médica, publicada no DOU).</w:t>
      </w:r>
    </w:p>
    <w:p>
      <w:pPr>
        <w:pStyle w:val="Heading3"/>
        <w:spacing w:before="160" w:after="60"/>
      </w:pPr>
      <w:r>
        <w:rPr>
          <w:rFonts w:ascii="Calibri" w:hAnsi="Calibri"/>
          <w:b/>
          <w:color w:val="1E3A5F"/>
          <w:sz w:val="22"/>
        </w:rPr>
        <w:t>O juízo de admissibilidade como ato administrativo formal</w:t>
      </w:r>
    </w:p>
    <w:p>
      <w:pPr>
        <w:spacing w:after="100" w:line="280" w:lineRule="exact"/>
        <w:jc w:val="both"/>
      </w:pPr>
      <w:r>
        <w:rPr>
          <w:rFonts w:ascii="Calibri" w:hAnsi="Calibri"/>
          <w:b w:val="0"/>
          <w:i w:val="0"/>
          <w:sz w:val="22"/>
        </w:rPr>
        <w:t xml:space="preserve">O art. 37 da Portaria 27/2022 define o juízo de admissibilidade como o </w:t>
      </w:r>
      <w:r>
        <w:rPr>
          <w:rFonts w:ascii="Calibri" w:hAnsi="Calibri"/>
          <w:b/>
          <w:i w:val="0"/>
          <w:sz w:val="22"/>
        </w:rPr>
        <w:t>ato administrativo</w:t>
      </w:r>
      <w:r>
        <w:rPr>
          <w:rFonts w:ascii="Calibri" w:hAnsi="Calibri"/>
          <w:b w:val="0"/>
          <w:i w:val="0"/>
          <w:sz w:val="22"/>
        </w:rPr>
        <w:t xml:space="preserve"> pelo qual o titular da unidade de correição decide, de forma fundamentada, entre quatro caminhos: arquivamento, celebração de TAC, instauração de procedimento investigativo (quando faltam informações para decidir) ou instauração direta de processo correcional (quando já há indícios de autoria e materialidade — art. 39, dispensando procedimento investigativo prévio). Na prática, isso significa que </w:t>
      </w:r>
      <w:r>
        <w:rPr>
          <w:rFonts w:ascii="Calibri" w:hAnsi="Calibri"/>
          <w:b/>
          <w:i w:val="0"/>
          <w:sz w:val="22"/>
        </w:rPr>
        <w:t>a fase de "juízo de admissibilidade"</w:t>
      </w:r>
      <w:r>
        <w:rPr>
          <w:rFonts w:ascii="Calibri" w:hAnsi="Calibri"/>
          <w:b w:val="0"/>
          <w:i w:val="0"/>
          <w:sz w:val="22"/>
        </w:rPr>
        <w:t xml:space="preserve"> descrita neste item 5.1 pode, ela mesma, já estar sendo subsidiada por uma IPS, SINVE ou SINPA em andamento (art. 38, §1º) — caso em que o regime de acesso restrito decorre simultaneamente de dois fundamentos: o documento preparatório da própria denúncia/representação </w:t>
      </w:r>
      <w:r>
        <w:rPr>
          <w:rFonts w:ascii="Calibri" w:hAnsi="Calibri"/>
          <w:b/>
          <w:i w:val="0"/>
          <w:sz w:val="22"/>
        </w:rPr>
        <w:t>e</w:t>
      </w:r>
      <w:r>
        <w:rPr>
          <w:rFonts w:ascii="Calibri" w:hAnsi="Calibri"/>
          <w:b w:val="0"/>
          <w:i w:val="0"/>
          <w:sz w:val="22"/>
        </w:rPr>
        <w:t xml:space="preserve"> o regime de acesso restrito próprio do procedimento investigativo em curso (arts. 40, 46 e 50 da Portaria, vistos no mapa do item 5.0).</w:t>
      </w:r>
    </w:p>
    <w:p>
      <w:pPr>
        <w:pStyle w:val="Heading2"/>
        <w:spacing w:before="240" w:after="100"/>
        <w:pBdr>
          <w:left w:val="single" w:sz="18" w:space="6" w:color="BFA040"/>
        </w:pBdr>
      </w:pPr>
      <w:r>
        <w:rPr>
          <w:rFonts w:ascii="Arial Narrow" w:hAnsi="Arial Narrow"/>
          <w:b/>
          <w:color w:val="1E3A5F"/>
          <w:sz w:val="26"/>
        </w:rPr>
        <w:t>5.2 Juízo de admissibilidade — decisão de arquivamento</w:t>
      </w:r>
    </w:p>
    <w:p>
      <w:pPr>
        <w:spacing w:after="100" w:line="280" w:lineRule="exact"/>
        <w:jc w:val="both"/>
      </w:pPr>
      <w:r>
        <w:rPr>
          <w:rFonts w:ascii="Calibri" w:hAnsi="Calibri"/>
          <w:b w:val="0"/>
          <w:i w:val="0"/>
          <w:sz w:val="22"/>
        </w:rPr>
        <w:t>Decidido o arquivamento, o processo é finalizado. A transparência é a regra, mas com cautelas:</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NT 2418/2023  </w:t>
      </w:r>
      <w:r>
        <w:rPr>
          <w:rFonts w:ascii="Calibri" w:hAnsi="Calibri"/>
          <w:b w:val="0"/>
          <w:i w:val="0"/>
          <w:sz w:val="20"/>
        </w:rPr>
        <w:t>NT nº 2418/2023/CGUNE/DICOR/CRG (CRG/CGU): em decisões de arquivamento, não se divulga o nome nem a matrícula do servidor; utiliza-se apenas o número do processo e os seis dígitos do meio do CPF.</w:t>
      </w:r>
    </w:p>
    <w:p>
      <w:pPr>
        <w:spacing w:after="60"/>
      </w:pPr>
    </w:p>
    <w:p>
      <w:pPr>
        <w:spacing w:after="100" w:line="280" w:lineRule="exact"/>
        <w:jc w:val="both"/>
      </w:pPr>
      <w:r>
        <w:rPr>
          <w:rFonts w:ascii="Calibri" w:hAnsi="Calibri"/>
          <w:b w:val="0"/>
          <w:i w:val="0"/>
          <w:sz w:val="22"/>
        </w:rPr>
        <w:t>É razoável disponibilizar versão resumida contendo NT conclusiva e despachos de aprovação.</w:t>
      </w:r>
    </w:p>
    <w:p>
      <w:pPr>
        <w:spacing w:after="100" w:line="280" w:lineRule="exact"/>
        <w:jc w:val="both"/>
      </w:pPr>
      <w:r>
        <w:rPr>
          <w:rFonts w:ascii="Calibri" w:hAnsi="Calibri"/>
          <w:b w:val="0"/>
          <w:i w:val="0"/>
          <w:sz w:val="22"/>
        </w:rPr>
        <w:t>Em recurso, concede-se a íntegra.</w:t>
      </w:r>
    </w:p>
    <w:p>
      <w:pPr>
        <w:pStyle w:val="Heading3"/>
        <w:spacing w:before="160" w:after="60"/>
      </w:pPr>
      <w:r>
        <w:rPr>
          <w:rFonts w:ascii="Calibri" w:hAnsi="Calibri"/>
          <w:b/>
          <w:color w:val="1E3A5F"/>
          <w:sz w:val="22"/>
        </w:rPr>
        <w:t>O marco exato da "conclusão" para fins de acesso</w:t>
      </w:r>
    </w:p>
    <w:p>
      <w:pPr>
        <w:spacing w:after="100" w:line="280" w:lineRule="exact"/>
        <w:jc w:val="both"/>
      </w:pPr>
      <w:r>
        <w:rPr>
          <w:rFonts w:ascii="Calibri" w:hAnsi="Calibri"/>
          <w:b w:val="0"/>
          <w:i w:val="0"/>
          <w:sz w:val="22"/>
        </w:rPr>
        <w:t xml:space="preserve">O art. 115, II, "a", da Portaria 27/2022 deixa expresso que um procedimento investigativo se considera </w:t>
      </w:r>
      <w:r>
        <w:rPr>
          <w:rFonts w:ascii="Calibri" w:hAnsi="Calibri"/>
          <w:b/>
          <w:i w:val="0"/>
          <w:sz w:val="22"/>
        </w:rPr>
        <w:t>concluído</w:t>
      </w:r>
      <w:r>
        <w:rPr>
          <w:rFonts w:ascii="Calibri" w:hAnsi="Calibri"/>
          <w:b w:val="0"/>
          <w:i w:val="0"/>
          <w:sz w:val="22"/>
        </w:rPr>
        <w:t>, para fins do regime de acesso restrito do art. 114, V, quando há "o encerramento por meio da decisão definitiva da autoridade competente que decidir pela não instauração de respectivo processo correcional" — ou seja, exatamente o momento de arquivamento tratado neste item 5.2. É esse marco temporal preciso (e não a mera recomendação de arquivamento pelo condutor da IPS/SINVE/SINPA/IP, conforme arts. 44, 49, 55 e 60) que efetivamente muda o regime de acesso. Entre a recomendação de arquivamento e a decisão definitiva da autoridade competente, o procedimento permanece, tecnicamente, em curso.</w:t>
      </w:r>
    </w:p>
    <w:p>
      <w:pPr>
        <w:pStyle w:val="Heading2"/>
        <w:spacing w:before="240" w:after="100"/>
        <w:pBdr>
          <w:left w:val="single" w:sz="18" w:space="6" w:color="BFA040"/>
        </w:pBdr>
      </w:pPr>
      <w:r>
        <w:rPr>
          <w:rFonts w:ascii="Arial Narrow" w:hAnsi="Arial Narrow"/>
          <w:b/>
          <w:color w:val="1E3A5F"/>
          <w:sz w:val="26"/>
        </w:rPr>
        <w:t>5.3 PAD em andamento — fase instrutória</w:t>
      </w:r>
    </w:p>
    <w:p>
      <w:pPr>
        <w:spacing w:after="100" w:line="280" w:lineRule="exact"/>
        <w:jc w:val="both"/>
      </w:pPr>
      <w:r>
        <w:rPr>
          <w:rFonts w:ascii="Calibri" w:hAnsi="Calibri"/>
          <w:b w:val="0"/>
          <w:i w:val="0"/>
          <w:sz w:val="22"/>
        </w:rPr>
        <w:t>O PAD instaurado tem acesso restrito com duplo fundamento:</w:t>
      </w:r>
    </w:p>
    <w:p>
      <w:pPr>
        <w:spacing w:after="60" w:line="270" w:lineRule="exact"/>
        <w:ind w:left="397"/>
        <w:jc w:val="both"/>
      </w:pPr>
      <w:r>
        <w:rPr>
          <w:rFonts w:ascii="Calibri" w:hAnsi="Calibri"/>
          <w:sz w:val="22"/>
        </w:rPr>
        <w:t xml:space="preserve">— </w:t>
      </w:r>
      <w:r>
        <w:rPr>
          <w:rFonts w:ascii="Calibri" w:hAnsi="Calibri"/>
          <w:b/>
          <w:i w:val="0"/>
          <w:sz w:val="22"/>
        </w:rPr>
        <w:t>Sigilo legal</w:t>
      </w:r>
      <w:r>
        <w:rPr>
          <w:rFonts w:ascii="Calibri" w:hAnsi="Calibri"/>
          <w:b w:val="0"/>
          <w:i w:val="0"/>
          <w:sz w:val="22"/>
        </w:rPr>
        <w:t xml:space="preserve"> (art. 22 LAI c/c art. 150 da Lei nº 8.112/1990): "A comissão exercerá suas atividades com independência e imparcialidade, assegurado o sigilo necessário à elucidação do fato ou exigido pelo interesse da administração."</w:t>
      </w:r>
    </w:p>
    <w:p>
      <w:pPr>
        <w:spacing w:after="60" w:line="270" w:lineRule="exact"/>
        <w:ind w:left="397"/>
        <w:jc w:val="both"/>
      </w:pPr>
      <w:r>
        <w:rPr>
          <w:rFonts w:ascii="Calibri" w:hAnsi="Calibri"/>
          <w:sz w:val="22"/>
        </w:rPr>
        <w:t xml:space="preserve">— </w:t>
      </w:r>
      <w:r>
        <w:rPr>
          <w:rFonts w:ascii="Calibri" w:hAnsi="Calibri"/>
          <w:b/>
          <w:i w:val="0"/>
          <w:sz w:val="22"/>
        </w:rPr>
        <w:t>Documento preparatório</w:t>
      </w:r>
      <w:r>
        <w:rPr>
          <w:rFonts w:ascii="Calibri" w:hAnsi="Calibri"/>
          <w:b w:val="0"/>
          <w:i w:val="0"/>
          <w:sz w:val="22"/>
        </w:rPr>
        <w:t xml:space="preserve"> (art. 7º, §3º, LAI): o ato que modifica o status — de sigiloso para público — é o julgamento final, não a portaria de instauração.</w:t>
      </w:r>
    </w:p>
    <w:p>
      <w:pPr>
        <w:spacing w:after="100" w:line="280" w:lineRule="exact"/>
        <w:jc w:val="both"/>
      </w:pPr>
      <w:r>
        <w:rPr>
          <w:rFonts w:ascii="Calibri" w:hAnsi="Calibri"/>
          <w:b w:val="0"/>
          <w:i w:val="0"/>
          <w:sz w:val="22"/>
        </w:rPr>
        <w:t>Publicações possíveis: portaria de instauração do PAD (nome dos membros da CPAD, prazo, nº do processo — sem nome do investigado), publicada no Boletim Interno de Serviço; afastamento preventivo (portaria com nome, matrícula e nº do parecer).</w:t>
      </w:r>
    </w:p>
    <w:p>
      <w:pPr>
        <w:pStyle w:val="Heading3"/>
        <w:spacing w:before="160" w:after="60"/>
      </w:pPr>
      <w:r>
        <w:rPr>
          <w:rFonts w:ascii="Calibri" w:hAnsi="Calibri"/>
          <w:b/>
          <w:color w:val="1E3A5F"/>
          <w:sz w:val="22"/>
        </w:rPr>
        <w:t>A mesma lógica vale para SINAC e PAD sumário, com uma diferença relevante</w:t>
      </w:r>
    </w:p>
    <w:p>
      <w:pPr>
        <w:spacing w:after="100" w:line="280" w:lineRule="exact"/>
        <w:jc w:val="both"/>
      </w:pPr>
      <w:r>
        <w:rPr>
          <w:rFonts w:ascii="Calibri" w:hAnsi="Calibri"/>
          <w:b w:val="0"/>
          <w:i w:val="0"/>
          <w:sz w:val="22"/>
        </w:rPr>
        <w:t xml:space="preserve">O regime de acesso restrito durante a fase instrutória descrito neste item se aplica igualmente à </w:t>
      </w:r>
      <w:r>
        <w:rPr>
          <w:rFonts w:ascii="Calibri" w:hAnsi="Calibri"/>
          <w:b/>
          <w:i w:val="0"/>
          <w:sz w:val="22"/>
        </w:rPr>
        <w:t>SINAC</w:t>
      </w:r>
      <w:r>
        <w:rPr>
          <w:rFonts w:ascii="Calibri" w:hAnsi="Calibri"/>
          <w:b w:val="0"/>
          <w:i w:val="0"/>
          <w:sz w:val="22"/>
        </w:rPr>
        <w:t xml:space="preserve"> (art. 73 e 74) e ao </w:t>
      </w:r>
      <w:r>
        <w:rPr>
          <w:rFonts w:ascii="Calibri" w:hAnsi="Calibri"/>
          <w:b/>
          <w:i w:val="0"/>
          <w:sz w:val="22"/>
        </w:rPr>
        <w:t>PAD sumário</w:t>
      </w:r>
      <w:r>
        <w:rPr>
          <w:rFonts w:ascii="Calibri" w:hAnsi="Calibri"/>
          <w:b w:val="0"/>
          <w:i w:val="0"/>
          <w:sz w:val="22"/>
        </w:rPr>
        <w:t xml:space="preserve"> (arts. 79 a 81) — ambos processos correcionais com contraditório, sujeitos ao mesmo duplo fundamento de sigilo. Uma diferença prática importante, porém: no PAD sumário, </w:t>
      </w:r>
      <w:r>
        <w:rPr>
          <w:rFonts w:ascii="Calibri" w:hAnsi="Calibri"/>
          <w:b/>
          <w:i w:val="0"/>
          <w:sz w:val="22"/>
        </w:rPr>
        <w:t>não há notificação prévia do acusado</w:t>
      </w:r>
      <w:r>
        <w:rPr>
          <w:rFonts w:ascii="Calibri" w:hAnsi="Calibri"/>
          <w:b w:val="0"/>
          <w:i w:val="0"/>
          <w:sz w:val="22"/>
        </w:rPr>
        <w:t xml:space="preserve"> (art. 80, §3º) — o processo já é instruído previamente à instauração com as provas de autoria e materialidade (art. 80, §1º). Isso significa que, no PAD sumário, o "afastamento preventivo" e outras publicações eventualmente possíveis durante a instrução têm uma dinâmica temporal mais comprimida do que no PAD ordinário, já que o próprio rito é mais curto (30 dias + 15 dias, contra 60 + 60 do PAD ordinário).</w:t>
      </w:r>
    </w:p>
    <w:p>
      <w:pPr>
        <w:pStyle w:val="Heading2"/>
        <w:spacing w:before="240" w:after="100"/>
        <w:pBdr>
          <w:left w:val="single" w:sz="18" w:space="6" w:color="BFA040"/>
        </w:pBdr>
      </w:pPr>
      <w:r>
        <w:rPr>
          <w:rFonts w:ascii="Arial Narrow" w:hAnsi="Arial Narrow"/>
          <w:b/>
          <w:color w:val="1E3A5F"/>
          <w:sz w:val="26"/>
        </w:rPr>
        <w:t>5.4 PAD julgado — absolvição</w:t>
      </w:r>
    </w:p>
    <w:p>
      <w:pPr>
        <w:spacing w:after="100" w:line="280" w:lineRule="exact"/>
        <w:jc w:val="both"/>
      </w:pPr>
      <w:r>
        <w:rPr>
          <w:rFonts w:ascii="Calibri" w:hAnsi="Calibri"/>
          <w:b w:val="0"/>
          <w:i w:val="0"/>
          <w:sz w:val="22"/>
        </w:rPr>
        <w:t>Com o julgamento, o status do processo muda automaticamente de reservado para público — independentemente de recurso ou prazo recursal pendente (NT 2418/2023, alíneas e e f).</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ABSOLVIÇÃO  </w:t>
      </w:r>
      <w:r>
        <w:rPr>
          <w:rFonts w:ascii="Calibri" w:hAnsi="Calibri"/>
          <w:b w:val="0"/>
          <w:i w:val="0"/>
          <w:sz w:val="20"/>
        </w:rPr>
        <w:t xml:space="preserve">NT nº 547/2023/CGUNE/DICOR/CRG: decisões absolutórias devem ser publicadas no mesmo meio em que foi publicada a portaria de instauração, </w:t>
      </w:r>
      <w:r>
        <w:rPr>
          <w:rFonts w:ascii="Calibri" w:hAnsi="Calibri"/>
          <w:b/>
          <w:i w:val="0"/>
          <w:sz w:val="20"/>
        </w:rPr>
        <w:t>sem nome e matrícula</w:t>
      </w:r>
      <w:r>
        <w:rPr>
          <w:rFonts w:ascii="Calibri" w:hAnsi="Calibri"/>
          <w:b w:val="0"/>
          <w:i w:val="0"/>
          <w:sz w:val="20"/>
        </w:rPr>
        <w:t xml:space="preserve"> do servidor (usar CPF descaracterizado com os seis dígitos centrais).</w:t>
      </w:r>
    </w:p>
    <w:p>
      <w:pPr>
        <w:spacing w:after="60"/>
      </w:pPr>
    </w:p>
    <w:p>
      <w:pPr>
        <w:spacing w:after="100" w:line="280" w:lineRule="exact"/>
        <w:jc w:val="both"/>
      </w:pPr>
      <w:r>
        <w:rPr>
          <w:rFonts w:ascii="Calibri" w:hAnsi="Calibri"/>
          <w:b w:val="0"/>
          <w:i w:val="0"/>
          <w:sz w:val="22"/>
        </w:rPr>
        <w:t>Em pedido de LAI: conceder os documentos obrigatórios da versão resumida (portaria de instauração, termo de indiciação, relatório final, pareceres, decisão de julgamento), com tarjamento dos dados sigilosos e pessoais.</w:t>
      </w:r>
    </w:p>
    <w:p>
      <w:pPr>
        <w:pStyle w:val="Heading3"/>
        <w:spacing w:before="160" w:after="60"/>
      </w:pPr>
      <w:r>
        <w:rPr>
          <w:rFonts w:ascii="Calibri" w:hAnsi="Calibri"/>
          <w:b/>
          <w:color w:val="1E3A5F"/>
          <w:sz w:val="22"/>
        </w:rPr>
        <w:t>O marco da conclusão, aqui, é o art. 115, I</w:t>
      </w:r>
    </w:p>
    <w:p>
      <w:pPr>
        <w:spacing w:after="100" w:line="280" w:lineRule="exact"/>
        <w:jc w:val="both"/>
      </w:pPr>
      <w:r>
        <w:rPr>
          <w:rFonts w:ascii="Calibri" w:hAnsi="Calibri"/>
          <w:b w:val="0"/>
          <w:i w:val="0"/>
          <w:sz w:val="22"/>
        </w:rPr>
        <w:t xml:space="preserve">Diferentemente do arquivamento (item 5.2, que usa o art. 115, II), a mudança de status tratada neste item decorre do art. 115, I, da Portaria: o processo correcional se considera concluído "com a decisão definitiva pela autoridade competente" — isto é, o </w:t>
      </w:r>
      <w:r>
        <w:rPr>
          <w:rFonts w:ascii="Calibri" w:hAnsi="Calibri"/>
          <w:b/>
          <w:i w:val="0"/>
          <w:sz w:val="22"/>
        </w:rPr>
        <w:t>julgamento</w:t>
      </w:r>
      <w:r>
        <w:rPr>
          <w:rFonts w:ascii="Calibri" w:hAnsi="Calibri"/>
          <w:b w:val="0"/>
          <w:i w:val="0"/>
          <w:sz w:val="22"/>
        </w:rPr>
        <w:t>, não o relatório final da comissão (que é apenas uma proposta de sanção, conforme art. 131). Vale lembrar que, nos termos do art. 131, §1º, a autoridade julgadora pode discordar das conclusões da comissão, desde que fundamentadamente — o que significa que o "julgamento" relevante para a mudança de status de acesso é sempre o ato da autoridade competente, não a manifestação técnica da comissão processante.</w:t>
      </w:r>
    </w:p>
    <w:p>
      <w:pPr>
        <w:pStyle w:val="Heading2"/>
        <w:spacing w:before="240" w:after="100"/>
        <w:pBdr>
          <w:left w:val="single" w:sz="18" w:space="6" w:color="BFA040"/>
        </w:pBdr>
      </w:pPr>
      <w:r>
        <w:rPr>
          <w:rFonts w:ascii="Arial Narrow" w:hAnsi="Arial Narrow"/>
          <w:b/>
          <w:color w:val="1E3A5F"/>
          <w:sz w:val="26"/>
        </w:rPr>
        <w:t>5.5 PAD julgado — com aplicação de sanção</w:t>
      </w: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SANÇÃO  </w:t>
      </w:r>
      <w:r>
        <w:rPr>
          <w:rFonts w:ascii="Calibri" w:hAnsi="Calibri"/>
          <w:b w:val="0"/>
          <w:i w:val="0"/>
          <w:sz w:val="20"/>
        </w:rPr>
        <w:t xml:space="preserve">NT nº 2418/2023: o nome e a matrícula SIAPE do servidor apenado enquadram-se como </w:t>
      </w:r>
      <w:r>
        <w:rPr>
          <w:rFonts w:ascii="Calibri" w:hAnsi="Calibri"/>
          <w:b/>
          <w:i w:val="0"/>
          <w:sz w:val="20"/>
        </w:rPr>
        <w:t>informações de interesse coletivo ou geral</w:t>
      </w:r>
      <w:r>
        <w:rPr>
          <w:rFonts w:ascii="Calibri" w:hAnsi="Calibri"/>
          <w:b w:val="0"/>
          <w:i w:val="0"/>
          <w:sz w:val="20"/>
        </w:rPr>
        <w:t xml:space="preserve"> — não se justifica sua ocultação no resultado de PAD que resultou em sanção.</w:t>
      </w:r>
    </w:p>
    <w:p>
      <w:pPr>
        <w:spacing w:after="60"/>
      </w:pPr>
    </w:p>
    <w:p>
      <w:pPr>
        <w:spacing w:after="100" w:line="280" w:lineRule="exact"/>
        <w:jc w:val="both"/>
      </w:pPr>
      <w:r>
        <w:rPr>
          <w:rFonts w:ascii="Calibri" w:hAnsi="Calibri"/>
          <w:b w:val="0"/>
          <w:i w:val="0"/>
          <w:sz w:val="22"/>
        </w:rPr>
        <w:t>PADs com sanções expulsivas: publicação no DOU. Demais sanções: Boletim Interno de Serviço.</w:t>
      </w:r>
    </w:p>
    <w:p>
      <w:pPr>
        <w:spacing w:after="100" w:line="280" w:lineRule="exact"/>
        <w:jc w:val="both"/>
      </w:pPr>
      <w:r>
        <w:rPr>
          <w:rFonts w:ascii="Calibri" w:hAnsi="Calibri"/>
          <w:b w:val="0"/>
          <w:i w:val="0"/>
          <w:sz w:val="22"/>
        </w:rPr>
        <w:t>Transparência ativa obrigatória para sanções (art. 29, §2º, IX, Lei nº 14.129/2021).</w:t>
      </w:r>
    </w:p>
    <w:p>
      <w:pPr>
        <w:spacing w:after="100" w:line="280" w:lineRule="exact"/>
        <w:jc w:val="both"/>
      </w:pPr>
      <w:r>
        <w:rPr>
          <w:rFonts w:ascii="Calibri" w:hAnsi="Calibri"/>
          <w:b w:val="0"/>
          <w:i w:val="0"/>
          <w:sz w:val="22"/>
        </w:rPr>
        <w:t>Versão resumida do PAD: portaria de instauração + termo de indiciação + relatório final + pareceres + decisão de julgamento + decisão de recurso (se houver), com tratamento das informações sigilosas e pessoais. A disponibilização da versão resumida não exclui o direito à íntegra, que deve ser fornecida mediante solicitação expressa.</w:t>
      </w:r>
    </w:p>
    <w:p>
      <w:pPr>
        <w:pStyle w:val="Heading3"/>
        <w:spacing w:before="160" w:after="60"/>
      </w:pPr>
      <w:r>
        <w:rPr>
          <w:rFonts w:ascii="Calibri" w:hAnsi="Calibri"/>
          <w:b/>
          <w:color w:val="1E3A5F"/>
          <w:sz w:val="22"/>
        </w:rPr>
        <w:t>Registro da sanção nos sistemas correcionais (uso interno x divulgação)</w:t>
      </w:r>
    </w:p>
    <w:p>
      <w:pPr>
        <w:spacing w:after="100" w:line="280" w:lineRule="exact"/>
        <w:jc w:val="both"/>
      </w:pPr>
      <w:r>
        <w:rPr>
          <w:rFonts w:ascii="Calibri" w:hAnsi="Calibri"/>
          <w:b w:val="0"/>
          <w:i w:val="0"/>
          <w:sz w:val="22"/>
        </w:rPr>
        <w:t xml:space="preserve">Vale lembrar que, independentemente da divulgação externa tratada neste item, toda sanção decorrente de processo correcional deve ser registrada nos sistemas correcionais de uso obrigatório mantidos pela CRG (art. 30, V, e art. 31, IV, da Portaria 27/2022), inclusive para fins de publicização no </w:t>
      </w:r>
      <w:r>
        <w:rPr>
          <w:rFonts w:ascii="Calibri" w:hAnsi="Calibri"/>
          <w:b/>
          <w:i w:val="0"/>
          <w:sz w:val="22"/>
        </w:rPr>
        <w:t>Cadastro de Empresas Inidôneas e Suspensas (CEIS)</w:t>
      </w:r>
      <w:r>
        <w:rPr>
          <w:rFonts w:ascii="Calibri" w:hAnsi="Calibri"/>
          <w:b w:val="0"/>
          <w:i w:val="0"/>
          <w:sz w:val="22"/>
        </w:rPr>
        <w:t>, quando aplicável a pessoa jurídica (art. 31, VI). Esse registro interno tem finalidade de gestão e fiscalização (alimentação dos indicadores do Painel de Corregedorias, art. 32) e não se confunde com — nem dispensa — a publicação externa em DOU/Boletim Interno aqui descrita.</w:t>
      </w:r>
    </w:p>
    <w:p>
      <w:pPr>
        <w:pStyle w:val="Heading2"/>
        <w:spacing w:before="240" w:after="100"/>
        <w:pBdr>
          <w:left w:val="single" w:sz="18" w:space="6" w:color="BFA040"/>
        </w:pBdr>
      </w:pPr>
      <w:r>
        <w:rPr>
          <w:rFonts w:ascii="Arial Narrow" w:hAnsi="Arial Narrow"/>
          <w:b/>
          <w:color w:val="1E3A5F"/>
          <w:sz w:val="26"/>
        </w:rPr>
        <w:t>5.6 TAC — Termo de Ajustamento de Conduta</w:t>
      </w:r>
    </w:p>
    <w:tbl>
      <w:tblPr>
        <w:tblStyle w:val="TableGrid"/>
        <w:tblW w:type="auto" w:w="0"/>
        <w:tblLook w:firstColumn="1" w:firstRow="1" w:lastColumn="0" w:lastRow="0" w:noHBand="0" w:noVBand="1" w:val="04A0"/>
      </w:tblPr>
      <w:tblGrid>
        <w:gridCol w:w="4536"/>
        <w:gridCol w:w="4536"/>
      </w:tblGrid>
      <w:tr>
        <w:tc>
          <w:tcPr>
            <w:tcW w:type="dxa" w:w="4535"/>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Fase</w:t>
            </w:r>
          </w:p>
        </w:tc>
        <w:tc>
          <w:tcPr>
            <w:tcW w:type="dxa" w:w="4535"/>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Tratamento do pedido de LAI</w:t>
            </w:r>
          </w:p>
        </w:tc>
      </w:tr>
      <w:tr>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Antes do cumprimento</w:t>
            </w:r>
          </w:p>
        </w:tc>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CGU fornece NT que recomendou o TAC, despachos de aprovação e o TAC, com nome e matrícula tarjados. Publicação: extrato no DOU ou Boletim Interno (art. 69 da Portaria Normativa CGU nº 27/2022).</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Após o cumprimento</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Mesmo tratamento do processo finalizado sem sanção (arquivamento).</w:t>
            </w:r>
          </w:p>
        </w:tc>
      </w:tr>
    </w:tbl>
    <w:p>
      <w:pPr>
        <w:spacing w:after="80"/>
      </w:pPr>
    </w:p>
    <w:p>
      <w:pPr>
        <w:pStyle w:val="Heading3"/>
        <w:spacing w:before="160" w:after="60"/>
      </w:pPr>
      <w:r>
        <w:rPr>
          <w:rFonts w:ascii="Calibri" w:hAnsi="Calibri"/>
          <w:b/>
          <w:color w:val="1E3A5F"/>
          <w:sz w:val="22"/>
        </w:rPr>
        <w:t>Um ponto de atenção a confirmar com a CRG/DICOR: o conteúdo do próprio extrato publicado</w:t>
      </w:r>
    </w:p>
    <w:p>
      <w:pPr>
        <w:spacing w:after="100" w:line="280" w:lineRule="exact"/>
        <w:jc w:val="both"/>
      </w:pPr>
      <w:r>
        <w:rPr>
          <w:rFonts w:ascii="Calibri" w:hAnsi="Calibri"/>
          <w:b w:val="0"/>
          <w:i w:val="0"/>
          <w:sz w:val="22"/>
        </w:rPr>
        <w:t xml:space="preserve">Vale um exame mais detido do art. 69 da Portaria 27/2022, citado na tabela acima. O dispositivo determina que, após a celebração do TAC, seja publicado </w:t>
      </w:r>
      <w:r>
        <w:rPr>
          <w:rFonts w:ascii="Calibri" w:hAnsi="Calibri"/>
          <w:b/>
          <w:i w:val="0"/>
          <w:sz w:val="22"/>
        </w:rPr>
        <w:t>extrato</w:t>
      </w:r>
      <w:r>
        <w:rPr>
          <w:rFonts w:ascii="Calibri" w:hAnsi="Calibri"/>
          <w:b w:val="0"/>
          <w:i w:val="0"/>
          <w:sz w:val="22"/>
        </w:rPr>
        <w:t xml:space="preserve"> do termo em boletim interno ou no Diário Oficial da União, contendo: (i) o número do processo; </w:t>
      </w:r>
      <w:r>
        <w:rPr>
          <w:rFonts w:ascii="Calibri" w:hAnsi="Calibri"/>
          <w:b/>
          <w:i w:val="0"/>
          <w:sz w:val="22"/>
        </w:rPr>
        <w:t>(ii) o nome do servidor celebrante</w:t>
      </w:r>
      <w:r>
        <w:rPr>
          <w:rFonts w:ascii="Calibri" w:hAnsi="Calibri"/>
          <w:b w:val="0"/>
          <w:i w:val="0"/>
          <w:sz w:val="22"/>
        </w:rPr>
        <w:t>; e (iii) a descrição genérica do fato — ressalvado apenas o caso de empregados de empresas públicas e sociedades de economia mista (art. 69, §1º), aos quais não se aplica a publicação do nome.</w:t>
      </w:r>
    </w:p>
    <w:p>
      <w:pPr>
        <w:spacing w:after="100" w:line="280" w:lineRule="exact"/>
        <w:jc w:val="both"/>
      </w:pPr>
      <w:r>
        <w:rPr>
          <w:rFonts w:ascii="Calibri" w:hAnsi="Calibri"/>
          <w:b w:val="0"/>
          <w:i w:val="0"/>
          <w:sz w:val="22"/>
        </w:rPr>
        <w:t xml:space="preserve">Ou seja: o </w:t>
      </w:r>
      <w:r>
        <w:rPr>
          <w:rFonts w:ascii="Calibri" w:hAnsi="Calibri"/>
          <w:b/>
          <w:i w:val="0"/>
          <w:sz w:val="22"/>
        </w:rPr>
        <w:t>extrato obrigatório</w:t>
      </w:r>
      <w:r>
        <w:rPr>
          <w:rFonts w:ascii="Calibri" w:hAnsi="Calibri"/>
          <w:b w:val="0"/>
          <w:i w:val="0"/>
          <w:sz w:val="22"/>
        </w:rPr>
        <w:t xml:space="preserve"> já publicado (art. 69) contém, em regra, o nome do servidor — o que está alinhado à lógica de transparência de sanções/ajustes do item 5.5. A tabela original deste item 5.6, ao tratar do </w:t>
      </w:r>
      <w:r>
        <w:rPr>
          <w:rFonts w:ascii="Calibri" w:hAnsi="Calibri"/>
          <w:b/>
          <w:i w:val="0"/>
          <w:sz w:val="22"/>
        </w:rPr>
        <w:t>pedido de LAI</w:t>
      </w:r>
      <w:r>
        <w:rPr>
          <w:rFonts w:ascii="Calibri" w:hAnsi="Calibri"/>
          <w:b w:val="0"/>
          <w:i w:val="0"/>
          <w:sz w:val="22"/>
        </w:rPr>
        <w:t xml:space="preserve"> pela NT/despachos/TAC integral, indica tarjamento de nome e matrícula nesses documentos mais detalhados. Não há necessariamente contradição — é possível (e plausível) que se trate de dois níveis de transparência: o extrato mínimo obrigatório (com nome, por força do art. 69) e a documentação completa fornecida sob pedido de LAI (tarjada, por cautela adicional quanto ao conteúdo investigativo subjacente). Ainda assim, recomenda-se que a unidade de correição confirme com a CRG/DICOR o critério institucional vigente antes de aplicar esse tratamento de forma automática, dada a relevância prática da diferença entre os dois documentos.</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REGISTRO ADICIONAL  </w:t>
      </w:r>
      <w:r>
        <w:rPr>
          <w:rFonts w:ascii="Calibri" w:hAnsi="Calibri"/>
          <w:b w:val="0"/>
          <w:i w:val="0"/>
          <w:sz w:val="20"/>
        </w:rPr>
        <w:t xml:space="preserve">O TAC é registrado nos assentamentos funcionais do agente público (art. 70, </w:t>
      </w:r>
      <w:r>
        <w:rPr>
          <w:rFonts w:ascii="Calibri" w:hAnsi="Calibri"/>
          <w:b w:val="0"/>
          <w:i/>
          <w:sz w:val="20"/>
        </w:rPr>
        <w:t>caput</w:t>
      </w:r>
      <w:r>
        <w:rPr>
          <w:rFonts w:ascii="Calibri" w:hAnsi="Calibri"/>
          <w:b w:val="0"/>
          <w:i w:val="0"/>
          <w:sz w:val="20"/>
        </w:rPr>
        <w:t>, da Portaria) e sua celebração suspende o prazo prescricional até a declaração de cumprimento (art. 70, §3º, c/c art. 199, I, do Código Civil) — informação relevante para qualquer análise que envolva também o regime de prescrição (ver Capítulo 6 desta apostila).</w:t>
      </w:r>
    </w:p>
    <w:p>
      <w:pPr>
        <w:spacing w:after="60"/>
      </w:pPr>
    </w:p>
    <w:p>
      <w:pPr>
        <w:pStyle w:val="Heading2"/>
        <w:spacing w:before="240" w:after="100"/>
        <w:pBdr>
          <w:left w:val="single" w:sz="18" w:space="6" w:color="BFA040"/>
        </w:pBdr>
      </w:pPr>
      <w:r>
        <w:rPr>
          <w:rFonts w:ascii="Arial Narrow" w:hAnsi="Arial Narrow"/>
          <w:b/>
          <w:color w:val="1E3A5F"/>
          <w:sz w:val="26"/>
        </w:rPr>
        <w:t>5.7 PAR — Processo Administrativo de Responsabilização</w:t>
      </w:r>
    </w:p>
    <w:p>
      <w:pPr>
        <w:spacing w:after="100" w:line="280" w:lineRule="exact"/>
        <w:jc w:val="both"/>
      </w:pPr>
      <w:r>
        <w:rPr>
          <w:rFonts w:ascii="Calibri" w:hAnsi="Calibri"/>
          <w:b w:val="0"/>
          <w:i w:val="0"/>
          <w:sz w:val="22"/>
        </w:rPr>
        <w:t>Transparência ativa: durante a tramitação, apenas a portaria de instauração é pública. Após o julgamento, peças produzidas pelo próprio órgão vão ao repositório institucional.</w:t>
      </w:r>
    </w:p>
    <w:p>
      <w:pPr>
        <w:spacing w:after="100" w:line="280" w:lineRule="exact"/>
        <w:jc w:val="both"/>
      </w:pPr>
      <w:r>
        <w:rPr>
          <w:rFonts w:ascii="Calibri" w:hAnsi="Calibri"/>
          <w:b w:val="0"/>
          <w:i w:val="0"/>
          <w:sz w:val="22"/>
        </w:rPr>
        <w:t>Transparência passiva: somente documentos produzidos pelo próprio órgão são fornecidos. Não se fornecem: procedimentos do MPF, TCU ou órgão de origem; dados de PJ não investigada. Dados pessoais de terceiros não envolvidos: tarjados. Resultado (valor da multa e cálculo): público, sem exceção.</w:t>
      </w:r>
    </w:p>
    <w:p>
      <w:pPr>
        <w:spacing w:after="100" w:line="280" w:lineRule="exact"/>
        <w:jc w:val="both"/>
      </w:pPr>
      <w:r>
        <w:rPr>
          <w:rFonts w:ascii="Calibri" w:hAnsi="Calibri"/>
          <w:b w:val="0"/>
          <w:i w:val="0"/>
          <w:sz w:val="22"/>
        </w:rPr>
        <w:t>Uso interno: integral — a restrição é na divulgação, não na instrução. Na dúvida: tarjar, preservando a utilidade da informação.</w:t>
      </w:r>
    </w:p>
    <w:p>
      <w:pPr>
        <w:pStyle w:val="Heading3"/>
        <w:spacing w:before="160" w:after="60"/>
      </w:pPr>
      <w:r>
        <w:rPr>
          <w:rFonts w:ascii="Calibri" w:hAnsi="Calibri"/>
          <w:b/>
          <w:color w:val="1E3A5F"/>
          <w:sz w:val="22"/>
        </w:rPr>
        <w:t>A porta de entrada do PAR e sua conexão com a SINPA</w:t>
      </w:r>
    </w:p>
    <w:p>
      <w:pPr>
        <w:spacing w:after="100" w:line="280" w:lineRule="exact"/>
        <w:jc w:val="both"/>
      </w:pPr>
      <w:r>
        <w:rPr>
          <w:rFonts w:ascii="Calibri" w:hAnsi="Calibri"/>
          <w:b w:val="0"/>
          <w:i w:val="0"/>
          <w:sz w:val="22"/>
        </w:rPr>
        <w:t xml:space="preserve">O PAR, tratado neste item, normalmente decorre de uma </w:t>
      </w:r>
      <w:r>
        <w:rPr>
          <w:rFonts w:ascii="Calibri" w:hAnsi="Calibri"/>
          <w:b/>
          <w:i w:val="0"/>
          <w:sz w:val="22"/>
        </w:rPr>
        <w:t>IP da Lei nº 12.846/2013</w:t>
      </w:r>
      <w:r>
        <w:rPr>
          <w:rFonts w:ascii="Calibri" w:hAnsi="Calibri"/>
          <w:b w:val="0"/>
          <w:i w:val="0"/>
          <w:sz w:val="22"/>
        </w:rPr>
        <w:t xml:space="preserve"> (art. 57 a 60 da Portaria), cujo relatório final deve ser conclusivo quanto à existência de indícios de autoria e materialidade de atos lesivos contra a Administração Pública, recomendando a instauração do PAR ou o arquivamento (art. 60). O prazo do PAR propriamente dito é de 180 dias, prorrogável por igual período (art. 96) — o mesmo prazo, aliás, da IPS (art. 43), o que reflete a maior complexidade típica desses dois instrumentos em comparação com SINVE, SINPA e PAD ordinário.</w:t>
      </w:r>
    </w:p>
    <w:p>
      <w:pPr>
        <w:spacing w:after="100" w:line="280" w:lineRule="exact"/>
        <w:jc w:val="both"/>
      </w:pPr>
      <w:r>
        <w:rPr>
          <w:rFonts w:ascii="Calibri" w:hAnsi="Calibri"/>
          <w:b w:val="0"/>
          <w:i w:val="0"/>
          <w:sz w:val="22"/>
        </w:rPr>
        <w:t xml:space="preserve">Há também uma conexão útil com a SINPA (Capítulo 2 desta apostila, item 2.3): quando uma SINPA confirma indícios de enriquecimento ilícito, o art. 56 da Portaria determina a comunicação imediata do fato ao MPF, TCU, CGU, </w:t>
      </w:r>
      <w:r>
        <w:rPr>
          <w:rFonts w:ascii="Calibri" w:hAnsi="Calibri"/>
          <w:b/>
          <w:i w:val="0"/>
          <w:sz w:val="22"/>
        </w:rPr>
        <w:t>Secretaria Especial da Receita Federal do Brasil</w:t>
      </w:r>
      <w:r>
        <w:rPr>
          <w:rFonts w:ascii="Calibri" w:hAnsi="Calibri"/>
          <w:b w:val="0"/>
          <w:i w:val="0"/>
          <w:sz w:val="22"/>
        </w:rPr>
        <w:t>, COAF e AGU. Isso é relevante porque esses mesmos órgãos podem, paralelamente, estar conduzindo ou subsidiando um PAR ou um processo de natureza distinta (improbidade, tributária, criminal) sobre fatos conexos — e a regra deste item 5.7 ("não se fornecem documentos do MPF, TCU ou órgão de origem") existe precisamente para preservar a autonomia e o sigilo desses outros processos, ainda que tenham se originado de uma comunicação feita pela própria Corregedoria.</w:t>
      </w:r>
    </w:p>
    <w:p>
      <w:pPr>
        <w:spacing w:before="120" w:after="120"/>
        <w:pBdr>
          <w:bottom w:val="single" w:sz="4" w:space="1" w:color="BFA040"/>
        </w:pBdr>
      </w:pPr>
    </w:p>
    <w:p>
      <w:r>
        <w:br w:type="page"/>
      </w:r>
    </w:p>
    <w:p>
      <w:pPr>
        <w:spacing w:before="80" w:after="0"/>
      </w:pPr>
      <w:r>
        <w:rPr>
          <w:rFonts w:ascii="Arial Narrow" w:hAnsi="Arial Narrow"/>
          <w:b/>
          <w:color w:val="BFA040"/>
          <w:sz w:val="18"/>
        </w:rPr>
        <w:t>CAPÍTULO 6</w:t>
      </w:r>
    </w:p>
    <w:p>
      <w:pPr>
        <w:pStyle w:val="Heading1"/>
        <w:spacing w:before="40" w:after="240"/>
      </w:pPr>
      <w:r>
        <w:rPr>
          <w:rFonts w:ascii="Arial Narrow" w:hAnsi="Arial Narrow"/>
          <w:b/>
          <w:color w:val="1E3A5F"/>
          <w:sz w:val="40"/>
        </w:rPr>
        <w:t>Cautelas Práticas no Tratamento de Dados</w:t>
      </w:r>
    </w:p>
    <w:p>
      <w:pPr>
        <w:spacing w:before="0" w:after="200"/>
        <w:pBdr>
          <w:bottom w:val="single" w:sz="8" w:space="1" w:color="BFA040"/>
        </w:pBdr>
      </w:pPr>
    </w:p>
    <w:p>
      <w:pPr>
        <w:pStyle w:val="Heading2"/>
        <w:spacing w:before="240" w:after="100"/>
        <w:pBdr>
          <w:left w:val="single" w:sz="18" w:space="6" w:color="BFA040"/>
        </w:pBdr>
      </w:pPr>
      <w:r>
        <w:rPr>
          <w:rFonts w:ascii="Arial Narrow" w:hAnsi="Arial Narrow"/>
          <w:b/>
          <w:color w:val="1E3A5F"/>
          <w:sz w:val="26"/>
        </w:rPr>
        <w:t>6.1 Proteção do denunciante</w:t>
      </w:r>
    </w:p>
    <w:p>
      <w:pPr>
        <w:spacing w:after="100" w:line="280" w:lineRule="exact"/>
        <w:jc w:val="both"/>
      </w:pPr>
      <w:r>
        <w:rPr>
          <w:rFonts w:ascii="Calibri" w:hAnsi="Calibri"/>
          <w:b w:val="0"/>
          <w:i w:val="0"/>
          <w:sz w:val="22"/>
        </w:rPr>
        <w:t>O Decreto nº 10.153/2019 regula a proteção do denunciante. Regras essenciais para o processo disciplinar:</w:t>
      </w:r>
    </w:p>
    <w:p>
      <w:pPr>
        <w:spacing w:after="60" w:line="270" w:lineRule="exact"/>
        <w:ind w:left="397"/>
        <w:jc w:val="both"/>
      </w:pPr>
      <w:r>
        <w:rPr>
          <w:rFonts w:ascii="Calibri" w:hAnsi="Calibri"/>
          <w:sz w:val="22"/>
        </w:rPr>
        <w:t xml:space="preserve">— </w:t>
      </w:r>
      <w:r>
        <w:rPr>
          <w:rFonts w:ascii="Calibri" w:hAnsi="Calibri"/>
          <w:b w:val="0"/>
          <w:i w:val="0"/>
          <w:sz w:val="22"/>
        </w:rPr>
        <w:t>Retirar dos autos dados e imagens que permitam identificar o denunciante, salvo consentimento formal expresso.</w:t>
      </w:r>
    </w:p>
    <w:p>
      <w:pPr>
        <w:spacing w:after="60" w:line="270" w:lineRule="exact"/>
        <w:ind w:left="397"/>
        <w:jc w:val="both"/>
      </w:pPr>
      <w:r>
        <w:rPr>
          <w:rFonts w:ascii="Calibri" w:hAnsi="Calibri"/>
          <w:sz w:val="22"/>
        </w:rPr>
        <w:t xml:space="preserve">— </w:t>
      </w:r>
      <w:r>
        <w:rPr>
          <w:rFonts w:ascii="Calibri" w:hAnsi="Calibri"/>
          <w:b w:val="0"/>
          <w:i w:val="0"/>
          <w:sz w:val="22"/>
        </w:rPr>
        <w:t>Na oitiva: transcrever com ocultação dos elementos identificadores; manter a gravação separadamente, com acesso restrito.</w:t>
      </w:r>
    </w:p>
    <w:p>
      <w:pPr>
        <w:spacing w:after="60" w:line="270" w:lineRule="exact"/>
        <w:ind w:left="397"/>
        <w:jc w:val="both"/>
      </w:pPr>
      <w:r>
        <w:rPr>
          <w:rFonts w:ascii="Calibri" w:hAnsi="Calibri"/>
          <w:sz w:val="22"/>
        </w:rPr>
        <w:t xml:space="preserve">— </w:t>
      </w:r>
      <w:r>
        <w:rPr>
          <w:rFonts w:ascii="Calibri" w:hAnsi="Calibri"/>
          <w:b w:val="0"/>
          <w:i w:val="0"/>
          <w:sz w:val="22"/>
        </w:rPr>
        <w:t>A identidade do denunciante não é fornecida em pedido de LAI — Decreto nº 10.153/2019 protege independentemente de consentimento.</w:t>
      </w:r>
    </w:p>
    <w:p>
      <w:pPr>
        <w:pStyle w:val="Heading3"/>
        <w:spacing w:before="160" w:after="60"/>
      </w:pPr>
      <w:r>
        <w:rPr>
          <w:rFonts w:ascii="Calibri" w:hAnsi="Calibri"/>
          <w:b/>
          <w:color w:val="1E3A5F"/>
          <w:sz w:val="22"/>
        </w:rPr>
        <w:t>O fluxo institucional da proteção ao denunciante, segundo a Portaria 27/2022</w:t>
      </w:r>
    </w:p>
    <w:p>
      <w:pPr>
        <w:spacing w:after="100" w:line="280" w:lineRule="exact"/>
        <w:jc w:val="both"/>
      </w:pPr>
      <w:r>
        <w:rPr>
          <w:rFonts w:ascii="Calibri" w:hAnsi="Calibri"/>
          <w:b w:val="0"/>
          <w:i w:val="0"/>
          <w:sz w:val="22"/>
        </w:rPr>
        <w:t xml:space="preserve">Vale destacar que essa proteção começa </w:t>
      </w:r>
      <w:r>
        <w:rPr>
          <w:rFonts w:ascii="Calibri" w:hAnsi="Calibri"/>
          <w:b/>
          <w:i w:val="0"/>
          <w:sz w:val="22"/>
        </w:rPr>
        <w:t>antes mesmo de a denúncia chegar à unidade de correição</w:t>
      </w:r>
      <w:r>
        <w:rPr>
          <w:rFonts w:ascii="Calibri" w:hAnsi="Calibri"/>
          <w:b w:val="0"/>
          <w:i w:val="0"/>
          <w:sz w:val="22"/>
        </w:rPr>
        <w:t xml:space="preserve">. O art. 36 da Portaria 27/2022 determina que relatos de irregularidade e denúncias recebidos pela unidade setorial de correição sejam </w:t>
      </w:r>
      <w:r>
        <w:rPr>
          <w:rFonts w:ascii="Calibri" w:hAnsi="Calibri"/>
          <w:b/>
          <w:i w:val="0"/>
          <w:sz w:val="22"/>
        </w:rPr>
        <w:t>imediatamente encaminhados à respectiva unidade de ouvidoria competente</w:t>
      </w:r>
      <w:r>
        <w:rPr>
          <w:rFonts w:ascii="Calibri" w:hAnsi="Calibri"/>
          <w:b w:val="0"/>
          <w:i w:val="0"/>
          <w:sz w:val="22"/>
        </w:rPr>
        <w:t xml:space="preserve">, sem que se dê a terceiros publicidade quanto ao conteúdo ou a qualquer elemento de identificação do denunciante. Ou seja: a gestão da identidade do denunciante, em primeira instância, é função da ouvidoria — não da própria correição —, e o parágrafo único do art. 36 reforça que a unidade de correição deve orientar o denunciante sobre o canal competente. Isso é coerente com a regra de acesso vista no Capítulo 3 (art. 114, IV e §2º, da Portaria): a identidade do denunciante tem acesso restrito independentemente de classificação, e </w:t>
      </w:r>
      <w:r>
        <w:rPr>
          <w:rFonts w:ascii="Calibri" w:hAnsi="Calibri"/>
          <w:b/>
          <w:i w:val="0"/>
          <w:sz w:val="22"/>
        </w:rPr>
        <w:t>o próprio denunciante não tem acesso aos demais elementos dos autos</w:t>
      </w:r>
      <w:r>
        <w:rPr>
          <w:rFonts w:ascii="Calibri" w:hAnsi="Calibri"/>
          <w:b w:val="0"/>
          <w:i w:val="0"/>
          <w:sz w:val="22"/>
        </w:rPr>
        <w:t xml:space="preserve"> — sua proteção e seu papel no processo são, propositadamente, limitados e distintos dos do investigado, da vítima e das testemunhas (ver quadro do Capítulo 2, item 2.2).</w:t>
      </w:r>
    </w:p>
    <w:p>
      <w:pPr>
        <w:pStyle w:val="Heading2"/>
        <w:spacing w:before="240" w:after="100"/>
        <w:pBdr>
          <w:left w:val="single" w:sz="18" w:space="6" w:color="BFA040"/>
        </w:pBdr>
      </w:pPr>
      <w:r>
        <w:rPr>
          <w:rFonts w:ascii="Arial Narrow" w:hAnsi="Arial Narrow"/>
          <w:b/>
          <w:color w:val="1E3A5F"/>
          <w:sz w:val="26"/>
        </w:rPr>
        <w:t>6.2 Dados de outros envolvidos</w:t>
      </w:r>
    </w:p>
    <w:p>
      <w:pPr>
        <w:spacing w:after="60" w:line="270" w:lineRule="exact"/>
        <w:ind w:left="397"/>
        <w:jc w:val="both"/>
      </w:pPr>
      <w:r>
        <w:rPr>
          <w:rFonts w:ascii="Calibri" w:hAnsi="Calibri"/>
          <w:sz w:val="22"/>
        </w:rPr>
        <w:t xml:space="preserve">— </w:t>
      </w:r>
      <w:r>
        <w:rPr>
          <w:rFonts w:ascii="Calibri" w:hAnsi="Calibri"/>
          <w:b w:val="0"/>
          <w:i w:val="0"/>
          <w:sz w:val="22"/>
        </w:rPr>
        <w:t>Tarjar dados pessoais irrelevantes de terceiros quando não forem necessários para a apuração.</w:t>
      </w:r>
    </w:p>
    <w:p>
      <w:pPr>
        <w:spacing w:after="60" w:line="270" w:lineRule="exact"/>
        <w:ind w:left="397"/>
        <w:jc w:val="both"/>
      </w:pPr>
      <w:r>
        <w:rPr>
          <w:rFonts w:ascii="Calibri" w:hAnsi="Calibri"/>
          <w:sz w:val="22"/>
        </w:rPr>
        <w:t xml:space="preserve">— </w:t>
      </w:r>
      <w:r>
        <w:rPr>
          <w:rFonts w:ascii="Calibri" w:hAnsi="Calibri"/>
          <w:b w:val="0"/>
          <w:i w:val="0"/>
          <w:sz w:val="22"/>
        </w:rPr>
        <w:t>A CPAD decide o que deve ou não constar expressamente nos autos.</w:t>
      </w:r>
    </w:p>
    <w:p>
      <w:pPr>
        <w:spacing w:after="60" w:line="270" w:lineRule="exact"/>
        <w:ind w:left="397"/>
        <w:jc w:val="both"/>
      </w:pPr>
      <w:r>
        <w:rPr>
          <w:rFonts w:ascii="Calibri" w:hAnsi="Calibri"/>
          <w:sz w:val="22"/>
        </w:rPr>
        <w:t xml:space="preserve">— </w:t>
      </w:r>
      <w:r>
        <w:rPr>
          <w:rFonts w:ascii="Calibri" w:hAnsi="Calibri"/>
          <w:b w:val="0"/>
          <w:i w:val="0"/>
          <w:sz w:val="22"/>
        </w:rPr>
        <w:t>Comissão, acusado, advogado e autoridade julgadora podem acessar os elementos de prova, inclusive oitivas gravadas — essencial para o exercício da defesa.</w:t>
      </w:r>
    </w:p>
    <w:p>
      <w:pPr>
        <w:spacing w:after="60" w:line="270" w:lineRule="exact"/>
        <w:ind w:left="397"/>
        <w:jc w:val="both"/>
      </w:pPr>
      <w:r>
        <w:rPr>
          <w:rFonts w:ascii="Calibri" w:hAnsi="Calibri"/>
          <w:sz w:val="22"/>
        </w:rPr>
        <w:t xml:space="preserve">— </w:t>
      </w:r>
      <w:r>
        <w:rPr>
          <w:rFonts w:ascii="Calibri" w:hAnsi="Calibri"/>
          <w:b w:val="0"/>
          <w:i w:val="0"/>
          <w:sz w:val="22"/>
        </w:rPr>
        <w:t>Pessoas não interessadas no processo não podem acessar os autos antes da conclusão.</w:t>
      </w:r>
    </w:p>
    <w:p>
      <w:pPr>
        <w:pStyle w:val="Heading3"/>
        <w:spacing w:before="160" w:after="60"/>
      </w:pPr>
      <w:r>
        <w:rPr>
          <w:rFonts w:ascii="Calibri" w:hAnsi="Calibri"/>
          <w:b/>
          <w:color w:val="1E3A5F"/>
          <w:sz w:val="22"/>
        </w:rPr>
        <w:t>A base normativa exata dessas quatro regras</w:t>
      </w:r>
    </w:p>
    <w:p>
      <w:pPr>
        <w:spacing w:after="100" w:line="280" w:lineRule="exact"/>
        <w:jc w:val="both"/>
      </w:pPr>
      <w:r>
        <w:rPr>
          <w:rFonts w:ascii="Calibri" w:hAnsi="Calibri"/>
          <w:b w:val="0"/>
          <w:i w:val="0"/>
          <w:sz w:val="22"/>
        </w:rPr>
        <w:t>Cada uma das quatro regras deste item tem correspondência direta e literal na Portaria 27/2022 — o que transforma a orientação doutrinária da apostila em obrigação normativa objetiva:</w:t>
      </w:r>
    </w:p>
    <w:tbl>
      <w:tblPr>
        <w:tblStyle w:val="TableGrid"/>
        <w:tblW w:type="auto" w:w="0"/>
        <w:tblLook w:firstColumn="1" w:firstRow="1" w:lastColumn="0" w:lastRow="0" w:noHBand="0" w:noVBand="1" w:val="04A0"/>
      </w:tblPr>
      <w:tblGrid>
        <w:gridCol w:w="4536"/>
        <w:gridCol w:w="4536"/>
      </w:tblGrid>
      <w:tr>
        <w:tc>
          <w:tcPr>
            <w:tcW w:type="dxa" w:w="4535"/>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Regra da apostila</w:t>
            </w:r>
          </w:p>
        </w:tc>
        <w:tc>
          <w:tcPr>
            <w:tcW w:type="dxa" w:w="4535"/>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Dispositivo da Portaria 27/2022</w:t>
            </w:r>
          </w:p>
        </w:tc>
      </w:tr>
      <w:tr>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Tarjar dados irrelevantes de terceiros</w:t>
            </w:r>
          </w:p>
        </w:tc>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113, II e III — documentos com informação sigilosa recebem indicativo apropriado; relatórios apenas referenciam, sem reproduzir, o conteúdo sigiloso</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Decisão sobre o que consta nos autos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Implícito na condução da instrução pela comissão/condutor (arts. 42, 47, 53, 119)</w:t>
            </w:r>
          </w:p>
        </w:tc>
      </w:tr>
      <w:tr>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Acesso de comissão, acusado, advogado e autoridade julgadora aos elementos de prova</w:t>
            </w:r>
          </w:p>
        </w:tc>
        <w:tc>
          <w:tcPr>
            <w:tcW w:type="dxa" w:w="4535"/>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114, §1º — a restrição de acesso "não poderá ser utilizada para impedir o acesso do investigado, acusado ou indiciado às informações [...] necessárias para o exercício da ampla defesa"; Art. 132 — acesso integral, incluindo pareceres jurídicos, mesmo quando conclusos para julgamento</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Pessoas não interessadas não acessam os autos antes da conclusão</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114, V — procedimentos investigativos e processos correcionais não concluídos têm acesso restrito independentemente de classificação</w:t>
            </w:r>
          </w:p>
        </w:tc>
      </w:tr>
    </w:tbl>
    <w:p>
      <w:pPr>
        <w:spacing w:after="80"/>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w:t>
      </w:r>
      <w:r>
        <w:rPr>
          <w:rFonts w:ascii="Calibri" w:hAnsi="Calibri"/>
          <w:b w:val="0"/>
          <w:i w:val="0"/>
          <w:sz w:val="20"/>
        </w:rPr>
        <w:t xml:space="preserve">O art. 114, §3º, da Portaria acrescenta uma exceção que vale ter sempre em mente: a restrição de acesso </w:t>
      </w:r>
      <w:r>
        <w:rPr>
          <w:rFonts w:ascii="Calibri" w:hAnsi="Calibri"/>
          <w:b/>
          <w:i w:val="0"/>
          <w:sz w:val="20"/>
        </w:rPr>
        <w:t>não se aplica ao Órgão Central do Siscor (CRG) nem às próprias unidades setoriais de correição e a seus servidores</w:t>
      </w:r>
      <w:r>
        <w:rPr>
          <w:rFonts w:ascii="Calibri" w:hAnsi="Calibri"/>
          <w:b w:val="0"/>
          <w:i w:val="0"/>
          <w:sz w:val="20"/>
        </w:rPr>
        <w:t>, no exercício de suas atribuições. Isso é o que permite, por exemplo, a avocação e o reexame de processos pela CRG (Título IV da Portaria, visto no Capítulo 5) mesmo antes da conclusão.</w:t>
      </w:r>
    </w:p>
    <w:p>
      <w:pPr>
        <w:spacing w:after="60"/>
      </w:pPr>
    </w:p>
    <w:p>
      <w:pPr>
        <w:pStyle w:val="Heading2"/>
        <w:spacing w:before="240" w:after="100"/>
        <w:pBdr>
          <w:left w:val="single" w:sz="18" w:space="6" w:color="BFA040"/>
        </w:pBdr>
      </w:pPr>
      <w:r>
        <w:rPr>
          <w:rFonts w:ascii="Arial Narrow" w:hAnsi="Arial Narrow"/>
          <w:b/>
          <w:color w:val="1E3A5F"/>
          <w:sz w:val="26"/>
        </w:rPr>
        <w:t>6.3 Tarjamento: como fazer certo</w:t>
      </w:r>
    </w:p>
    <w:p>
      <w:pPr>
        <w:spacing w:after="100" w:line="280" w:lineRule="exact"/>
        <w:jc w:val="both"/>
      </w:pPr>
      <w:r>
        <w:rPr>
          <w:rFonts w:ascii="Calibri" w:hAnsi="Calibri"/>
          <w:b w:val="0"/>
          <w:i w:val="0"/>
          <w:sz w:val="22"/>
        </w:rPr>
        <w:t>Tarjar é a operação de suprimir partes de um documento antes de fornecê-lo a terceiros, preservando as informações que podem — e devem — ser divulgadas. É a principal ferramenta prática de compatibilização entre o direito de acesso e a proteção de dados pessoais.</w:t>
      </w:r>
    </w:p>
    <w:p>
      <w:pPr>
        <w:spacing w:before="100" w:after="20"/>
        <w:ind w:left="227" w:right="170"/>
        <w:jc w:val="both"/>
        <w:pBdr>
          <w:left w:val="single" w:sz="24" w:space="6" w:color="C00000"/>
        </w:pBdr>
        <w:shd w:val="clear" w:color="auto" w:fill="FDE8E8"/>
      </w:pPr>
      <w:r>
        <w:rPr>
          <w:rFonts w:ascii="Arial Narrow" w:hAnsi="Arial Narrow"/>
          <w:b/>
          <w:color w:val="C00000"/>
          <w:sz w:val="18"/>
        </w:rPr>
        <w:t xml:space="preserve">ERRO COMUM  </w:t>
      </w:r>
      <w:r>
        <w:rPr>
          <w:rFonts w:ascii="Calibri" w:hAnsi="Calibri"/>
          <w:b/>
          <w:i w:val="0"/>
          <w:sz w:val="20"/>
        </w:rPr>
        <w:t>Quadrado preto no Word não é tarjamento</w:t>
      </w:r>
      <w:r>
        <w:rPr>
          <w:rFonts w:ascii="Calibri" w:hAnsi="Calibri"/>
          <w:b w:val="0"/>
          <w:i w:val="0"/>
          <w:sz w:val="20"/>
        </w:rPr>
        <w:t xml:space="preserve"> — ao passar o cursor sobre o texto "coberto" com um retângulo preto, o texto original aparece. É uma camada visual, não uma supressão real da informação. O mesmo vale para texto em fonte branca sobre fundo branco.</w:t>
      </w:r>
    </w:p>
    <w:p>
      <w:pPr>
        <w:spacing w:after="60"/>
      </w:pPr>
    </w:p>
    <w:p>
      <w:pPr>
        <w:spacing w:after="100" w:line="280" w:lineRule="exact"/>
        <w:jc w:val="both"/>
      </w:pPr>
      <w:r>
        <w:rPr>
          <w:rFonts w:ascii="Calibri" w:hAnsi="Calibri"/>
          <w:b w:val="0"/>
          <w:i w:val="0"/>
          <w:sz w:val="22"/>
        </w:rPr>
        <w:t>Tarjamento real exige exportação para PDF com a função de edição de conteúdo do Adobe Acrobat (ou ferramenta equivalente), que converte o texto coberto em imagem não recuperável, ou o uso de ferramentas institucionais específicas.</w:t>
      </w:r>
    </w:p>
    <w:p>
      <w:pPr>
        <w:spacing w:after="100" w:line="280" w:lineRule="exact"/>
        <w:jc w:val="both"/>
      </w:pPr>
      <w:r>
        <w:rPr>
          <w:rFonts w:ascii="Calibri" w:hAnsi="Calibri"/>
          <w:b w:val="0"/>
          <w:i w:val="0"/>
          <w:sz w:val="22"/>
        </w:rPr>
        <w:t xml:space="preserve">A CGU implantou em seu sistema uma ferramenta de identificação automática de dados pessoais, desenvolvida originalmente pela Petrobras. Ao subir um documento no sistema, ela tenta identificar campos com dados pessoais e questiona o servidor sobre o tratamento a dar a cada um. Não é perfeita — mas ajuda, e é o caminho do </w:t>
      </w:r>
      <w:r>
        <w:rPr>
          <w:rFonts w:ascii="Calibri" w:hAnsi="Calibri"/>
          <w:b w:val="0"/>
          <w:i/>
          <w:sz w:val="22"/>
        </w:rPr>
        <w:t>privacy by design</w:t>
      </w:r>
      <w:r>
        <w:rPr>
          <w:rFonts w:ascii="Calibri" w:hAnsi="Calibri"/>
          <w:b w:val="0"/>
          <w:i w:val="0"/>
          <w:sz w:val="22"/>
        </w:rPr>
        <w:t>: construir a proteção no fluxo de trabalho, não como etapa posterior.</w:t>
      </w:r>
    </w:p>
    <w:p>
      <w:pPr>
        <w:pStyle w:val="Heading3"/>
        <w:spacing w:before="160" w:after="60"/>
      </w:pPr>
      <w:r>
        <w:rPr>
          <w:rFonts w:ascii="Calibri" w:hAnsi="Calibri"/>
          <w:b/>
          <w:color w:val="1E3A5F"/>
          <w:sz w:val="22"/>
        </w:rPr>
        <w:t>Tarjamento de documentos versus tarjamento de comunicações processuais</w:t>
      </w:r>
    </w:p>
    <w:p>
      <w:pPr>
        <w:spacing w:after="100" w:line="280" w:lineRule="exact"/>
        <w:jc w:val="both"/>
      </w:pPr>
      <w:r>
        <w:rPr>
          <w:rFonts w:ascii="Calibri" w:hAnsi="Calibri"/>
          <w:b w:val="0"/>
          <w:i w:val="0"/>
          <w:sz w:val="22"/>
        </w:rPr>
        <w:t xml:space="preserve">A apostila trata do tarjamento de documentos a serem fornecidos a terceiros. Vale uma observação complementar para comunicações processuais dentro do próprio processo (intimações, notificações), que seguem regra de formato análoga, ainda que com outra finalidade: o art. 99, §1º, da Portaria 27/2022 exige que comunicações processuais enviadas por e-mail ou aplicativo de mensagem sejam acompanhadas de "arquivo de imagem do ato administrativo", </w:t>
      </w:r>
      <w:r>
        <w:rPr>
          <w:rFonts w:ascii="Calibri" w:hAnsi="Calibri"/>
          <w:b/>
          <w:i w:val="0"/>
          <w:sz w:val="22"/>
        </w:rPr>
        <w:t>preferencialmente em formato não editável</w:t>
      </w:r>
      <w:r>
        <w:rPr>
          <w:rFonts w:ascii="Calibri" w:hAnsi="Calibri"/>
          <w:b w:val="0"/>
          <w:i w:val="0"/>
          <w:sz w:val="22"/>
        </w:rPr>
        <w:t>. A lógica é a mesma do alerta sobre o "quadrado preto no Word": um arquivo editável (Word, por exemplo) sempre carrega o risco de alteração ou de reversão de qualquer ocultação aplicada — por isso a Portaria já exige, mesmo para comunicações internas do processo, o uso de formato de imagem ou PDF não editável.</w:t>
      </w:r>
    </w:p>
    <w:p>
      <w:pPr>
        <w:pStyle w:val="Heading3"/>
        <w:spacing w:before="160" w:after="60"/>
      </w:pPr>
      <w:r>
        <w:rPr>
          <w:rFonts w:ascii="Calibri" w:hAnsi="Calibri"/>
          <w:b/>
          <w:color w:val="1E3A5F"/>
          <w:sz w:val="22"/>
        </w:rPr>
        <w:t>Segurança da informação em registros audiovisuais</w:t>
      </w:r>
    </w:p>
    <w:p>
      <w:pPr>
        <w:spacing w:after="100" w:line="280" w:lineRule="exact"/>
        <w:jc w:val="both"/>
      </w:pPr>
      <w:r>
        <w:rPr>
          <w:rFonts w:ascii="Calibri" w:hAnsi="Calibri"/>
          <w:b w:val="0"/>
          <w:i w:val="0"/>
          <w:sz w:val="22"/>
        </w:rPr>
        <w:t>A técnica de tarjamento tratada aqui se aplica a documentos textuais — mas a Portaria 27/2022 estende uma exigência equivalente a gravações de audiência e depoimento: o art. 106, §2º, determina que "a utilização de recurso tecnológico de transmissão de sons e imagens em tempo real, o registro audiovisual e o seu armazenamento devem observar os princípios e diretrizes relacionados à segurança da informação para o tratamento de dados". Na prática, isso significa que a cautela de "separar gravações e oitivas dos autos principais" (item 6.4, abaixo) não é apenas uma boa prática sugerida pela apostila — é uma decorrência direta dessa exigência normativa de segurança da informação.</w:t>
      </w:r>
    </w:p>
    <w:p>
      <w:pPr>
        <w:pStyle w:val="Heading2"/>
        <w:spacing w:before="240" w:after="100"/>
        <w:pBdr>
          <w:left w:val="single" w:sz="18" w:space="6" w:color="BFA040"/>
        </w:pBdr>
      </w:pPr>
      <w:r>
        <w:rPr>
          <w:rFonts w:ascii="Arial Narrow" w:hAnsi="Arial Narrow"/>
          <w:b/>
          <w:color w:val="1E3A5F"/>
          <w:sz w:val="26"/>
        </w:rPr>
        <w:t>6.4 Checklist mínimo de tarjamento e anonimização</w:t>
      </w:r>
    </w:p>
    <w:p>
      <w:pPr>
        <w:spacing w:after="60" w:line="270" w:lineRule="exact"/>
        <w:ind w:left="397"/>
        <w:jc w:val="both"/>
      </w:pPr>
      <w:r>
        <w:rPr>
          <w:rFonts w:ascii="Calibri" w:hAnsi="Calibri"/>
          <w:sz w:val="22"/>
        </w:rPr>
        <w:t xml:space="preserve">— </w:t>
      </w:r>
      <w:r>
        <w:rPr>
          <w:rFonts w:ascii="Calibri" w:hAnsi="Calibri"/>
          <w:b/>
          <w:i w:val="0"/>
          <w:sz w:val="22"/>
        </w:rPr>
        <w:t>Tarjar apenas o nome raramente é suficiente para anonimizar</w:t>
      </w:r>
      <w:r>
        <w:rPr>
          <w:rFonts w:ascii="Calibri" w:hAnsi="Calibri"/>
          <w:b w:val="0"/>
          <w:i w:val="0"/>
          <w:sz w:val="22"/>
        </w:rPr>
        <w:t xml:space="preserve"> — verificar todos os identificadores indiretos (cargo, lotação, data de nascimento, CEP, número de processo). Combinados, identificam a pessoa mesmo sem o nome.</w:t>
      </w:r>
    </w:p>
    <w:p>
      <w:pPr>
        <w:spacing w:after="60" w:line="270" w:lineRule="exact"/>
        <w:ind w:left="397"/>
        <w:jc w:val="both"/>
      </w:pPr>
      <w:r>
        <w:rPr>
          <w:rFonts w:ascii="Calibri" w:hAnsi="Calibri"/>
          <w:sz w:val="22"/>
        </w:rPr>
        <w:t xml:space="preserve">— </w:t>
      </w:r>
      <w:r>
        <w:rPr>
          <w:rFonts w:ascii="Calibri" w:hAnsi="Calibri"/>
          <w:b/>
          <w:i w:val="0"/>
          <w:sz w:val="22"/>
        </w:rPr>
        <w:t>Separar gravações e oitivas</w:t>
      </w:r>
      <w:r>
        <w:rPr>
          <w:rFonts w:ascii="Calibri" w:hAnsi="Calibri"/>
          <w:b w:val="0"/>
          <w:i w:val="0"/>
          <w:sz w:val="22"/>
        </w:rPr>
        <w:t xml:space="preserve"> dos autos principais; restringir o acesso apenas a quem precisa para a instrução.</w:t>
      </w:r>
    </w:p>
    <w:p>
      <w:pPr>
        <w:spacing w:after="60" w:line="270" w:lineRule="exact"/>
        <w:ind w:left="397"/>
        <w:jc w:val="both"/>
      </w:pPr>
      <w:r>
        <w:rPr>
          <w:rFonts w:ascii="Calibri" w:hAnsi="Calibri"/>
          <w:sz w:val="22"/>
        </w:rPr>
        <w:t xml:space="preserve">— </w:t>
      </w:r>
      <w:r>
        <w:rPr>
          <w:rFonts w:ascii="Calibri" w:hAnsi="Calibri"/>
          <w:b/>
          <w:i w:val="0"/>
          <w:sz w:val="22"/>
        </w:rPr>
        <w:t>Remover dados irrelevantes para a finalidade</w:t>
      </w:r>
      <w:r>
        <w:rPr>
          <w:rFonts w:ascii="Calibri" w:hAnsi="Calibri"/>
          <w:b w:val="0"/>
          <w:i w:val="0"/>
          <w:sz w:val="22"/>
        </w:rPr>
        <w:t xml:space="preserve"> — dado que não contribui para a apuração não deve estar nos autos. Dado inútil é dado em risco.</w:t>
      </w:r>
    </w:p>
    <w:p>
      <w:pPr>
        <w:spacing w:after="60" w:line="270" w:lineRule="exact"/>
        <w:ind w:left="397"/>
        <w:jc w:val="both"/>
      </w:pPr>
      <w:r>
        <w:rPr>
          <w:rFonts w:ascii="Calibri" w:hAnsi="Calibri"/>
          <w:sz w:val="22"/>
        </w:rPr>
        <w:t xml:space="preserve">— </w:t>
      </w:r>
      <w:r>
        <w:rPr>
          <w:rFonts w:ascii="Calibri" w:hAnsi="Calibri"/>
          <w:b/>
          <w:i w:val="0"/>
          <w:sz w:val="22"/>
        </w:rPr>
        <w:t>Testar a reversibilidade</w:t>
      </w:r>
      <w:r>
        <w:rPr>
          <w:rFonts w:ascii="Calibri" w:hAnsi="Calibri"/>
          <w:b w:val="0"/>
          <w:i w:val="0"/>
          <w:sz w:val="22"/>
        </w:rPr>
        <w:t xml:space="preserve"> antes de divulgar: passar o cursor, tentar selecionar, verificar metadados do PDF.</w:t>
      </w:r>
    </w:p>
    <w:p>
      <w:pPr>
        <w:spacing w:after="60" w:line="270" w:lineRule="exact"/>
        <w:ind w:left="397"/>
        <w:jc w:val="both"/>
      </w:pPr>
      <w:r>
        <w:rPr>
          <w:rFonts w:ascii="Calibri" w:hAnsi="Calibri"/>
          <w:sz w:val="22"/>
        </w:rPr>
        <w:t xml:space="preserve">— </w:t>
      </w:r>
      <w:r>
        <w:rPr>
          <w:rFonts w:ascii="Calibri" w:hAnsi="Calibri"/>
          <w:b/>
          <w:i w:val="0"/>
          <w:sz w:val="22"/>
        </w:rPr>
        <w:t>Documentos derivados de provas sigilosas</w:t>
      </w:r>
      <w:r>
        <w:rPr>
          <w:rFonts w:ascii="Calibri" w:hAnsi="Calibri"/>
          <w:b w:val="0"/>
          <w:i w:val="0"/>
          <w:sz w:val="22"/>
        </w:rPr>
        <w:t xml:space="preserve"> (ex.: relatório baseado em interceptação telefônica): incluir apenas o que é essencial para compreender o fato apurado. Se a prova mostra "Fulano recebeu propina no dia X", o relatório pode conter apenas o fato ("servidor recebeu propina em [data]"), tarjando nome, cargo e identificação da empresa.</w:t>
      </w:r>
    </w:p>
    <w:p>
      <w:pPr>
        <w:spacing w:after="60" w:line="270" w:lineRule="exact"/>
        <w:ind w:left="397"/>
        <w:jc w:val="both"/>
      </w:pPr>
      <w:r>
        <w:rPr>
          <w:rFonts w:ascii="Calibri" w:hAnsi="Calibri"/>
          <w:sz w:val="22"/>
        </w:rPr>
        <w:t xml:space="preserve">— </w:t>
      </w:r>
      <w:r>
        <w:rPr>
          <w:rFonts w:ascii="Calibri" w:hAnsi="Calibri"/>
          <w:b/>
          <w:i w:val="0"/>
          <w:sz w:val="22"/>
        </w:rPr>
        <w:t xml:space="preserve">Adotar </w:t>
      </w:r>
      <w:r>
        <w:rPr>
          <w:rFonts w:ascii="Calibri" w:hAnsi="Calibri"/>
          <w:b/>
          <w:i/>
          <w:sz w:val="22"/>
        </w:rPr>
        <w:t>privacy by design</w:t>
      </w:r>
      <w:r>
        <w:rPr>
          <w:rFonts w:ascii="Calibri" w:hAnsi="Calibri"/>
          <w:b w:val="0"/>
          <w:i w:val="0"/>
          <w:sz w:val="22"/>
        </w:rPr>
        <w:t xml:space="preserve"> — pensar na proteção desde o momento em que se decide o que vai aos autos, não apenas quando surge um pedido de LAI.</w:t>
      </w:r>
    </w:p>
    <w:p>
      <w:pPr>
        <w:pStyle w:val="Heading3"/>
        <w:spacing w:before="160" w:after="60"/>
      </w:pPr>
      <w:r>
        <w:rPr>
          <w:rFonts w:ascii="Calibri" w:hAnsi="Calibri"/>
          <w:b/>
          <w:color w:val="1E3A5F"/>
          <w:sz w:val="22"/>
        </w:rPr>
        <w:t>Onde a gravação de oitiva efetivamente "mora" nos autos</w:t>
      </w:r>
    </w:p>
    <w:p>
      <w:pPr>
        <w:spacing w:after="100" w:line="280" w:lineRule="exact"/>
        <w:jc w:val="both"/>
      </w:pPr>
      <w:r>
        <w:rPr>
          <w:rFonts w:ascii="Calibri" w:hAnsi="Calibri"/>
          <w:b w:val="0"/>
          <w:i w:val="0"/>
          <w:sz w:val="22"/>
        </w:rPr>
        <w:t xml:space="preserve">Sobre o item "separar gravações e oitivas dos autos principais": a Portaria 27/2022 já resolve essa logística no próprio rito. O art. 110 determina que o registro audiovisual gerado em audiência </w:t>
      </w:r>
      <w:r>
        <w:rPr>
          <w:rFonts w:ascii="Calibri" w:hAnsi="Calibri"/>
          <w:b/>
          <w:i w:val="0"/>
          <w:sz w:val="22"/>
        </w:rPr>
        <w:t>deve ser juntado aos autos</w:t>
      </w:r>
      <w:r>
        <w:rPr>
          <w:rFonts w:ascii="Calibri" w:hAnsi="Calibri"/>
          <w:b w:val="0"/>
          <w:i w:val="0"/>
          <w:sz w:val="22"/>
        </w:rPr>
        <w:t>, sem necessidade de transcrição em ata, sendo disponibilizado à defesa o acesso ao conteúdo ou à respectiva cópia — e o §1º exige apenas que a ata de audiência registre data, locais e participantes. Já o art. 111 trata da hipótese alternativa: quando não for possível o registro audiovisual e seu armazenamento, o depoimento é reduzido a termo escrito. Em qualquer dos dois casos, a cautela da apostila ("restringir o acesso apenas a quem precisa para a instrução") se aplica igualmente — a diferença está apenas no suporte (audiovisual ou termo escrito), não no regime de proteção.</w:t>
      </w:r>
    </w:p>
    <w:p>
      <w:pPr>
        <w:pStyle w:val="Heading3"/>
        <w:spacing w:before="160" w:after="60"/>
      </w:pPr>
      <w:r>
        <w:rPr>
          <w:rFonts w:ascii="Calibri" w:hAnsi="Calibri"/>
          <w:b/>
          <w:color w:val="1E3A5F"/>
          <w:sz w:val="22"/>
        </w:rPr>
        <w:t>Documentos derivados de prova sob segredo de justiça</w:t>
      </w:r>
    </w:p>
    <w:p>
      <w:pPr>
        <w:spacing w:after="100" w:line="280" w:lineRule="exact"/>
        <w:jc w:val="both"/>
      </w:pPr>
      <w:r>
        <w:rPr>
          <w:rFonts w:ascii="Calibri" w:hAnsi="Calibri"/>
          <w:b w:val="0"/>
          <w:i w:val="0"/>
          <w:sz w:val="22"/>
        </w:rPr>
        <w:t xml:space="preserve">O exemplo da apostila sobre "documentos derivados de provas sigilosas" (interceptação telefônica) merece uma conexão direta com a categoria vista no Capítulo 3 (item 3.3): quando a prova sigilosa decorre de </w:t>
      </w:r>
      <w:r>
        <w:rPr>
          <w:rFonts w:ascii="Calibri" w:hAnsi="Calibri"/>
          <w:b/>
          <w:i w:val="0"/>
          <w:sz w:val="22"/>
        </w:rPr>
        <w:t>inquérito ou processo sob segredo de justiça</w:t>
      </w:r>
      <w:r>
        <w:rPr>
          <w:rFonts w:ascii="Calibri" w:hAnsi="Calibri"/>
          <w:b w:val="0"/>
          <w:i w:val="0"/>
          <w:sz w:val="22"/>
        </w:rPr>
        <w:t xml:space="preserve"> (art. 114, III, da Portaria), a técnica de incluir "apenas o fato, sem identificação" não é só uma boa prática de tarjamento — é, muitas vezes, a única forma de a Corregedoria usar aquela prova sem violar o sigilo processual penal que recai sobre a investigação de origem, sigilo esse que não está sob a gestão da própria correição e que sobrevive independentemente da conclusão do processo disciplinar correlato.</w:t>
      </w:r>
    </w:p>
    <w:p>
      <w:pPr>
        <w:pStyle w:val="Heading2"/>
        <w:spacing w:before="240" w:after="100"/>
        <w:pBdr>
          <w:left w:val="single" w:sz="18" w:space="6" w:color="BFA040"/>
        </w:pBdr>
      </w:pPr>
      <w:r>
        <w:rPr>
          <w:rFonts w:ascii="Arial Narrow" w:hAnsi="Arial Narrow"/>
          <w:b/>
          <w:color w:val="1E3A5F"/>
          <w:sz w:val="26"/>
        </w:rPr>
        <w:t>6.5 Biometria: cautelas específicas</w:t>
      </w:r>
    </w:p>
    <w:p>
      <w:pPr>
        <w:spacing w:after="100" w:line="280" w:lineRule="exact"/>
        <w:jc w:val="both"/>
      </w:pPr>
      <w:r>
        <w:rPr>
          <w:rFonts w:ascii="Calibri" w:hAnsi="Calibri"/>
          <w:b w:val="0"/>
          <w:i w:val="0"/>
          <w:sz w:val="22"/>
        </w:rPr>
        <w:t xml:space="preserve">O dado biométrico — impressão digital, reconhecimento facial, leitura de íris, padrão de voz — é dado pessoal </w:t>
      </w:r>
      <w:r>
        <w:rPr>
          <w:rFonts w:ascii="Calibri" w:hAnsi="Calibri"/>
          <w:b/>
          <w:i w:val="0"/>
          <w:sz w:val="22"/>
        </w:rPr>
        <w:t>sensível</w:t>
      </w:r>
      <w:r>
        <w:rPr>
          <w:rFonts w:ascii="Calibri" w:hAnsi="Calibri"/>
          <w:b w:val="0"/>
          <w:i w:val="0"/>
          <w:sz w:val="22"/>
        </w:rPr>
        <w:t xml:space="preserve"> (art. 5º, II, LGPD). Seu regime jurídico é mais restritivo, e as cautelas práticas precisam ser proporcionalmente maiores.</w:t>
      </w:r>
    </w:p>
    <w:p>
      <w:pPr>
        <w:spacing w:after="100" w:line="280" w:lineRule="exact"/>
        <w:jc w:val="both"/>
      </w:pPr>
      <w:r>
        <w:rPr>
          <w:rFonts w:ascii="Calibri" w:hAnsi="Calibri"/>
          <w:b w:val="0"/>
          <w:i w:val="0"/>
          <w:sz w:val="22"/>
        </w:rPr>
        <w:t xml:space="preserve">O principal problema não é só o tratamento em si, mas o </w:t>
      </w:r>
      <w:r>
        <w:rPr>
          <w:rFonts w:ascii="Calibri" w:hAnsi="Calibri"/>
          <w:b/>
          <w:i w:val="0"/>
          <w:sz w:val="22"/>
        </w:rPr>
        <w:t>vazamento</w:t>
      </w:r>
      <w:r>
        <w:rPr>
          <w:rFonts w:ascii="Calibri" w:hAnsi="Calibri"/>
          <w:b w:val="0"/>
          <w:i w:val="0"/>
          <w:sz w:val="22"/>
        </w:rPr>
        <w:t>. Uma senha comprometida pode ser trocada. Uma biometria vazada não pode. Se a sua impressão digital ou o seu padrão facial estiver em um banco de dados que sofra uma invasão, você não tem como "trocar" sua face ou seus dedos. Esse dado, uma vez perdido, é perdido para sempre.</w:t>
      </w:r>
    </w:p>
    <w:p>
      <w:pPr>
        <w:spacing w:after="60" w:line="270" w:lineRule="exact"/>
        <w:ind w:left="397"/>
        <w:jc w:val="both"/>
      </w:pPr>
      <w:r>
        <w:rPr>
          <w:rFonts w:ascii="Calibri" w:hAnsi="Calibri"/>
          <w:sz w:val="22"/>
        </w:rPr>
        <w:t xml:space="preserve">— </w:t>
      </w:r>
      <w:r>
        <w:rPr>
          <w:rFonts w:ascii="Calibri" w:hAnsi="Calibri"/>
          <w:b/>
          <w:i w:val="0"/>
          <w:sz w:val="22"/>
        </w:rPr>
        <w:t>Risco concreto:</w:t>
      </w:r>
      <w:r>
        <w:rPr>
          <w:rFonts w:ascii="Calibri" w:hAnsi="Calibri"/>
          <w:b w:val="0"/>
          <w:i w:val="0"/>
          <w:sz w:val="22"/>
        </w:rPr>
        <w:t xml:space="preserve"> quadrilhas têm utilizado dados biométricos combinados com </w:t>
      </w:r>
      <w:r>
        <w:rPr>
          <w:rFonts w:ascii="Calibri" w:hAnsi="Calibri"/>
          <w:b w:val="0"/>
          <w:i/>
          <w:sz w:val="22"/>
        </w:rPr>
        <w:t>deepfake</w:t>
      </w:r>
      <w:r>
        <w:rPr>
          <w:rFonts w:ascii="Calibri" w:hAnsi="Calibri"/>
          <w:b w:val="0"/>
          <w:i w:val="0"/>
          <w:sz w:val="22"/>
        </w:rPr>
        <w:t xml:space="preserve"> para abrir contas bancárias em nome de terceiros. No processo: o fraudador obtém a biometria do titular, gera um vídeo sintético de rosto com movimento e convence o sistema de reconhecimento facial do banco a abrir a conta. O caso não é hipotético — foi objeto de operação policial recente.</w:t>
      </w:r>
    </w:p>
    <w:p>
      <w:pPr>
        <w:spacing w:after="60" w:line="270" w:lineRule="exact"/>
        <w:ind w:left="397"/>
        <w:jc w:val="both"/>
      </w:pPr>
      <w:r>
        <w:rPr>
          <w:rFonts w:ascii="Calibri" w:hAnsi="Calibri"/>
          <w:sz w:val="22"/>
        </w:rPr>
        <w:t xml:space="preserve">— </w:t>
      </w:r>
      <w:r>
        <w:rPr>
          <w:rFonts w:ascii="Calibri" w:hAnsi="Calibri"/>
          <w:b/>
          <w:i w:val="0"/>
          <w:sz w:val="22"/>
        </w:rPr>
        <w:t>Princípio da necessidade aplicado:</w:t>
      </w:r>
      <w:r>
        <w:rPr>
          <w:rFonts w:ascii="Calibri" w:hAnsi="Calibri"/>
          <w:b w:val="0"/>
          <w:i w:val="0"/>
          <w:sz w:val="22"/>
        </w:rPr>
        <w:t xml:space="preserve"> antes de aceitar exigência de biometria, perguntar se a finalidade pode ser atingida com meio menos invasivo. QR Code, crachá, CPF ou confirmação por celular atendem à mesma finalidade de controle de acesso em prédios e academias sem exigir dado sensível.</w:t>
      </w:r>
    </w:p>
    <w:p>
      <w:pPr>
        <w:spacing w:after="60" w:line="270" w:lineRule="exact"/>
        <w:ind w:left="397"/>
        <w:jc w:val="both"/>
      </w:pPr>
      <w:r>
        <w:rPr>
          <w:rFonts w:ascii="Calibri" w:hAnsi="Calibri"/>
          <w:sz w:val="22"/>
        </w:rPr>
        <w:t xml:space="preserve">— </w:t>
      </w:r>
      <w:r>
        <w:rPr>
          <w:rFonts w:ascii="Calibri" w:hAnsi="Calibri"/>
          <w:b/>
          <w:i w:val="0"/>
          <w:sz w:val="22"/>
        </w:rPr>
        <w:t>Recomendação da ANPD:</w:t>
      </w:r>
      <w:r>
        <w:rPr>
          <w:rFonts w:ascii="Calibri" w:hAnsi="Calibri"/>
          <w:b w:val="0"/>
          <w:i w:val="0"/>
          <w:sz w:val="22"/>
        </w:rPr>
        <w:t xml:space="preserve"> consulta pública recente indicou tendência de recomendar que órgãos públicos e empresas deixem de exigir biometria como meio padrão de autenticação em situações cotidianas — reservando-a para contextos em que não há alternativa equivalente (controle de fronteiras, acesso a sistemas críticos, operações bancárias de alto risco).</w:t>
      </w: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REGRA PRÁTICA  </w:t>
      </w:r>
      <w:r>
        <w:rPr>
          <w:rFonts w:ascii="Calibri" w:hAnsi="Calibri"/>
          <w:b w:val="0"/>
          <w:i w:val="0"/>
          <w:sz w:val="20"/>
        </w:rPr>
        <w:t>Biometria é adequada para banco, fronteira, penitenciária — contextos em que a identificação precisa ser inequívoca e não há alternativa equivalente. Para condomínio, academia, recepção de empresa ou inscrição em evento, o princípio da necessidade não é atendido — há meios menos invasivos disponíveis.</w:t>
      </w:r>
    </w:p>
    <w:p>
      <w:pPr>
        <w:spacing w:after="60"/>
      </w:pPr>
    </w:p>
    <w:p>
      <w:pPr>
        <w:pStyle w:val="Heading3"/>
        <w:spacing w:before="160" w:after="60"/>
      </w:pPr>
      <w:r>
        <w:rPr>
          <w:rFonts w:ascii="Calibri" w:hAnsi="Calibri"/>
          <w:b/>
          <w:color w:val="1E3A5F"/>
          <w:sz w:val="22"/>
        </w:rPr>
        <w:t>Onde a biometria já aparece na própria rotina correcional</w:t>
      </w:r>
    </w:p>
    <w:p>
      <w:pPr>
        <w:spacing w:after="100" w:line="280" w:lineRule="exact"/>
        <w:jc w:val="both"/>
      </w:pPr>
      <w:r>
        <w:rPr>
          <w:rFonts w:ascii="Calibri" w:hAnsi="Calibri"/>
          <w:b w:val="0"/>
          <w:i w:val="0"/>
          <w:sz w:val="22"/>
        </w:rPr>
        <w:t>Dois pontos de contato concretos entre este item e a atividade da Corregedoria merecem destaque, ainda que a apostila trate o tema de forma geral:</w:t>
      </w:r>
    </w:p>
    <w:p>
      <w:pPr>
        <w:spacing w:after="100" w:line="264" w:lineRule="exact"/>
        <w:ind w:left="454"/>
        <w:jc w:val="both"/>
      </w:pPr>
      <w:r>
        <w:rPr>
          <w:rFonts w:ascii="Calibri" w:hAnsi="Calibri"/>
          <w:b/>
          <w:color w:val="1E3A5F"/>
          <w:sz w:val="22"/>
        </w:rPr>
        <w:t xml:space="preserve">1.  </w:t>
      </w:r>
      <w:r>
        <w:rPr>
          <w:rFonts w:ascii="Calibri" w:hAnsi="Calibri"/>
          <w:b/>
          <w:i w:val="0"/>
          <w:sz w:val="22"/>
        </w:rPr>
        <w:t>Videoconferência de oitivas com reconhecimento facial</w:t>
      </w:r>
      <w:r>
        <w:rPr>
          <w:rFonts w:ascii="Calibri" w:hAnsi="Calibri"/>
          <w:b w:val="0"/>
          <w:i w:val="0"/>
          <w:sz w:val="22"/>
        </w:rPr>
        <w:t xml:space="preserve">: quando depoimentos são colhidos por recurso tecnológico de transmissão de sons e imagens em tempo real (art. 106 da Portaria), qualquer uso de reconhecimento facial automatizado para identificação dos participantes (em vez de identificação manual pelo secretário </w:t>
      </w:r>
      <w:r>
        <w:rPr>
          <w:rFonts w:ascii="Calibri" w:hAnsi="Calibri"/>
          <w:b w:val="0"/>
          <w:i/>
          <w:sz w:val="22"/>
        </w:rPr>
        <w:t>ad hoc</w:t>
      </w:r>
      <w:r>
        <w:rPr>
          <w:rFonts w:ascii="Calibri" w:hAnsi="Calibri"/>
          <w:b w:val="0"/>
          <w:i w:val="0"/>
          <w:sz w:val="22"/>
        </w:rPr>
        <w:t>, art. 109, §2º) ativaria o regime de dado sensível tratado neste item — e deveria, à luz da regra prática acima, ser evitado, já que a identificação manual já atende à finalidade com meio menos invasivo.</w:t>
      </w:r>
    </w:p>
    <w:p>
      <w:pPr>
        <w:spacing w:after="100" w:line="264" w:lineRule="exact"/>
        <w:ind w:left="454"/>
        <w:jc w:val="both"/>
      </w:pPr>
      <w:r>
        <w:rPr>
          <w:rFonts w:ascii="Calibri" w:hAnsi="Calibri"/>
          <w:b/>
          <w:color w:val="1E3A5F"/>
          <w:sz w:val="22"/>
        </w:rPr>
        <w:t xml:space="preserve">2.  </w:t>
      </w:r>
      <w:r>
        <w:rPr>
          <w:rFonts w:ascii="Calibri" w:hAnsi="Calibri"/>
          <w:b/>
          <w:i w:val="0"/>
          <w:sz w:val="22"/>
        </w:rPr>
        <w:t>Regulamentação específica em andamento na ANPD</w:t>
      </w:r>
      <w:r>
        <w:rPr>
          <w:rFonts w:ascii="Calibri" w:hAnsi="Calibri"/>
          <w:b w:val="0"/>
          <w:i w:val="0"/>
          <w:sz w:val="22"/>
        </w:rPr>
        <w:t>: desde 2024, a ANPD conduz processo regulatório próprio sobre dados biométricos, com Tomada de Subsídios já concluída e nota técnica em elaboração. Isso significa que os parâmetros hoje tratados como boas práticas (este item 6.5) podem, em breve, tornar-se exigências vinculantes mais específicas — vale acompanhar as publicações da ANPD sobre o tema.</w:t>
      </w:r>
    </w:p>
    <w:p>
      <w:pPr>
        <w:pStyle w:val="Heading2"/>
        <w:spacing w:before="240" w:after="100"/>
        <w:pBdr>
          <w:left w:val="single" w:sz="18" w:space="6" w:color="BFA040"/>
        </w:pBdr>
      </w:pPr>
      <w:r>
        <w:rPr>
          <w:rFonts w:ascii="Arial Narrow" w:hAnsi="Arial Narrow"/>
          <w:b/>
          <w:color w:val="1E3A5F"/>
          <w:sz w:val="26"/>
        </w:rPr>
        <w:t>6.6 Quadro prático — dados de agentes públicos: o que pode e o que não pode ser divulgado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Dado</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Pode divulgar?</w:t>
            </w:r>
          </w:p>
        </w:tc>
        <w:tc>
          <w:tcPr>
            <w:tcW w:type="dxa" w:w="302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Fundamento</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completo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Identificação mínima; não protegido pelo art. 31 LAI sem outras informações associadas.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Identificação como responsável por ato administrativo (contratos, despachos, NTs, decisões)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Vinculado ao exercício da função pública.</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Cargo, função e lotação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 (com ressalva)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Vinculados ao exercício da função. Lotação pode ser restringida se houver risco à segurança ou integridade física.</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Matrícula funcional (SIAPE)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Vinculada ao exercício da função pública.</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CPF</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Apenas descaracterizado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 xml:space="preserve">CPF integral traz risco de fraude. Formato correto: </w:t>
            </w:r>
            <w:r>
              <w:rPr>
                <w:rFonts w:ascii="Calibri" w:hAnsi="Calibri"/>
                <w:b/>
                <w:i w:val="0"/>
                <w:sz w:val="19"/>
              </w:rPr>
              <w:t>.456.789-</w:t>
            </w:r>
            <w:r>
              <w:rPr>
                <w:rFonts w:ascii="Calibri" w:hAnsi="Calibri"/>
                <w:b w:val="0"/>
                <w:i w:val="0"/>
                <w:sz w:val="19"/>
              </w:rPr>
              <w:t xml:space="preserve"> (seis dígitos centrais).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Remuneração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Informação pessoal de interesse coletivo — deve ser divulgada.</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Currículos e títulos acadêmicos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Sim</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Informação de interesse coletivo (Enunciado CGU nº 7/2023).</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Desconto na folha (pensão alimentícia, consignado)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Informação da vida privada e honra, sem relação com a função pública.</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Assinatura manuscrita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Desnecessária ao controle social; risco de fraude.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Endereço residencial / telefone pessoal / e-mail pessoal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Vida privada sem relação com a função.</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médicos (atestados, CID, diagnósticos)</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pessoal sensível (saúde) — vida privada.</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bancários (conta, agência, banco)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privado; sigilo bancário (LC 105/2001).</w:t>
            </w:r>
          </w:p>
        </w:tc>
      </w:tr>
    </w:tbl>
    <w:p>
      <w:pPr>
        <w:spacing w:after="80"/>
      </w:pPr>
    </w:p>
    <w:p>
      <w:pPr>
        <w:spacing w:after="80"/>
      </w:pPr>
      <w:r>
        <w:rPr>
          <w:rFonts w:ascii="Calibri" w:hAnsi="Calibri"/>
          <w:i/>
          <w:color w:val="707070"/>
          <w:sz w:val="18"/>
        </w:rPr>
        <w:t>Fonte: Guia CGU/ANPD — Orientações para o Tratamento de Dados Pessoais pelo Poder Público.</w:t>
      </w:r>
    </w:p>
    <w:p>
      <w:pPr>
        <w:pStyle w:val="Heading3"/>
        <w:spacing w:before="160" w:after="60"/>
      </w:pPr>
      <w:r>
        <w:rPr>
          <w:rFonts w:ascii="Calibri" w:hAnsi="Calibri"/>
          <w:b/>
          <w:color w:val="1E3A5F"/>
          <w:sz w:val="22"/>
        </w:rPr>
        <w:t>Uma ressalva ao "CPF apenas descaracterizado": quando o documento já é inerentemente público</w:t>
      </w:r>
    </w:p>
    <w:p>
      <w:pPr>
        <w:spacing w:after="100" w:line="280" w:lineRule="exact"/>
        <w:jc w:val="both"/>
      </w:pPr>
      <w:r>
        <w:rPr>
          <w:rFonts w:ascii="Calibri" w:hAnsi="Calibri"/>
          <w:b w:val="0"/>
          <w:i w:val="0"/>
          <w:sz w:val="22"/>
        </w:rPr>
        <w:t xml:space="preserve">A linha do CPF neste quadro reflete a posição consolidada e majoritária — mas vale registrar, com cautela, que há debate técnico recente sobre a aplicação automática dessa regra a </w:t>
      </w:r>
      <w:r>
        <w:rPr>
          <w:rFonts w:ascii="Calibri" w:hAnsi="Calibri"/>
          <w:b/>
          <w:i w:val="0"/>
          <w:sz w:val="22"/>
        </w:rPr>
        <w:t>documentos que já são públicos por natureza</w:t>
      </w:r>
      <w:r>
        <w:rPr>
          <w:rFonts w:ascii="Calibri" w:hAnsi="Calibri"/>
          <w:b w:val="0"/>
          <w:i w:val="0"/>
          <w:sz w:val="22"/>
        </w:rPr>
        <w:t xml:space="preserve"> (ex.: contratos administrativos, processos licitatórios, atos já publicados em portaria). Um parecer da Advocacia-Geral da União de 2025 (Parecer nº 00006/2025/GAB/DECOR/CGU/AGU, sobre o sistema TRANSFEREGOV) sustentou que a descaracterização indiscriminada de dados pessoais não sensíveis — como o CPF — em documentos cuja publicidade já é exigida pela própria legislação de contratos e convênios pode configurar uso da LGPD como "escudo de opacidade", incompatível com os princípios da publicidade e da eficiência administrativa. Esse entendimento é mais aplicável a documentos de natureza contratual/licitatória do que aos processos correcionais propriamente ditos (cujo regime de sigilo decorre de fundamento próprio, como visto no Capítulo 5) — mas serve de alerta geral: a regra de descaracterização do CPF não deve ser aplicada de forma automática e acrítica em </w:t>
      </w:r>
      <w:r>
        <w:rPr>
          <w:rFonts w:ascii="Calibri" w:hAnsi="Calibri"/>
          <w:b/>
          <w:i w:val="0"/>
          <w:sz w:val="22"/>
        </w:rPr>
        <w:t>qualquer</w:t>
      </w:r>
      <w:r>
        <w:rPr>
          <w:rFonts w:ascii="Calibri" w:hAnsi="Calibri"/>
          <w:b w:val="0"/>
          <w:i w:val="0"/>
          <w:sz w:val="22"/>
        </w:rPr>
        <w:t xml:space="preserve"> contexto, e sim avaliada à luz da finalidade e da natureza do documento específico.</w:t>
      </w:r>
    </w:p>
    <w:p>
      <w:pPr>
        <w:pStyle w:val="Heading3"/>
        <w:spacing w:before="160" w:after="60"/>
      </w:pPr>
      <w:r>
        <w:rPr>
          <w:rFonts w:ascii="Calibri" w:hAnsi="Calibri"/>
          <w:b/>
          <w:color w:val="1E3A5F"/>
          <w:sz w:val="22"/>
        </w:rPr>
        <w:t>O mesmo quadro, para outros titulares do processo (não apenas o agente sancionado)</w:t>
      </w:r>
    </w:p>
    <w:p>
      <w:pPr>
        <w:spacing w:after="100" w:line="280" w:lineRule="exact"/>
        <w:jc w:val="both"/>
      </w:pPr>
      <w:r>
        <w:rPr>
          <w:rFonts w:ascii="Calibri" w:hAnsi="Calibri"/>
          <w:b w:val="0"/>
          <w:i w:val="0"/>
          <w:sz w:val="22"/>
        </w:rPr>
        <w:t xml:space="preserve">O quadro 6.6 trata especificamente de dados do </w:t>
      </w:r>
      <w:r>
        <w:rPr>
          <w:rFonts w:ascii="Calibri" w:hAnsi="Calibri"/>
          <w:b/>
          <w:i w:val="0"/>
          <w:sz w:val="22"/>
        </w:rPr>
        <w:t>agente público</w:t>
      </w:r>
      <w:r>
        <w:rPr>
          <w:rFonts w:ascii="Calibri" w:hAnsi="Calibri"/>
          <w:b w:val="0"/>
          <w:i w:val="0"/>
          <w:sz w:val="22"/>
        </w:rPr>
        <w:t xml:space="preserve"> investigado/sancionado. Como visto no Capítulo 2 (item 2.2), há outros titulares dentro do mesmo processo, com regras próprias que não cabem na mesma lógica "função pública x vida privada":</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Titular</w:t>
            </w:r>
          </w:p>
        </w:tc>
        <w:tc>
          <w:tcPr>
            <w:tcW w:type="dxa" w:w="2268"/>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Dado</w:t>
            </w:r>
          </w:p>
        </w:tc>
        <w:tc>
          <w:tcPr>
            <w:tcW w:type="dxa" w:w="2268"/>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Pode divulgar a terceiros?</w:t>
            </w:r>
          </w:p>
        </w:tc>
        <w:tc>
          <w:tcPr>
            <w:tcW w:type="dxa" w:w="2268"/>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FFFFFF"/>
                <w:sz w:val="18"/>
              </w:rPr>
              <w:t>Fundamento</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Denunciante</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Identidade</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em nenhuma hipótese</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Decreto nº 10.153/2019; art. 114, IV, Portaria 27/2022</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Vítima (assédio/discriminação)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e matrícula, mesmo após julgamento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(tarjados mesmo em processo concluído)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Capítulo 7 desta apostila</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Vítima</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de contato (e-mail, telefone, endereço)</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mesmo internamente, salvo necessidade comprovada</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Capítulo 7 desta apostila</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Testemunha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e matrícula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Em regra, não, quando há risco de retaliação (especialmente em assédio)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Capítulo 7 desta apostila; analogia ao art. 113 da Portaria</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Terceiro mencionado incidentalmente (ex.: familiar citado em depoimento)</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Qualquer dado pessoal</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salvo se a informação for, ela própria, o fato apurado</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Princípio da necessidade (Capítulo 2, item 2.3)</w:t>
            </w:r>
          </w:p>
        </w:tc>
      </w:tr>
    </w:tbl>
    <w:p>
      <w:pPr>
        <w:spacing w:after="80"/>
      </w:pPr>
    </w:p>
    <w:p>
      <w:pPr>
        <w:spacing w:before="120" w:after="120"/>
        <w:pBdr>
          <w:bottom w:val="single" w:sz="4" w:space="1" w:color="BFA040"/>
        </w:pBdr>
      </w:pPr>
    </w:p>
    <w:p>
      <w:r>
        <w:br w:type="page"/>
      </w:r>
    </w:p>
    <w:p>
      <w:pPr>
        <w:spacing w:before="80" w:after="0"/>
      </w:pPr>
      <w:r>
        <w:rPr>
          <w:rFonts w:ascii="Arial Narrow" w:hAnsi="Arial Narrow"/>
          <w:b/>
          <w:color w:val="BFA040"/>
          <w:sz w:val="18"/>
        </w:rPr>
        <w:t>CAPÍTULO 7</w:t>
      </w:r>
    </w:p>
    <w:p>
      <w:pPr>
        <w:pStyle w:val="Heading1"/>
        <w:spacing w:before="40" w:after="240"/>
      </w:pPr>
      <w:r>
        <w:rPr>
          <w:rFonts w:ascii="Arial Narrow" w:hAnsi="Arial Narrow"/>
          <w:b/>
          <w:color w:val="1E3A5F"/>
          <w:sz w:val="40"/>
        </w:rPr>
        <w:t>Assédio e Discriminação — Regras Específicas</w:t>
      </w:r>
    </w:p>
    <w:p>
      <w:pPr>
        <w:spacing w:before="0" w:after="200"/>
        <w:pBdr>
          <w:bottom w:val="single" w:sz="8" w:space="1" w:color="BFA040"/>
        </w:pBdr>
      </w:pP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ATENÇÃO ESPECIAL  </w:t>
      </w:r>
      <w:r>
        <w:rPr>
          <w:rFonts w:ascii="Calibri" w:hAnsi="Calibri"/>
          <w:b w:val="0"/>
          <w:i w:val="0"/>
          <w:sz w:val="20"/>
        </w:rPr>
        <w:t>PADs sobre assédio moral, sexual ou discriminação recebem tratamento diferenciado — mesmo após concluídos — em razão do risco de condenação social, revitimização, retaliação de testemunhas e exposição de servidor não sancionado.</w:t>
      </w:r>
    </w:p>
    <w:p>
      <w:pPr>
        <w:spacing w:after="60"/>
      </w:pPr>
    </w:p>
    <w:p>
      <w:pPr>
        <w:spacing w:after="100" w:line="280" w:lineRule="exact"/>
        <w:jc w:val="both"/>
      </w:pPr>
      <w:r>
        <w:rPr>
          <w:rFonts w:ascii="Calibri" w:hAnsi="Calibri"/>
          <w:b w:val="0"/>
          <w:i w:val="0"/>
          <w:sz w:val="22"/>
        </w:rPr>
        <w:t>No fornecimento de cópia a terceiros (pedido de LAI): nome e matrícula dos envolvidos são tarjados (exceto no caso de sanção, em que se mantém o nome do servidor apenado).</w:t>
      </w:r>
    </w:p>
    <w:p>
      <w:pPr>
        <w:pStyle w:val="Heading2"/>
        <w:spacing w:before="240" w:after="100"/>
        <w:pBdr>
          <w:left w:val="single" w:sz="18" w:space="6" w:color="BFA040"/>
        </w:pBdr>
      </w:pPr>
      <w:r>
        <w:rPr>
          <w:rFonts w:ascii="Arial Narrow" w:hAnsi="Arial Narrow"/>
          <w:b/>
          <w:color w:val="1E3A5F"/>
          <w:sz w:val="26"/>
        </w:rPr>
        <w:t>7.1 Por que esses processos exigem cuidado redobrado</w:t>
      </w:r>
    </w:p>
    <w:p>
      <w:pPr>
        <w:spacing w:after="100" w:line="280" w:lineRule="exact"/>
        <w:jc w:val="both"/>
      </w:pPr>
      <w:r>
        <w:rPr>
          <w:rFonts w:ascii="Calibri" w:hAnsi="Calibri"/>
          <w:b w:val="0"/>
          <w:i w:val="0"/>
          <w:sz w:val="22"/>
        </w:rPr>
        <w:t>Processos disciplinares por assédio moral, assédio sexual ou discriminação têm uma característica que os distingue dos demais: a vítima é parte do processo. Não é apenas uma testemunha ou uma pessoa mencionada nos autos — ela é o centro do fato apurado, e sua exposição indevida pode causar danos que a própria apuração busca reparar. Revitimizar no processo disciplinar o que já ocorreu na relação de trabalho é o pior resultado possível.</w:t>
      </w:r>
    </w:p>
    <w:p>
      <w:pPr>
        <w:spacing w:after="100" w:line="280" w:lineRule="exact"/>
        <w:jc w:val="both"/>
      </w:pPr>
      <w:r>
        <w:rPr>
          <w:rFonts w:ascii="Calibri" w:hAnsi="Calibri"/>
          <w:b w:val="0"/>
          <w:i w:val="0"/>
          <w:sz w:val="22"/>
        </w:rPr>
        <w:t>Esses processos também concentram dados sensíveis em quantidade incomum: dados de saúde, informações sobre vida sexual, situações de vulnerabilidade, relações familiares, registros emocionais de depoimentos. Cada um desses elementos exige avaliação cuidadosa antes de qualquer divulgação.</w:t>
      </w:r>
    </w:p>
    <w:p>
      <w:pPr>
        <w:pStyle w:val="Heading3"/>
        <w:spacing w:before="160" w:after="60"/>
      </w:pPr>
      <w:r>
        <w:rPr>
          <w:rFonts w:ascii="Calibri" w:hAnsi="Calibri"/>
          <w:b/>
          <w:color w:val="1E3A5F"/>
          <w:sz w:val="22"/>
        </w:rPr>
        <w:t>A vítima é "parte" no sentido substantivo, mas nem sempre no sentido processual de acesso aos autos</w:t>
      </w:r>
    </w:p>
    <w:p>
      <w:pPr>
        <w:spacing w:after="100" w:line="280" w:lineRule="exact"/>
        <w:jc w:val="both"/>
      </w:pPr>
      <w:r>
        <w:rPr>
          <w:rFonts w:ascii="Calibri" w:hAnsi="Calibri"/>
          <w:b w:val="0"/>
          <w:i w:val="0"/>
          <w:sz w:val="22"/>
        </w:rPr>
        <w:t xml:space="preserve">Vale uma observação importante para a rotina diária, que concilia este capítulo com a regra geral de acesso vista na abertura do Capítulo 5: "acusado e advogado | comissão designada | autoridade instauradora | servidores que atuam como longa manus da instauradora" têm acesso ao processo em curso — e a apostila já esclarece, ali, que "testemunhas e denunciantes não são partes". A </w:t>
      </w:r>
      <w:r>
        <w:rPr>
          <w:rFonts w:ascii="Calibri" w:hAnsi="Calibri"/>
          <w:b/>
          <w:i w:val="0"/>
          <w:sz w:val="22"/>
        </w:rPr>
        <w:t>vítima</w:t>
      </w:r>
      <w:r>
        <w:rPr>
          <w:rFonts w:ascii="Calibri" w:hAnsi="Calibri"/>
          <w:b w:val="0"/>
          <w:i w:val="0"/>
          <w:sz w:val="22"/>
        </w:rPr>
        <w:t>, no entanto, ocupa uma posição intermediária que a apostila trata com profundidade neste Capítulo 7, mas que vale destacar expressamente: embora seja substantivamente o centro do fato apurado (item 7.1), ela não está listada, na regra geral de acesso do Capítulo 5, como tendo acesso automático e integral aos autos durante a fase de instrução — seu acesso, enquanto o processo está em curso, é o conjunto específico de informações tratado no item 7.4 (ser informada sobre afastamento cautelar, datas de oitiva etc.), e o acesso pleno aos autos, quando necessário para fins probatórios em outro processo, depende do mecanismo excepcional do item 7.3. Reconhecer essa distinção evita dois erros opostos: tratar a vítima como mera testemunha sem voz no processo, ou presumir que ela tem, automaticamente, o mesmo nível de acesso do acusado.</w:t>
      </w:r>
    </w:p>
    <w:p>
      <w:pPr>
        <w:pStyle w:val="Heading2"/>
        <w:spacing w:before="240" w:after="100"/>
        <w:pBdr>
          <w:left w:val="single" w:sz="18" w:space="6" w:color="BFA040"/>
        </w:pBdr>
      </w:pPr>
      <w:r>
        <w:rPr>
          <w:rFonts w:ascii="Arial Narrow" w:hAnsi="Arial Narrow"/>
          <w:b/>
          <w:color w:val="1E3A5F"/>
          <w:sz w:val="26"/>
        </w:rPr>
        <w:t>7.2 Perspectiva de gênero na análise</w:t>
      </w:r>
    </w:p>
    <w:p>
      <w:pPr>
        <w:spacing w:after="100" w:line="280" w:lineRule="exact"/>
        <w:jc w:val="both"/>
      </w:pPr>
      <w:r>
        <w:rPr>
          <w:rFonts w:ascii="Calibri" w:hAnsi="Calibri"/>
          <w:b w:val="0"/>
          <w:i w:val="0"/>
          <w:sz w:val="22"/>
        </w:rPr>
        <w:t xml:space="preserve">PADs envolvendo assédio sexual e moral de cunho discriminatório devem ser conduzidos e julgados com </w:t>
      </w:r>
      <w:r>
        <w:rPr>
          <w:rFonts w:ascii="Calibri" w:hAnsi="Calibri"/>
          <w:b/>
          <w:i w:val="0"/>
          <w:sz w:val="22"/>
        </w:rPr>
        <w:t>perspectiva de gênero</w:t>
      </w:r>
      <w:r>
        <w:rPr>
          <w:rFonts w:ascii="Calibri" w:hAnsi="Calibri"/>
          <w:b w:val="0"/>
          <w:i w:val="0"/>
          <w:sz w:val="22"/>
        </w:rPr>
        <w:t xml:space="preserve"> — o que significa reconhecer que homens e mulheres vivenciam, percebem e descrevem esses fatos de forma diferente, e que essa diferença não é questão de "sensibilidade excessiva", mas de experiência acumulada.</w:t>
      </w:r>
    </w:p>
    <w:p>
      <w:pPr>
        <w:spacing w:after="100" w:line="280" w:lineRule="exact"/>
        <w:jc w:val="both"/>
      </w:pPr>
      <w:r>
        <w:rPr>
          <w:rFonts w:ascii="Calibri" w:hAnsi="Calibri"/>
          <w:b w:val="0"/>
          <w:i w:val="0"/>
          <w:sz w:val="22"/>
        </w:rPr>
        <w:t>Em colegiados paritários, essa diferença de leitura é uma riqueza: o que para um colega aparece como situação ambígua frequentemente é, para uma colega, uma conduta inequivocamente inadequada — porque o lugar de fala molda o que se consegue enxergar. Até pouco tempo atrás, muitas das condutas hoje tipificadas como assédio eram tratadas como brincadeiras que "a gente tinha que ouvir e dar um risinho amarelo". A mudança cultural foi real, e o processo disciplinar precisa estar alinhado a ela.</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MÉTODO  </w:t>
      </w:r>
      <w:r>
        <w:rPr>
          <w:rFonts w:ascii="Calibri" w:hAnsi="Calibri"/>
          <w:b w:val="0"/>
          <w:i w:val="0"/>
          <w:sz w:val="20"/>
        </w:rPr>
        <w:t>Perspectiva de gênero não é um favor à vítima — é uma exigência metodológica para que a apuração seja correta. Analisar uma denúncia de assédio sexual sem considerar a assimetria de poder e a experiência da vítima é o mesmo que analisar um caso de fraude sem considerar o contexto econômico: você verá apenas parte do quadro.</w:t>
      </w:r>
    </w:p>
    <w:p>
      <w:pPr>
        <w:spacing w:after="60"/>
      </w:pPr>
    </w:p>
    <w:p>
      <w:pPr>
        <w:pStyle w:val="Heading3"/>
        <w:spacing w:before="160" w:after="60"/>
      </w:pPr>
      <w:r>
        <w:rPr>
          <w:rFonts w:ascii="Calibri" w:hAnsi="Calibri"/>
          <w:b/>
          <w:color w:val="1E3A5F"/>
          <w:sz w:val="22"/>
        </w:rPr>
        <w:t>A composição paritária da comissão é uma escolha de gestão, não uma exigência expressa da Portaria</w:t>
      </w:r>
    </w:p>
    <w:p>
      <w:pPr>
        <w:spacing w:after="100" w:line="280" w:lineRule="exact"/>
        <w:jc w:val="both"/>
      </w:pPr>
      <w:r>
        <w:rPr>
          <w:rFonts w:ascii="Calibri" w:hAnsi="Calibri"/>
          <w:b w:val="0"/>
          <w:i w:val="0"/>
          <w:sz w:val="22"/>
        </w:rPr>
        <w:t xml:space="preserve">Vale um esclarecimento prático: a Portaria 27/2022 exige, para a comissão de SINAC, "pelo menos dois servidores estáveis" (art. 74, §1º) e, para o PAD, "três servidores estáveis" (art. 76, §1º) — sem qualquer exigência normativa expressa de composição paritária de gênero. Isso significa que o "colegiado paritário" mencionado neste item 7.2 como boa prática </w:t>
      </w:r>
      <w:r>
        <w:rPr>
          <w:rFonts w:ascii="Calibri" w:hAnsi="Calibri"/>
          <w:b/>
          <w:i w:val="0"/>
          <w:sz w:val="22"/>
        </w:rPr>
        <w:t>depende de decisão deliberada da autoridade instauradora</w:t>
      </w:r>
      <w:r>
        <w:rPr>
          <w:rFonts w:ascii="Calibri" w:hAnsi="Calibri"/>
          <w:b w:val="0"/>
          <w:i w:val="0"/>
          <w:sz w:val="22"/>
        </w:rPr>
        <w:t xml:space="preserve"> ao designar os membros da comissão — não é um requisito automático do rito. Vale que a autoridade instauradora, ao designar comissões para apurar fatos de assédio sexual ou discriminação de gênero, considere essa composição já no ato de designação, e não apenas como recomendação posterior.</w:t>
      </w:r>
    </w:p>
    <w:p>
      <w:pPr>
        <w:pStyle w:val="Heading2"/>
        <w:spacing w:before="240" w:after="100"/>
        <w:pBdr>
          <w:left w:val="single" w:sz="18" w:space="6" w:color="BFA040"/>
        </w:pBdr>
      </w:pPr>
      <w:r>
        <w:rPr>
          <w:rFonts w:ascii="Arial Narrow" w:hAnsi="Arial Narrow"/>
          <w:b/>
          <w:color w:val="1E3A5F"/>
          <w:sz w:val="26"/>
        </w:rPr>
        <w:t>7.3 Acesso de terceiros aos autos</w:t>
      </w:r>
    </w:p>
    <w:p>
      <w:pPr>
        <w:spacing w:after="100" w:line="280" w:lineRule="exact"/>
        <w:jc w:val="both"/>
      </w:pPr>
      <w:r>
        <w:rPr>
          <w:rFonts w:ascii="Calibri" w:hAnsi="Calibri"/>
          <w:b w:val="0"/>
          <w:i w:val="0"/>
          <w:sz w:val="22"/>
        </w:rPr>
        <w:t>PADs em andamento têm acesso restrito para qualquer tipo de fato apurado. Para processos de assédio e discriminação, essa restrição é ainda mais relevante — a exposição dos autos antes do julgamento pode constranger a vítima, inibir testemunhas e contaminar o ambiente de trabalho.</w:t>
      </w:r>
    </w:p>
    <w:p>
      <w:pPr>
        <w:spacing w:after="100" w:line="280" w:lineRule="exact"/>
        <w:jc w:val="both"/>
      </w:pPr>
      <w:r>
        <w:rPr>
          <w:rFonts w:ascii="Calibri" w:hAnsi="Calibri"/>
          <w:b w:val="0"/>
          <w:i w:val="0"/>
          <w:sz w:val="22"/>
        </w:rPr>
        <w:t xml:space="preserve">A vítima pode precisar de </w:t>
      </w:r>
      <w:r>
        <w:rPr>
          <w:rFonts w:ascii="Calibri" w:hAnsi="Calibri"/>
          <w:b/>
          <w:i w:val="0"/>
          <w:sz w:val="22"/>
        </w:rPr>
        <w:t>acesso excepcional</w:t>
      </w:r>
      <w:r>
        <w:rPr>
          <w:rFonts w:ascii="Calibri" w:hAnsi="Calibri"/>
          <w:b w:val="0"/>
          <w:i w:val="0"/>
          <w:sz w:val="22"/>
        </w:rPr>
        <w:t xml:space="preserve"> para produzir prova em processo criminal ou trabalhista conexo. Nesse caso, o acesso deve ser pedido por advogado, com justificativa expressa da finalidade e do vínculo com o outro processo. A autoridade competente avalia a pertinência. Esse não é um pedido de LAI — não tramita pelo Fala.BR.</w:t>
      </w:r>
    </w:p>
    <w:p>
      <w:pPr>
        <w:pStyle w:val="Heading3"/>
        <w:spacing w:before="160" w:after="60"/>
      </w:pPr>
      <w:r>
        <w:rPr>
          <w:rFonts w:ascii="Calibri" w:hAnsi="Calibri"/>
          <w:b/>
          <w:color w:val="1E3A5F"/>
          <w:sz w:val="22"/>
        </w:rPr>
        <w:t>Esse acesso excepcional dialoga com o mesmo fundamento do art. 114, §1º, da Portaria</w:t>
      </w:r>
    </w:p>
    <w:p>
      <w:pPr>
        <w:spacing w:after="100" w:line="280" w:lineRule="exact"/>
        <w:jc w:val="both"/>
      </w:pPr>
      <w:r>
        <w:rPr>
          <w:rFonts w:ascii="Calibri" w:hAnsi="Calibri"/>
          <w:b w:val="0"/>
          <w:i w:val="0"/>
          <w:sz w:val="22"/>
        </w:rPr>
        <w:t>O mecanismo de acesso excepcional da vítima, descrito neste item, é estruturalmente análogo ao fundamento que garante ao investigado o acesso aos autos para exercício da ampla defesa (art. 114, §1º, da Portaria 27/2022, visto no Capítulo 6, item 6.2): em ambos os casos, a restrição geral de acesso a terceiros não pode impedir o acesso de quem precisa da informação para o exercício de um direito próprio em outro processo (defesa, no caso do investigado; produção de prova, no caso da vítima). A diferença está no rito: o investigado tem esse acesso garantido de forma direta e automática dentro do próprio processo correcional (art. 132); a vítima, por não ser formalmente parte (item 7.1, acima), precisa requerer o acesso de forma motivada, por advogado, à autoridade competente — daí a apostila corretamente destacar que esse não é um pedido de LAI.</w:t>
      </w:r>
    </w:p>
    <w:p>
      <w:pPr>
        <w:pStyle w:val="Heading2"/>
        <w:spacing w:before="240" w:after="100"/>
        <w:pBdr>
          <w:left w:val="single" w:sz="18" w:space="6" w:color="BFA040"/>
        </w:pBdr>
      </w:pPr>
      <w:r>
        <w:rPr>
          <w:rFonts w:ascii="Arial Narrow" w:hAnsi="Arial Narrow"/>
          <w:b/>
          <w:color w:val="1E3A5F"/>
          <w:sz w:val="26"/>
        </w:rPr>
        <w:t>7.4 Proteção da vítima: medidas concretas</w:t>
      </w:r>
    </w:p>
    <w:p>
      <w:pPr>
        <w:spacing w:after="60" w:line="270" w:lineRule="exact"/>
        <w:ind w:left="397"/>
        <w:jc w:val="both"/>
      </w:pPr>
      <w:r>
        <w:rPr>
          <w:rFonts w:ascii="Calibri" w:hAnsi="Calibri"/>
          <w:sz w:val="22"/>
        </w:rPr>
        <w:t xml:space="preserve">— </w:t>
      </w:r>
      <w:r>
        <w:rPr>
          <w:rFonts w:ascii="Calibri" w:hAnsi="Calibri"/>
          <w:b/>
          <w:i w:val="0"/>
          <w:sz w:val="22"/>
        </w:rPr>
        <w:t>Medidas preventivas não exigem prova constituída.</w:t>
      </w:r>
      <w:r>
        <w:rPr>
          <w:rFonts w:ascii="Calibri" w:hAnsi="Calibri"/>
          <w:b w:val="0"/>
          <w:i w:val="0"/>
          <w:sz w:val="22"/>
        </w:rPr>
        <w:t xml:space="preserve"> O afastamento do investigado do convívio com a vítima pode e deve ocorrer ainda na fase inicial da apuração, se houver risco de constrangimento, retaliação ou intimidação. Proteger a vítima não é presumir culpa do investigado — é garantir que o processo se desenvolva em ambiente seguro.</w:t>
      </w:r>
    </w:p>
    <w:p>
      <w:pPr>
        <w:spacing w:after="60" w:line="270" w:lineRule="exact"/>
        <w:ind w:left="397"/>
        <w:jc w:val="both"/>
      </w:pPr>
      <w:r>
        <w:rPr>
          <w:rFonts w:ascii="Calibri" w:hAnsi="Calibri"/>
          <w:sz w:val="22"/>
        </w:rPr>
        <w:t xml:space="preserve">— </w:t>
      </w:r>
      <w:r>
        <w:rPr>
          <w:rFonts w:ascii="Calibri" w:hAnsi="Calibri"/>
          <w:b/>
          <w:i w:val="0"/>
          <w:sz w:val="22"/>
        </w:rPr>
        <w:t>Informar a vítima</w:t>
      </w:r>
      <w:r>
        <w:rPr>
          <w:rFonts w:ascii="Calibri" w:hAnsi="Calibri"/>
          <w:b w:val="0"/>
          <w:i w:val="0"/>
          <w:sz w:val="22"/>
        </w:rPr>
        <w:t xml:space="preserve"> sobre: abertura do procedimento, afastamento cautelar do investigado, retorno do investigado ao trabalho e data de sua oitiva — para evitar encontros desnecessários que possam causar sofrimento adicional.</w:t>
      </w:r>
    </w:p>
    <w:p>
      <w:pPr>
        <w:spacing w:after="60" w:line="270" w:lineRule="exact"/>
        <w:ind w:left="397"/>
        <w:jc w:val="both"/>
      </w:pPr>
      <w:r>
        <w:rPr>
          <w:rFonts w:ascii="Calibri" w:hAnsi="Calibri"/>
          <w:sz w:val="22"/>
        </w:rPr>
        <w:t xml:space="preserve">— </w:t>
      </w:r>
      <w:r>
        <w:rPr>
          <w:rFonts w:ascii="Calibri" w:hAnsi="Calibri"/>
          <w:b/>
          <w:i w:val="0"/>
          <w:sz w:val="22"/>
        </w:rPr>
        <w:t>Não devem constar nos autos</w:t>
      </w:r>
      <w:r>
        <w:rPr>
          <w:rFonts w:ascii="Calibri" w:hAnsi="Calibri"/>
          <w:b w:val="0"/>
          <w:i w:val="0"/>
          <w:sz w:val="22"/>
        </w:rPr>
        <w:t xml:space="preserve"> os dados de contato da vítima (e-mail pessoal, telefone, endereço residencial), mesmo que ela esteja identificada pelo nome. Esses dados não são necessários para a apuração e criam risco concreto de retaliação.</w:t>
      </w:r>
    </w:p>
    <w:p>
      <w:pPr>
        <w:spacing w:after="60" w:line="270" w:lineRule="exact"/>
        <w:ind w:left="397"/>
        <w:jc w:val="both"/>
      </w:pPr>
      <w:r>
        <w:rPr>
          <w:rFonts w:ascii="Calibri" w:hAnsi="Calibri"/>
          <w:sz w:val="22"/>
        </w:rPr>
        <w:t xml:space="preserve">— </w:t>
      </w:r>
      <w:r>
        <w:rPr>
          <w:rFonts w:ascii="Calibri" w:hAnsi="Calibri"/>
          <w:b/>
          <w:i w:val="0"/>
          <w:sz w:val="22"/>
        </w:rPr>
        <w:t>Dado de saúde da vítima</w:t>
      </w:r>
      <w:r>
        <w:rPr>
          <w:rFonts w:ascii="Calibri" w:hAnsi="Calibri"/>
          <w:b w:val="0"/>
          <w:i w:val="0"/>
          <w:sz w:val="22"/>
        </w:rPr>
        <w:t xml:space="preserve"> (laudo médico, CID, histórico de afastamentos por condição emocional) não deve ser divulgado em nenhuma hipótese em pedido de LAI de terceiros — trata-se de dado pessoal sensível, sem base legal para divulgação e com alto risco de revitimização.</w:t>
      </w:r>
    </w:p>
    <w:p>
      <w:pPr>
        <w:spacing w:after="60" w:line="270" w:lineRule="exact"/>
        <w:ind w:left="397"/>
        <w:jc w:val="both"/>
      </w:pPr>
      <w:r>
        <w:rPr>
          <w:rFonts w:ascii="Calibri" w:hAnsi="Calibri"/>
          <w:sz w:val="22"/>
        </w:rPr>
        <w:t xml:space="preserve">— </w:t>
      </w:r>
      <w:r>
        <w:rPr>
          <w:rFonts w:ascii="Calibri" w:hAnsi="Calibri"/>
          <w:b w:val="0"/>
          <w:i w:val="0"/>
          <w:sz w:val="22"/>
        </w:rPr>
        <w:t xml:space="preserve">Processos de assédio concluídos: mesmo após o julgamento, o </w:t>
      </w:r>
      <w:r>
        <w:rPr>
          <w:rFonts w:ascii="Calibri" w:hAnsi="Calibri"/>
          <w:b/>
          <w:i w:val="0"/>
          <w:sz w:val="22"/>
        </w:rPr>
        <w:t>nome e a matrícula da vítima são tarjados</w:t>
      </w:r>
      <w:r>
        <w:rPr>
          <w:rFonts w:ascii="Calibri" w:hAnsi="Calibri"/>
          <w:b w:val="0"/>
          <w:i w:val="0"/>
          <w:sz w:val="22"/>
        </w:rPr>
        <w:t xml:space="preserve"> em versões fornecidas a terceiros — ao contrário dos processos comuns, em que o investigado absolvido também tem seus dados protegidos, aqui a proteção prioritária é da vítima, não do acusado.</w:t>
      </w:r>
    </w:p>
    <w:p>
      <w:pPr>
        <w:spacing w:before="100" w:after="20"/>
        <w:ind w:left="227" w:right="170"/>
        <w:jc w:val="both"/>
        <w:pBdr>
          <w:left w:val="single" w:sz="24" w:space="6" w:color="BFA040"/>
        </w:pBdr>
        <w:shd w:val="clear" w:color="auto" w:fill="FFF8E1"/>
      </w:pPr>
      <w:r>
        <w:rPr>
          <w:rFonts w:ascii="Arial Narrow" w:hAnsi="Arial Narrow"/>
          <w:b/>
          <w:color w:val="BFA040"/>
          <w:sz w:val="18"/>
        </w:rPr>
        <w:t xml:space="preserve">HUMANIZAÇÃO DO PROCESSO  </w:t>
      </w:r>
      <w:r>
        <w:rPr>
          <w:rFonts w:ascii="Calibri" w:hAnsi="Calibri"/>
          <w:b w:val="0"/>
          <w:i w:val="0"/>
          <w:sz w:val="20"/>
        </w:rPr>
        <w:t>Lembrar: uma vítima pode precisar de anos para reunir coragem de denunciar. Já se registram casos de servidoras denunciando assédio sofrido há mais de 15 anos — não para obter punição (que a prescrição impede), mas para registrar e não carregar sozinha. A forma como o processo disciplinar trata essas denúncias é, ela mesma, um ato de proteção ou de abandono.</w:t>
      </w:r>
    </w:p>
    <w:p>
      <w:pPr>
        <w:spacing w:after="60"/>
      </w:pPr>
    </w:p>
    <w:p>
      <w:pPr>
        <w:spacing w:after="80"/>
      </w:pPr>
      <w:r>
        <w:rPr>
          <w:rFonts w:ascii="Calibri" w:hAnsi="Calibri"/>
          <w:i/>
          <w:color w:val="707070"/>
          <w:sz w:val="18"/>
        </w:rPr>
        <w:t>Ver: NT nº 1869/2024/CGUNE/DICOR/CRG e NT nº 2418/2023/CGUNE/DICOR/CRG.</w:t>
      </w:r>
    </w:p>
    <w:p>
      <w:pPr>
        <w:pStyle w:val="Heading3"/>
        <w:spacing w:before="160" w:after="60"/>
      </w:pPr>
      <w:r>
        <w:rPr>
          <w:rFonts w:ascii="Calibri" w:hAnsi="Calibri"/>
          <w:b/>
          <w:color w:val="1E3A5F"/>
          <w:sz w:val="22"/>
        </w:rPr>
        <w:t>Uma ferramenta processual concreta para a oitiva por videoconferência</w:t>
      </w:r>
    </w:p>
    <w:p>
      <w:pPr>
        <w:spacing w:after="100" w:line="280" w:lineRule="exact"/>
        <w:jc w:val="both"/>
      </w:pPr>
      <w:r>
        <w:rPr>
          <w:rFonts w:ascii="Calibri" w:hAnsi="Calibri"/>
          <w:b w:val="0"/>
          <w:i w:val="0"/>
          <w:sz w:val="22"/>
        </w:rPr>
        <w:t xml:space="preserve">A apostila trata, de forma correta, da necessidade de evitar "encontros desnecessários" entre vítima e investigado. A Portaria 27/2022 já prevê um instrumento processual específico para isso, exatamente no contexto de oitivas por recurso tecnológico: o </w:t>
      </w:r>
      <w:r>
        <w:rPr>
          <w:rFonts w:ascii="Calibri" w:hAnsi="Calibri"/>
          <w:b/>
          <w:i w:val="0"/>
          <w:sz w:val="22"/>
        </w:rPr>
        <w:t>art. 107, parágrafo único</w:t>
      </w:r>
      <w:r>
        <w:rPr>
          <w:rFonts w:ascii="Calibri" w:hAnsi="Calibri"/>
          <w:b w:val="0"/>
          <w:i w:val="0"/>
          <w:sz w:val="22"/>
        </w:rPr>
        <w:t>, estabelece que, "havendo receio de que o investigado possa causar temor ou constrangimento à pessoa que será ouvida, poderá ser solicitado que ele desligue a câmera ou que o ato seja realizado sem a sua participação." Esse dispositivo é diretamente aplicável à oitiva da vítima em processos de assédio — e deveria ser considerado, de ofício, pela comissão sempre que houver risco de constrangimento na própria audiência, e não apenas nos encontros informais mencionados na apostila (retorno ao trabalho, cruzamento de horários etc.).</w:t>
      </w:r>
    </w:p>
    <w:p>
      <w:pPr>
        <w:pStyle w:val="Heading3"/>
        <w:spacing w:before="160" w:after="60"/>
      </w:pPr>
      <w:r>
        <w:rPr>
          <w:rFonts w:ascii="Calibri" w:hAnsi="Calibri"/>
          <w:b/>
          <w:color w:val="1E3A5F"/>
          <w:sz w:val="22"/>
        </w:rPr>
        <w:t>Atenção à publicação do afastamento preventivo em casos de assédio</w:t>
      </w:r>
    </w:p>
    <w:p>
      <w:pPr>
        <w:spacing w:after="100" w:line="280" w:lineRule="exact"/>
        <w:jc w:val="both"/>
      </w:pPr>
      <w:r>
        <w:rPr>
          <w:rFonts w:ascii="Calibri" w:hAnsi="Calibri"/>
          <w:b w:val="0"/>
          <w:i w:val="0"/>
          <w:sz w:val="22"/>
        </w:rPr>
        <w:t xml:space="preserve">O Capítulo 5 desta apostila (item 5.3) registra que o afastamento preventivo é divulgável por meio de portaria "com nome, matrícula e nº do parecer" — regra geral válida também para PADs de assédio (é o investigado quem está sendo afastado, e seu nome já está sujeito a esse regime). Mas vale um cuidado adicional nesse cenário específico: em ambientes de trabalho pequenos ou setores com poucos servidores, a publicação de uma portaria de afastamento preventivo, combinada com informação de contexto já de conhecimento público no setor (por exemplo, "única subordinada direta"), pode acabar </w:t>
      </w:r>
      <w:r>
        <w:rPr>
          <w:rFonts w:ascii="Calibri" w:hAnsi="Calibri"/>
          <w:b/>
          <w:i w:val="0"/>
          <w:sz w:val="22"/>
        </w:rPr>
        <w:t>indiretamente identificando a vítima</w:t>
      </w:r>
      <w:r>
        <w:rPr>
          <w:rFonts w:ascii="Calibri" w:hAnsi="Calibri"/>
          <w:b w:val="0"/>
          <w:i w:val="0"/>
          <w:sz w:val="22"/>
        </w:rPr>
        <w:t>, ainda que o nome dela nunca apareça no documento. Esse é exatamente o tipo de identificação indireta tratado no Capítulo 1 (item 1.3) e no checklist do Capítulo 6 (item 6.4) — "tarjar apenas o nome raramente é suficiente". A cautela aqui não está no texto do documento, mas no contexto institucional em que ele circula — algo que nenhuma regra textual de tarjamento resolve por si só, e que exige bom senso e conhecimento do ambiente de trabalho concreto por parte de quem decide a publicação.</w:t>
      </w:r>
    </w:p>
    <w:p>
      <w:pPr>
        <w:spacing w:before="120" w:after="120"/>
        <w:pBdr>
          <w:bottom w:val="single" w:sz="4" w:space="1" w:color="BFA040"/>
        </w:pBdr>
      </w:pPr>
    </w:p>
    <w:p>
      <w:r>
        <w:br w:type="page"/>
      </w:r>
    </w:p>
    <w:p>
      <w:pPr>
        <w:spacing w:before="80" w:after="0"/>
      </w:pPr>
      <w:r>
        <w:rPr>
          <w:rFonts w:ascii="Arial Narrow" w:hAnsi="Arial Narrow"/>
          <w:b/>
          <w:color w:val="BFA040"/>
          <w:sz w:val="18"/>
        </w:rPr>
        <w:t>CAPÍTULO ?</w:t>
      </w:r>
    </w:p>
    <w:p>
      <w:pPr>
        <w:pStyle w:val="Heading1"/>
        <w:spacing w:before="40" w:after="240"/>
      </w:pPr>
      <w:r>
        <w:rPr>
          <w:rFonts w:ascii="Arial Narrow" w:hAnsi="Arial Narrow"/>
          <w:b/>
          <w:color w:val="1E3A5F"/>
          <w:sz w:val="40"/>
        </w:rPr>
        <w:t>EXERCÍCIOS PRÁTICOS COM GABARITO COMENTADO</w:t>
      </w:r>
    </w:p>
    <w:p>
      <w:pPr>
        <w:spacing w:before="0" w:after="200"/>
        <w:pBdr>
          <w:bottom w:val="single" w:sz="8" w:space="1" w:color="BFA040"/>
        </w:pBdr>
      </w:pPr>
    </w:p>
    <w:p>
      <w:pPr>
        <w:spacing w:before="120" w:after="200"/>
      </w:pPr>
      <w:r>
        <w:rPr>
          <w:rFonts w:ascii="Arial Narrow" w:hAnsi="Arial Narrow"/>
          <w:b/>
          <w:color w:val="1E3A5F"/>
          <w:sz w:val="44"/>
        </w:rPr>
        <w:t>EXERCÍCIOS PRÁTICOS</w:t>
      </w:r>
    </w:p>
    <w:p>
      <w:pPr>
        <w:pStyle w:val="Heading3"/>
        <w:spacing w:before="160" w:after="60"/>
      </w:pPr>
      <w:r>
        <w:rPr>
          <w:rFonts w:ascii="Calibri" w:hAnsi="Calibri"/>
          <w:b/>
          <w:color w:val="1E3A5F"/>
          <w:sz w:val="22"/>
        </w:rPr>
        <w:t>Exercício 1 — Nota Técnica de Arquivamento de IP (Caso Renata Moura)</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CASO  </w:t>
      </w:r>
      <w:r>
        <w:rPr>
          <w:rFonts w:ascii="Calibri" w:hAnsi="Calibri"/>
          <w:b w:val="0"/>
          <w:i w:val="0"/>
          <w:sz w:val="20"/>
        </w:rPr>
        <w:t>Em 15/03/2025, a Auditora-Fiscal Renata Moura (Delegacia de Bom Despacho/MG) foi objeto de investigação preliminar (IP) por suposto favorecimento irregular de empresa em fiscalização. A IP foi concluída em 30/06/2025 com arquivamento por ausência de indícios.</w:t>
      </w:r>
    </w:p>
    <w:p>
      <w:pPr>
        <w:spacing w:after="60"/>
      </w:pPr>
    </w:p>
    <w:p>
      <w:pPr>
        <w:spacing w:after="100" w:line="280" w:lineRule="exact"/>
        <w:jc w:val="both"/>
      </w:pPr>
      <w:r>
        <w:rPr>
          <w:rFonts w:ascii="Calibri" w:hAnsi="Calibri"/>
          <w:b w:val="0"/>
          <w:i w:val="0"/>
          <w:sz w:val="22"/>
        </w:rPr>
        <w:t>Em 10/07/2025, o cidadão Paulo Henrique Borges solicitou via Fala.BR cópia da "decisão que arquivou a denúncia contra a servidora Renata Moura".</w:t>
      </w:r>
    </w:p>
    <w:p>
      <w:pPr>
        <w:spacing w:after="100" w:line="280" w:lineRule="exact"/>
        <w:jc w:val="both"/>
      </w:pPr>
      <w:r>
        <w:rPr>
          <w:rFonts w:ascii="Calibri" w:hAnsi="Calibri"/>
          <w:b w:val="0"/>
          <w:i w:val="0"/>
          <w:sz w:val="22"/>
        </w:rPr>
        <w:t>A NT Conclusiva nº 42/2025/CGCOR contém: nome, cargo, SIAPE e CPF da investigada; nome e CNPJ da empresa; nome e CPF do sócio; identidade do denunciante (preservada); CID F41.1 (ansiedade generalizada) como justificativa para o álibi; dados bancários (ausência de movimentação atípica); conteúdo de oitiva de servidor (sem identificação); conclusão pelo arquivamento.</w:t>
      </w:r>
    </w:p>
    <w:p>
      <w:pPr>
        <w:pStyle w:val="Heading3"/>
        <w:spacing w:before="160" w:after="60"/>
      </w:pPr>
      <w:r>
        <w:rPr>
          <w:rFonts w:ascii="Calibri" w:hAnsi="Calibri"/>
          <w:b/>
          <w:color w:val="1E3A5F"/>
          <w:sz w:val="22"/>
        </w:rPr>
        <w:t>Gabarito comentado</w:t>
      </w:r>
    </w:p>
    <w:tbl>
      <w:tblPr>
        <w:tblStyle w:val="TableGrid"/>
        <w:tblW w:type="auto" w:w="0"/>
        <w:tblLook w:firstColumn="1" w:firstRow="1" w:lastColumn="0" w:lastRow="0" w:noHBand="0" w:noVBand="1" w:val="04A0"/>
      </w:tblPr>
      <w:tblGrid>
        <w:gridCol w:w="2268"/>
        <w:gridCol w:w="2268"/>
        <w:gridCol w:w="2268"/>
        <w:gridCol w:w="2268"/>
      </w:tblGrid>
      <w:tr>
        <w:tc>
          <w:tcPr>
            <w:tcW w:type="dxa" w:w="45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Informação</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Decisão</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Fundamento</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completo da investigada</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Tarjar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NT 2418/2023: em arquivamentos de IP, não se divulga nome; usa-se número do processo e CPF descaracterizado.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Cargo e lotação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Informação de exercício de função pública; não há risco de dano à honra no contexto de arquivamento sem sanção.</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SIAPE</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Tarjar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Mesmo critério do nome — NT 2418/2023.</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4</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CPF completo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Descaracterizar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 xml:space="preserve">CPF integral gera risco de fraude. Formato: </w:t>
            </w:r>
            <w:r>
              <w:rPr>
                <w:rFonts w:ascii="Calibri" w:hAnsi="Calibri"/>
                <w:b/>
                <w:i w:val="0"/>
                <w:sz w:val="19"/>
              </w:rPr>
              <w:t>.456.789-</w:t>
            </w:r>
            <w:r>
              <w:rPr>
                <w:rFonts w:ascii="Calibri" w:hAnsi="Calibri"/>
                <w:b w:val="0"/>
                <w:i w:val="0"/>
                <w:sz w:val="19"/>
              </w:rPr>
              <w:t>.</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5</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e CNPJ da empresa</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Pessoa jurídica não é titular de dados pessoais pela LGPD; CNPJ é dado público.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e CPF do sócio (Rodrigo)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Tarjar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Terceiro não parte; art. 31, §1º, LAI protege dados pessoais de terceiros.</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7</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Identidade do denunciante</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Não 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Decreto nº 10.153/2019 — proteção independente de consentimento.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8</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CID e diagnóstico (F41.1)</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Tarjar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de saúde (art. 31 LAI); a informação relevante — que ela estava de licença — pode ser mantida sem o diagnóstico.</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9</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bancários</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Tarjar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privado; sigilo bancário (LC 105/2001). Manter a conclusão: ausência de movimentação atípica.</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10</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Conteúdo do depoimento sem identificação do depoente</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Relevante para compreensão do arquivamento; sem identificação, não há exposição de terceiro.</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11</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Conclusão pelo arquivamento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Elemento central do documento; direto interesse público.</w:t>
            </w:r>
          </w:p>
        </w:tc>
      </w:tr>
    </w:tbl>
    <w:p>
      <w:pPr>
        <w:spacing w:after="80"/>
      </w:pPr>
    </w:p>
    <w:p>
      <w:pPr>
        <w:spacing w:after="100" w:line="280" w:lineRule="exact"/>
        <w:jc w:val="both"/>
      </w:pPr>
      <w:r>
        <w:rPr>
          <w:rFonts w:ascii="Calibri" w:hAnsi="Calibri"/>
          <w:b w:val="0"/>
          <w:i w:val="0"/>
          <w:sz w:val="22"/>
        </w:rPr>
        <w:t xml:space="preserve">Um ponto de classificação a observar com a nomenclatura vigente: o caso descreve uma apuração preparatória sobre a conduta de uma </w:t>
      </w:r>
      <w:r>
        <w:rPr>
          <w:rFonts w:ascii="Calibri" w:hAnsi="Calibri"/>
          <w:b/>
          <w:i w:val="0"/>
          <w:sz w:val="22"/>
        </w:rPr>
        <w:t>servidora</w:t>
      </w:r>
      <w:r>
        <w:rPr>
          <w:rFonts w:ascii="Calibri" w:hAnsi="Calibri"/>
          <w:b w:val="0"/>
          <w:i w:val="0"/>
          <w:sz w:val="22"/>
        </w:rPr>
        <w:t xml:space="preserve"> (não de pessoa jurídica). Nos termos exatos da Portaria 27/2022, a sigla "IP" está reservada à Investigação Preliminar da </w:t>
      </w:r>
      <w:r>
        <w:rPr>
          <w:rFonts w:ascii="Calibri" w:hAnsi="Calibri"/>
          <w:b/>
          <w:i w:val="0"/>
          <w:sz w:val="22"/>
        </w:rPr>
        <w:t>Lei nº 12.846/2013</w:t>
      </w:r>
      <w:r>
        <w:rPr>
          <w:rFonts w:ascii="Calibri" w:hAnsi="Calibri"/>
          <w:b w:val="0"/>
          <w:i w:val="0"/>
          <w:sz w:val="22"/>
        </w:rPr>
        <w:t xml:space="preserve">, destinada a apurar ato lesivo de </w:t>
      </w:r>
      <w:r>
        <w:rPr>
          <w:rFonts w:ascii="Calibri" w:hAnsi="Calibri"/>
          <w:b/>
          <w:i w:val="0"/>
          <w:sz w:val="22"/>
        </w:rPr>
        <w:t>pessoa jurídica</w:t>
      </w:r>
      <w:r>
        <w:rPr>
          <w:rFonts w:ascii="Calibri" w:hAnsi="Calibri"/>
          <w:b w:val="0"/>
          <w:i w:val="0"/>
          <w:sz w:val="22"/>
        </w:rPr>
        <w:t xml:space="preserve"> (art. 57) — o instrumento correspondente para apurar a conduta funcional de uma servidora, com a mesma lógica preparatória, não contraditória e de acesso restrito, seria hoje a </w:t>
      </w:r>
      <w:r>
        <w:rPr>
          <w:rFonts w:ascii="Calibri" w:hAnsi="Calibri"/>
          <w:b/>
          <w:i w:val="0"/>
          <w:sz w:val="22"/>
        </w:rPr>
        <w:t>IPS</w:t>
      </w:r>
      <w:r>
        <w:rPr>
          <w:rFonts w:ascii="Calibri" w:hAnsi="Calibri"/>
          <w:b w:val="0"/>
          <w:i w:val="0"/>
          <w:sz w:val="22"/>
        </w:rPr>
        <w:t xml:space="preserve"> (Investigação Preliminar Sumária, arts. 40 a 45) ou, dependendo da complexidade, a </w:t>
      </w:r>
      <w:r>
        <w:rPr>
          <w:rFonts w:ascii="Calibri" w:hAnsi="Calibri"/>
          <w:b/>
          <w:i w:val="0"/>
          <w:sz w:val="22"/>
        </w:rPr>
        <w:t>SINVE</w:t>
      </w:r>
      <w:r>
        <w:rPr>
          <w:rFonts w:ascii="Calibri" w:hAnsi="Calibri"/>
          <w:b w:val="0"/>
          <w:i w:val="0"/>
          <w:sz w:val="22"/>
        </w:rPr>
        <w:t xml:space="preserve"> (Sindicância Investigativa, arts. 46 a 49). O gabarito do exercício permanece correto em todos os seus fundamentos — a observação é apenas sobre o nome técnico do instrumento a ser usado ao redigir a peça na prática atual (ver Capítulo 5, item 5.0, "Nota terminológica").</w:t>
      </w:r>
    </w:p>
    <w:p>
      <w:pPr>
        <w:pStyle w:val="Heading3"/>
        <w:spacing w:before="160" w:after="60"/>
      </w:pPr>
      <w:r>
        <w:rPr>
          <w:rFonts w:ascii="Calibri" w:hAnsi="Calibri"/>
          <w:b/>
          <w:color w:val="1E3A5F"/>
          <w:sz w:val="22"/>
        </w:rPr>
        <w:t>Exercício 2 — PAD de Assédio Moral (Caso Carlos Eduardo Figueiredo)</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CASO  </w:t>
      </w:r>
      <w:r>
        <w:rPr>
          <w:rFonts w:ascii="Calibri" w:hAnsi="Calibri"/>
          <w:b w:val="0"/>
          <w:i w:val="0"/>
          <w:sz w:val="20"/>
        </w:rPr>
        <w:t>O PAD nº 10920.000087/2024-33 foi instaurado em 15/02/2024 para apurar assédio moral praticado por Carlos Eduardo Figueiredo, Auditor-Fiscal, em face de servidora subordinada.</w:t>
      </w:r>
    </w:p>
    <w:p>
      <w:pPr>
        <w:spacing w:after="60"/>
      </w:pPr>
    </w:p>
    <w:p>
      <w:pPr>
        <w:spacing w:after="100" w:line="280" w:lineRule="exact"/>
        <w:jc w:val="both"/>
      </w:pPr>
      <w:r>
        <w:rPr>
          <w:rFonts w:ascii="Calibri" w:hAnsi="Calibri"/>
          <w:b w:val="0"/>
          <w:i w:val="0"/>
          <w:sz w:val="22"/>
        </w:rPr>
        <w:t>Julgado em 20/01/2025 com aplicação de suspensão de 30 dias. Sem recurso pendente.</w:t>
      </w:r>
    </w:p>
    <w:p>
      <w:pPr>
        <w:spacing w:after="100" w:line="280" w:lineRule="exact"/>
        <w:jc w:val="both"/>
      </w:pPr>
      <w:r>
        <w:rPr>
          <w:rFonts w:ascii="Calibri" w:hAnsi="Calibri"/>
          <w:b w:val="0"/>
          <w:i w:val="0"/>
          <w:sz w:val="22"/>
        </w:rPr>
        <w:t>Em 28/01/2025, Fernanda Lopes (repórter do portal Fisco Transparente) solicitou por e-mail diretamente à Corregedoria a íntegra do processo.</w:t>
      </w:r>
    </w:p>
    <w:p>
      <w:pPr>
        <w:pStyle w:val="Heading3"/>
        <w:spacing w:before="160" w:after="60"/>
      </w:pPr>
      <w:r>
        <w:rPr>
          <w:rFonts w:ascii="Calibri" w:hAnsi="Calibri"/>
          <w:b/>
          <w:color w:val="1E3A5F"/>
          <w:sz w:val="22"/>
        </w:rPr>
        <w:t>Questões preliminares</w:t>
      </w:r>
    </w:p>
    <w:p>
      <w:pPr>
        <w:spacing w:after="60" w:line="270" w:lineRule="exact"/>
        <w:ind w:left="397"/>
        <w:jc w:val="both"/>
      </w:pPr>
      <w:r>
        <w:rPr>
          <w:rFonts w:ascii="Calibri" w:hAnsi="Calibri"/>
          <w:sz w:val="22"/>
        </w:rPr>
        <w:t xml:space="preserve">— </w:t>
      </w:r>
      <w:r>
        <w:rPr>
          <w:rFonts w:ascii="Calibri" w:hAnsi="Calibri"/>
          <w:b/>
          <w:i w:val="0"/>
          <w:sz w:val="22"/>
        </w:rPr>
        <w:t>Situação jurídica do processo:</w:t>
      </w:r>
      <w:r>
        <w:rPr>
          <w:rFonts w:ascii="Calibri" w:hAnsi="Calibri"/>
          <w:b w:val="0"/>
          <w:i w:val="0"/>
          <w:sz w:val="22"/>
        </w:rPr>
        <w:t xml:space="preserve"> Com o julgamento (20/01/2025), o processo passou automaticamente de reservado a público (NT 2418/2023, alíneas e e f). O pedido é em 28/01/2025, portanto o processo já é público.</w:t>
      </w:r>
    </w:p>
    <w:p>
      <w:pPr>
        <w:spacing w:after="60" w:line="270" w:lineRule="exact"/>
        <w:ind w:left="397"/>
        <w:jc w:val="both"/>
      </w:pPr>
      <w:r>
        <w:rPr>
          <w:rFonts w:ascii="Calibri" w:hAnsi="Calibri"/>
          <w:sz w:val="22"/>
        </w:rPr>
        <w:t xml:space="preserve">— </w:t>
      </w:r>
      <w:r>
        <w:rPr>
          <w:rFonts w:ascii="Calibri" w:hAnsi="Calibri"/>
          <w:b/>
          <w:i w:val="0"/>
          <w:sz w:val="22"/>
        </w:rPr>
        <w:t>Canal utilizado pela jornalista:</w:t>
      </w:r>
      <w:r>
        <w:rPr>
          <w:rFonts w:ascii="Calibri" w:hAnsi="Calibri"/>
          <w:b w:val="0"/>
          <w:i w:val="0"/>
          <w:sz w:val="22"/>
        </w:rPr>
        <w:t xml:space="preserve"> O pedido deve ser feito via Fala.BR — e-mail diretamente à Corregedoria não é o canal adequado. Orientar a requerente a utilizar a plataforma oficial.</w:t>
      </w:r>
    </w:p>
    <w:p>
      <w:pPr>
        <w:pStyle w:val="Heading3"/>
        <w:spacing w:before="160" w:after="60"/>
      </w:pPr>
      <w:r>
        <w:rPr>
          <w:rFonts w:ascii="Calibri" w:hAnsi="Calibri"/>
          <w:b/>
          <w:color w:val="1E3A5F"/>
          <w:sz w:val="22"/>
        </w:rPr>
        <w:t>Gabarito comentado — documento a documento</w:t>
      </w:r>
    </w:p>
    <w:tbl>
      <w:tblPr>
        <w:tblStyle w:val="TableGrid"/>
        <w:tblW w:type="auto" w:w="0"/>
        <w:tblLook w:firstColumn="1" w:firstRow="1" w:lastColumn="0" w:lastRow="0" w:noHBand="0" w:noVBand="1" w:val="04A0"/>
      </w:tblPr>
      <w:tblGrid>
        <w:gridCol w:w="2268"/>
        <w:gridCol w:w="2268"/>
        <w:gridCol w:w="2268"/>
        <w:gridCol w:w="2268"/>
      </w:tblGrid>
      <w:tr>
        <w:tc>
          <w:tcPr>
            <w:tcW w:type="dxa" w:w="45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Documento</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Decisão</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O que tarjar</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Portaria de instauração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Fornecer como está</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Já é pública; não contém nome do investigado.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Portaria de prorrogação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Fornecer (verificar tarjamentos)</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Tarjar eventuais dados pessoais de terceiros inseridos.</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Depoimento da vítima (Ana Cristina)</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Fornecer com tarjamento extenso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Tarjar: nome, SIAPE e contatos da vítima; menção à gravidez; problema de saúde confidenciado. Manter: condutas do investigado, fatos relatados (identificando como "servidora subordinada").</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4</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Depoimento da testemunha (Bruno Lima)</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Fornecer com tarjamento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Tarjar nome e SIAPE (risco de retaliação, especialmente crítico em assédio). Manter conteúdo relevante.</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5</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Depoimento do acusado (Carlos Eduardo)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Fornecer com tarjamento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Manter nome e SIAPE do acusado (servidor sancionado — interesse coletivo). Tarjar menções a dados pessoais de terceiros.</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Relatório final</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Fornecer com tarjamento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Obrigatório na versão resumida (NT 2418). Tarjar identificadores da vítima e testemunhas; dados privados mencionados. Manter: cargo do acusado, condutas apuradas, conclusão.</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7</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Parecer jurídico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Fornecer com tarjamento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Obrigatório na versão resumida. Mesmos tarjamentos do relatório. Manter análise jurídica e conclusão.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8</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Portaria de sanção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Fornecer como está</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Já é pública (BIS). Nome e matrícula do sancionado são informação de interesse coletivo (NT 2418, alínea b).</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9</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Laudo médico da vítima</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 privado (saúde, dado sensível LGPD); sem base legal para divulgação a terceiros; risco de revitimização.</w:t>
            </w:r>
          </w:p>
        </w:tc>
      </w:tr>
    </w:tbl>
    <w:p>
      <w:pPr>
        <w:spacing w:after="80"/>
      </w:pPr>
    </w:p>
    <w:p>
      <w:pPr>
        <w:spacing w:after="100" w:line="280" w:lineRule="exact"/>
        <w:jc w:val="both"/>
      </w:pPr>
      <w:r>
        <w:rPr>
          <w:rFonts w:ascii="Calibri" w:hAnsi="Calibri"/>
          <w:b w:val="0"/>
          <w:i w:val="0"/>
          <w:sz w:val="22"/>
        </w:rPr>
        <w:t>Esse caso é uma boa ilustração prática de dois pontos do Capítulo 7 desta apostila: (i) se, durante a instrução, a oitiva de Ana Cristina tivesse sido realizada por videoconferência com a participação de Carlos Eduardo, a comissão poderia ter aplicado o art. 107, parágrafo único, da Portaria 27/2022, solicitando que ele desligasse a câmera ou conduzindo o ato sem sua participação, dado o risco de constrangimento (Cap. 7, item 7.4); (ii) o fato de o pedido da jornalista ter sido feito antes pelo canal errado (e-mail direto) e corrigido para o Fala.BR é também uma boa oportunidade para reforçar, na prática, a diferença entre o acesso do próprio investigado aos autos (automático, art. 132 da Portaria) e o acesso de terceiros (sempre via rito de LAI) — distinção tratada no Capítulo 4, item 4.2, desta apostila.</w:t>
      </w:r>
    </w:p>
    <w:p>
      <w:pPr>
        <w:spacing w:before="120" w:after="120"/>
        <w:pBdr>
          <w:bottom w:val="single" w:sz="4" w:space="1" w:color="BFA040"/>
        </w:pBdr>
      </w:pPr>
    </w:p>
    <w:p>
      <w:pPr>
        <w:pStyle w:val="Heading3"/>
        <w:spacing w:before="160" w:after="60"/>
      </w:pPr>
      <w:r>
        <w:rPr>
          <w:rFonts w:ascii="Calibri" w:hAnsi="Calibri"/>
          <w:b/>
          <w:color w:val="1E3A5F"/>
          <w:sz w:val="22"/>
        </w:rPr>
        <w:t>Exercício 3 — Processo Administrativo Disciplinar com sanção expulsiva, decorrente de SINPA (Caso Marcos Vinícius Andrade Tavares)</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CASO  </w:t>
      </w:r>
      <w:r>
        <w:rPr>
          <w:rFonts w:ascii="Calibri" w:hAnsi="Calibri"/>
          <w:b w:val="0"/>
          <w:i w:val="0"/>
          <w:sz w:val="20"/>
        </w:rPr>
        <w:t>Em 12/02/2024, foi instaurada Sindicância Patrimonial (SINPA) para apurar evolução patrimonial incompatível do Auditor-Fiscal Marcos Vinícius Andrade Tavares (Delegacia da Receita Federal em Uberlândia/MG), após cruzamento de dados identificar acréscimo patrimonial de R$ 850.000,00 em 18 meses, incompatível com a remuneração declarada.</w:t>
      </w:r>
    </w:p>
    <w:p>
      <w:pPr>
        <w:spacing w:after="60"/>
      </w:pPr>
    </w:p>
    <w:p>
      <w:pPr>
        <w:spacing w:after="100" w:line="280" w:lineRule="exact"/>
        <w:jc w:val="both"/>
      </w:pPr>
      <w:r>
        <w:rPr>
          <w:rFonts w:ascii="Calibri" w:hAnsi="Calibri"/>
          <w:b w:val="0"/>
          <w:i w:val="0"/>
          <w:sz w:val="22"/>
        </w:rPr>
        <w:t>A SINPA, concluída em 25/04/2024, confirmou indícios de enriquecimento ilícito vinculados a pagamentos recebidos da empresa fiscalizada Construtora Horizonte Ltda., em troca de favorecimento em autuações fiscais. Nos termos do art. 56 da Portaria 27/2022, o fato foi imediatamente comunicado ao Ministério Público Federal, ao Tribunal de Contas da União, à CGU, ao COAF e à Advocacia-Geral da União. A partir dessa comunicação, a Polícia Federal instaurou inquérito próprio, hoje em curso sob segredo de justiça.</w:t>
      </w:r>
    </w:p>
    <w:p>
      <w:pPr>
        <w:spacing w:after="100" w:line="280" w:lineRule="exact"/>
        <w:jc w:val="both"/>
      </w:pPr>
      <w:r>
        <w:rPr>
          <w:rFonts w:ascii="Calibri" w:hAnsi="Calibri"/>
          <w:b w:val="0"/>
          <w:i w:val="0"/>
          <w:sz w:val="22"/>
        </w:rPr>
        <w:t xml:space="preserve">Instaurado o PAD (processo nº 10920.000231/2024-87) em 10/05/2024. A comissão concluiu pela existência de autoria e materialidade; o servidor foi indiciado por corrupção passiva e por violação ao art. 117, IX, da Lei nº 8.112/1990 (receber propina). Julgamento em 20/02/2025: aplicada a penalidade de </w:t>
      </w:r>
      <w:r>
        <w:rPr>
          <w:rFonts w:ascii="Calibri" w:hAnsi="Calibri"/>
          <w:b/>
          <w:i w:val="0"/>
          <w:sz w:val="22"/>
        </w:rPr>
        <w:t>demissão</w:t>
      </w:r>
      <w:r>
        <w:rPr>
          <w:rFonts w:ascii="Calibri" w:hAnsi="Calibri"/>
          <w:b w:val="0"/>
          <w:i w:val="0"/>
          <w:sz w:val="22"/>
        </w:rPr>
        <w:t>, já publicada no DOU.</w:t>
      </w:r>
    </w:p>
    <w:p>
      <w:pPr>
        <w:spacing w:after="100" w:line="280" w:lineRule="exact"/>
        <w:jc w:val="both"/>
      </w:pPr>
      <w:r>
        <w:rPr>
          <w:rFonts w:ascii="Calibri" w:hAnsi="Calibri"/>
          <w:b w:val="0"/>
          <w:i w:val="0"/>
          <w:sz w:val="22"/>
        </w:rPr>
        <w:t>Em 05/03/2025, o jornalista Ricardo Lemos, do portal "Fisco em Foco", solicitou via Fala.BR a íntegra do PAD, "incluindo todos os documentos da apuração patrimonial que originou o processo".</w:t>
      </w:r>
    </w:p>
    <w:p>
      <w:pPr>
        <w:spacing w:after="100" w:line="280" w:lineRule="exact"/>
        <w:jc w:val="both"/>
      </w:pPr>
      <w:r>
        <w:rPr>
          <w:rFonts w:ascii="Calibri" w:hAnsi="Calibri"/>
          <w:b w:val="0"/>
          <w:i w:val="0"/>
          <w:sz w:val="22"/>
        </w:rPr>
        <w:t>O processo contém: nome, cargo, SIAPE e CPF do servidor; nome e CNPJ da Construtora Horizonte Ltda.; nome do sócio-administrador da construtora; extratos bancários e fiscais detalhados do servidor (números de conta, valores e datas de movimentações); ofícios de comunicação ao MPF e ao COAF; cópia do inquérito policial em segredo de justiça; termo de indiciação; relatório final da comissão; parecer jurídico; e a portaria de demissão já publicada.</w:t>
      </w:r>
    </w:p>
    <w:p>
      <w:pPr>
        <w:pStyle w:val="Heading3"/>
        <w:spacing w:before="160" w:after="60"/>
      </w:pPr>
      <w:r>
        <w:rPr>
          <w:rFonts w:ascii="Calibri" w:hAnsi="Calibri"/>
          <w:b/>
          <w:color w:val="1E3A5F"/>
          <w:sz w:val="22"/>
        </w:rPr>
        <w:t>Gabarito comentado</w:t>
      </w:r>
    </w:p>
    <w:tbl>
      <w:tblPr>
        <w:tblStyle w:val="TableGrid"/>
        <w:tblW w:type="auto" w:w="0"/>
        <w:tblLook w:firstColumn="1" w:firstRow="1" w:lastColumn="0" w:lastRow="0" w:noHBand="0" w:noVBand="1" w:val="04A0"/>
      </w:tblPr>
      <w:tblGrid>
        <w:gridCol w:w="2268"/>
        <w:gridCol w:w="2268"/>
        <w:gridCol w:w="2268"/>
        <w:gridCol w:w="2268"/>
      </w:tblGrid>
      <w:tr>
        <w:tc>
          <w:tcPr>
            <w:tcW w:type="dxa" w:w="45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Informação/documento</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Decisão</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Fundamento</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cargo e SIAPE do servidor (PAD julgado com sanção)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Sanção expulsiva = informação de interesse coletivo (NT 2418/2023, alínea b; Capítulo 5, item 5.5)</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CPF do servidor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Descaracterizar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Regra geral do Capítulo 6, item 6.6 (seis dígitos centrais)</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Extratos bancários e fiscais detalhados (contas, valores, datas)</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Não fornecer o detalhe bruto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Sigilo bancário (LC 105/2001) e fiscal (art. 198 CTN); art. 114, II, da Portaria 27/2022. Fornecer apenas a conclusão da SINPA ("evolução patrimonial incompatível de R$ 850.000,00 em 18 meses"), aplicando a técnica do Capítulo 6, item 6.4 ("documentos derivados de provas sigilosas: incluir apenas o que é essencial para compreender o fato apurado")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4</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e CNPJ da Construtora Horizonte Ltda.</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Pessoa jurídica não é titular de dados pessoais; CNPJ é dado público (mesmo critério do Exercício 1)</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5</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Nome do sócio-administrador da construtora</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Tarjar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Terceiro pessoa física não investigado no PAD; dado pessoal protegido pelo art. 31, §1º, LAI</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Ofícios de comunicação ao MPF e ao COAF</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Não fornecer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Embora produzidos pela Corregedoria, deram início a apurações de outros órgãos; aplica-se por analogia a regra do PAR (Capítulo 5, item 5.7): documentos que tramitam ou geram tramitação em órgão externo não são fornecidos pela própria unidade de origem</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7</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Cópia do inquérito policial sob segredo de justiça</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Não 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Art. 114, III, da Portaria 27/2022 — sigilo decorre do regime processual penal, não da LAI, e sobrevive independentemente da conclusão do PAD (Capítulo 6, item 6.4, complemento)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8</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Termo de indiciação, relatório final e parecer jurídico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 com tarjamento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Documentos obrigatórios da versão resumida (Capítulo 5, item 5.5); tarjar dados pessoais de terceiros não investigados (sócio-administrador, eventuais outros servidores citados)</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9</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Portaria de demissão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 como está</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Já publicada no DOU — sanção expulsiva (Capítulo 5, item 5.5)</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10</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Pedido amplo de "todos os documentos da apuração patrimonial"</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Atender parcialmente, com tarjamento e explicação ao requerente</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Pedido específico e legítimo, não genérico nem desproporcional (Decreto nº 7.724/2012, art. 13) — mas seu atendimento integral encontra limite legítimo nos itens 3, 6 e 7; a resposta deve explicar ao requerente, de forma transparente, o fundamento da restrição parcial (vedado o uso do argumento "informações pessoais" de forma genérica e abstrata — Enunciado CGU nº 12/2023, Capítulo 4)</w:t>
            </w:r>
          </w:p>
        </w:tc>
      </w:tr>
    </w:tbl>
    <w:p>
      <w:pPr>
        <w:spacing w:after="80"/>
      </w:pPr>
    </w:p>
    <w:p>
      <w:pPr>
        <w:pStyle w:val="Heading3"/>
        <w:spacing w:before="160" w:after="60"/>
      </w:pPr>
      <w:r>
        <w:rPr>
          <w:rFonts w:ascii="Calibri" w:hAnsi="Calibri"/>
          <w:b/>
          <w:color w:val="1E3A5F"/>
          <w:sz w:val="22"/>
        </w:rPr>
        <w:t>Exercício 4 — Processo Administrativo de Responsabilização de pessoa jurídica (Caso Construtora Aurora Engenharia S.A.)</w:t>
      </w: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CASO  </w:t>
      </w:r>
      <w:r>
        <w:rPr>
          <w:rFonts w:ascii="Calibri" w:hAnsi="Calibri"/>
          <w:b w:val="0"/>
          <w:i w:val="0"/>
          <w:sz w:val="20"/>
        </w:rPr>
        <w:t>Em razão de irregularidades identificadas no Pregão Eletrônico nº 045/2023 conduzido pela Receita Federal, foi instaurado Processo Administrativo de Responsabilização (PAR) em 14/08/2023 contra a empresa Construtora Aurora Engenharia S.A., por suposta fraude em licitação (apresentação de documentação falsa de regularidade fiscal), caracterizando ato lesivo nos termos do art. 5º, IV, "a", da Lei nº 12.846/2013, em conjunto com infrações da Lei nº 14.133/2021.</w:t>
      </w:r>
    </w:p>
    <w:p>
      <w:pPr>
        <w:spacing w:after="60"/>
      </w:pPr>
    </w:p>
    <w:p>
      <w:pPr>
        <w:spacing w:after="100" w:line="280" w:lineRule="exact"/>
        <w:jc w:val="both"/>
      </w:pPr>
      <w:r>
        <w:rPr>
          <w:rFonts w:ascii="Calibri" w:hAnsi="Calibri"/>
          <w:b w:val="0"/>
          <w:i w:val="0"/>
          <w:sz w:val="22"/>
        </w:rPr>
        <w:t xml:space="preserve">O PAR foi precedido de Investigação Preliminar (IP) da Lei nº 12.846/2013, concluída em 30/05/2023, que recomendou sua instauração (art. 60 da Portaria 27/2022). A comissão de PAR foi composta por dois servidores estáveis (art. 95, §1º). Julgamento em 12/11/2024: aplicação de </w:t>
      </w:r>
      <w:r>
        <w:rPr>
          <w:rFonts w:ascii="Calibri" w:hAnsi="Calibri"/>
          <w:b/>
          <w:i w:val="0"/>
          <w:sz w:val="22"/>
        </w:rPr>
        <w:t>multa de R$ 1.200.000,00</w:t>
      </w:r>
      <w:r>
        <w:rPr>
          <w:rFonts w:ascii="Calibri" w:hAnsi="Calibri"/>
          <w:b w:val="0"/>
          <w:i w:val="0"/>
          <w:sz w:val="22"/>
        </w:rPr>
        <w:t>, publicação extraordinária da decisão condenatória (art. 6º, Lei nº 12.846/2013) e declaração de inidoneidade para licitar por 3 anos.</w:t>
      </w:r>
    </w:p>
    <w:p>
      <w:pPr>
        <w:spacing w:after="100" w:line="280" w:lineRule="exact"/>
        <w:jc w:val="both"/>
      </w:pPr>
      <w:r>
        <w:rPr>
          <w:rFonts w:ascii="Calibri" w:hAnsi="Calibri"/>
          <w:b w:val="0"/>
          <w:i w:val="0"/>
          <w:sz w:val="22"/>
        </w:rPr>
        <w:t>Em 20/11/2024, a Associação Brasileira de Fiscalização de Contratos Públicos (ONG) solicitou via Fala.BR cópia integral do PAR, incluindo: portaria de instauração; relatório da IP; relatório final do PAR; parecer jurídico; decisão condenatória; cálculo da dosimetria da multa; dados cadastrais dos sócios da empresa investigada; cópia de processo do TCU sobre o mesmo contrato; e dados da empresa Concreto Forte Ltda., citada no relatório como tendo participado do mesmo pregão, mas não investigada no PAR.</w:t>
      </w:r>
    </w:p>
    <w:p>
      <w:pPr>
        <w:pStyle w:val="Heading3"/>
        <w:spacing w:before="160" w:after="60"/>
      </w:pPr>
      <w:r>
        <w:rPr>
          <w:rFonts w:ascii="Calibri" w:hAnsi="Calibri"/>
          <w:b/>
          <w:color w:val="1E3A5F"/>
          <w:sz w:val="22"/>
        </w:rPr>
        <w:t>Gabarito comentado</w:t>
      </w:r>
    </w:p>
    <w:tbl>
      <w:tblPr>
        <w:tblStyle w:val="TableGrid"/>
        <w:tblW w:type="auto" w:w="0"/>
        <w:tblLook w:firstColumn="1" w:firstRow="1" w:lastColumn="0" w:lastRow="0" w:noHBand="0" w:noVBand="1" w:val="04A0"/>
      </w:tblPr>
      <w:tblGrid>
        <w:gridCol w:w="2268"/>
        <w:gridCol w:w="2268"/>
        <w:gridCol w:w="2268"/>
        <w:gridCol w:w="2268"/>
      </w:tblGrid>
      <w:tr>
        <w:tc>
          <w:tcPr>
            <w:tcW w:type="dxa" w:w="454"/>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Documento/informação</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Decisão</w:t>
            </w:r>
          </w:p>
        </w:tc>
        <w:tc>
          <w:tcPr>
            <w:tcW w:type="dxa" w:w="2872"/>
            <w:shd w:val="clear" w:color="auto" w:fill="1E3A5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color w:val="FFFFFF"/>
                <w:sz w:val="18"/>
              </w:rPr>
              <w:t>Fundamento</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Portaria de instauração do PAR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Já era pública durante toda a tramitação (Capítulo 5, item 5.7)</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Relatório da IP que recomendou o PAR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 com tarjamento de eventuais dados pessoais de terceiros</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 IP, isoladamente, é preparatória (arts. 57 a 60 da Portaria), mas, concluído o PAR a que deu origem, a peça passa ao regime de publicidade do processo principal</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3</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Relatório final e parecer jurídico do PAR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Peças produzidas pelo próprio órgão, processo já concluído (Capítulo 5, item 5.7)</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4</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Decisão condenatória</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Já sujeita, inclusive, a publicação extraordinária por força da própria sanção (art. 6º, Lei nº 12.846/2013)</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5</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Cálculo da dosimetria da multa</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Fornecer integralmente</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"Resultado (valor da multa e cálculo): público, sem exceção" (Capítulo 5, item 5.7)</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cadastrais (CPF/RG) dos sócios da empresa investigada</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Tarjar/descaracterizar; manter apenas o nome quando vinculado ao ato de administração</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O PAR recai sobre a pessoa jurídica, não sobre os sócios individualmente; CPF/RG das pessoas físicas seguem o regime do art. 31 da LAI. Por analogia ao Capítulo 6, item 6.6 ("identificação como responsável por ato administrativo"), o nome do sócio pode ser mantido quando vinculado a um ato específico de administração relevante para o fato apurado, mas não seus dados de identificação civil</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7</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Cópia de processo do TCU sobre o mesmo contrato</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Não fornecer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"Não se fornecem: procedimentos do MPF, TCU ou órgão de origem" (Capítulo 5, item 5.7) — mesmo tratando de fatos conexos, é processo de outro órgão, com rito e regras de acesso próprias, inclusive eventual sigilo próprio do TCU</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8</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Dados da empresa Concreto Forte Ltda. (citada, mas não investigada)</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Tarjar/não fornecer</w:t>
            </w:r>
          </w:p>
        </w:tc>
        <w:tc>
          <w:tcPr>
            <w:tcW w:type="dxa" w:w="2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 xml:space="preserve">"Dados de PJ não investigada [...] são tarjados" (Capítulo 5, item 5.7) — aqui a lógica não é de proteção de dado pessoal (CNPJ não é dado pessoal, como visto no Exercício 1), mas de </w:t>
            </w:r>
            <w:r>
              <w:rPr>
                <w:rFonts w:ascii="Calibri" w:hAnsi="Calibri"/>
                <w:b/>
                <w:i w:val="0"/>
                <w:sz w:val="19"/>
              </w:rPr>
              <w:t>proteção reputacional contra associação indevida</w:t>
            </w:r>
            <w:r>
              <w:rPr>
                <w:rFonts w:ascii="Calibri" w:hAnsi="Calibri"/>
                <w:b w:val="0"/>
                <w:i w:val="0"/>
                <w:sz w:val="19"/>
              </w:rPr>
              <w:t>: a empresa apenas participou do mesmo pregão, sem qualquer apuração de irregularidade contra ela, e sua exposição vinculada ao caso poderia causar dano à sua imagem sem base fática que o justifique</w:t>
            </w:r>
          </w:p>
        </w:tc>
      </w:tr>
      <w:tr>
        <w:tc>
          <w:tcPr>
            <w:tcW w:type="dxa" w:w="454"/>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9</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Pedido de "cópia integral" do PAR</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sz w:val="19"/>
              </w:rPr>
              <w:t>Atender com as ressalvas acima, e não com negativa geral</w:t>
            </w:r>
          </w:p>
        </w:tc>
        <w:tc>
          <w:tcPr>
            <w:tcW w:type="dxa" w:w="2872"/>
            <w:shd w:val="clear" w:color="auto" w:fill="F5F8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Pedido específico e legítimo; o atendimento parcial, devidamente fundamentado item a item, é a resposta correta — negar o pedido por completo sob o argumento genérico de "dados pessoais" incorreria exatamente na vedação do Enunciado CGU nº 12/2023 (Capítulo 3 e 4)</w:t>
            </w:r>
          </w:p>
        </w:tc>
      </w:tr>
    </w:tbl>
    <w:p>
      <w:pPr>
        <w:spacing w:after="80"/>
      </w:pPr>
    </w:p>
    <w:p>
      <w:pPr>
        <w:spacing w:before="100" w:after="20"/>
        <w:ind w:left="227" w:right="170"/>
        <w:jc w:val="both"/>
        <w:pBdr>
          <w:left w:val="single" w:sz="24" w:space="6" w:color="2E75B6"/>
        </w:pBdr>
        <w:shd w:val="clear" w:color="auto" w:fill="EBF3FB"/>
      </w:pPr>
      <w:r>
        <w:rPr>
          <w:rFonts w:ascii="Arial Narrow" w:hAnsi="Arial Narrow"/>
          <w:b/>
          <w:color w:val="2E75B6"/>
          <w:sz w:val="18"/>
        </w:rPr>
        <w:t xml:space="preserve">Comparando os Exercícios 1 e 4 quanto ao CNPJ:  </w:t>
      </w:r>
      <w:r>
        <w:rPr>
          <w:rFonts w:ascii="Calibri" w:hAnsi="Calibri"/>
          <w:b w:val="0"/>
          <w:i w:val="0"/>
          <w:sz w:val="20"/>
        </w:rPr>
        <w:t xml:space="preserve">vale notar a diferença de tratamento entre o CNPJ da empresa investigada (Exercício 1, item 5 — </w:t>
      </w:r>
      <w:r>
        <w:rPr>
          <w:rFonts w:ascii="Calibri" w:hAnsi="Calibri"/>
          <w:b/>
          <w:i w:val="0"/>
          <w:sz w:val="20"/>
        </w:rPr>
        <w:t>fornecer</w:t>
      </w:r>
      <w:r>
        <w:rPr>
          <w:rFonts w:ascii="Calibri" w:hAnsi="Calibri"/>
          <w:b w:val="0"/>
          <w:i w:val="0"/>
          <w:sz w:val="20"/>
        </w:rPr>
        <w:t xml:space="preserve">, pois é a própria parte do processo e seu CNPJ é dado público) e o CNPJ/dados da empresa não investigada (Exercício 4, item 8 — </w:t>
      </w:r>
      <w:r>
        <w:rPr>
          <w:rFonts w:ascii="Calibri" w:hAnsi="Calibri"/>
          <w:b/>
          <w:i w:val="0"/>
          <w:sz w:val="20"/>
        </w:rPr>
        <w:t>tarjar</w:t>
      </w:r>
      <w:r>
        <w:rPr>
          <w:rFonts w:ascii="Calibri" w:hAnsi="Calibri"/>
          <w:b w:val="0"/>
          <w:i w:val="0"/>
          <w:sz w:val="20"/>
        </w:rPr>
        <w:t>, por proteção reputacional, não por proteção de dado pessoal). A regra "CNPJ é dado público" não significa que qualquer menção a uma pessoa jurídica em qualquer processo correcional deva ser divulgada — o que está em jogo, no segundo caso, é a vedação à exposição indevida de quem não é parte no processo, fundamento que se aplica tanto a pessoas físicas quanto, por analogia, a pessoas jurídicas mencionadas apenas incidentalmente.</w:t>
      </w:r>
    </w:p>
    <w:p>
      <w:pPr>
        <w:spacing w:after="60"/>
      </w:pPr>
    </w:p>
    <w:p>
      <w:pPr>
        <w:spacing w:before="120" w:after="120"/>
        <w:pBdr>
          <w:bottom w:val="single" w:sz="4" w:space="1" w:color="BFA040"/>
        </w:pBdr>
      </w:pPr>
    </w:p>
    <w:p>
      <w:pPr>
        <w:pStyle w:val="Heading2"/>
        <w:spacing w:before="240" w:after="100"/>
        <w:pBdr>
          <w:left w:val="single" w:sz="18" w:space="6" w:color="BFA040"/>
        </w:pBdr>
      </w:pPr>
      <w:r>
        <w:rPr>
          <w:rFonts w:ascii="Arial Narrow" w:hAnsi="Arial Narrow"/>
          <w:b/>
          <w:color w:val="1E3A5F"/>
          <w:sz w:val="26"/>
        </w:rPr>
        <w:t>Encerramento desta revisão</w:t>
      </w:r>
    </w:p>
    <w:p>
      <w:pPr>
        <w:spacing w:after="100" w:line="280" w:lineRule="exact"/>
        <w:jc w:val="both"/>
      </w:pPr>
      <w:r>
        <w:rPr>
          <w:rFonts w:ascii="Calibri" w:hAnsi="Calibri"/>
          <w:b w:val="0"/>
          <w:i w:val="0"/>
          <w:sz w:val="22"/>
        </w:rPr>
        <w:t xml:space="preserve">Com este capítulo de exercícios, a revisão completa da apostila </w:t>
      </w:r>
      <w:r>
        <w:rPr>
          <w:rFonts w:ascii="Calibri" w:hAnsi="Calibri"/>
          <w:b/>
          <w:i w:val="0"/>
          <w:sz w:val="22"/>
        </w:rPr>
        <w:t>"Acesso à Informação e Proteção de Dados Pessoais no Âmbito Disciplinar"</w:t>
      </w:r>
      <w:r>
        <w:rPr>
          <w:rFonts w:ascii="Calibri" w:hAnsi="Calibri"/>
          <w:b w:val="0"/>
          <w:i w:val="0"/>
          <w:sz w:val="22"/>
        </w:rPr>
        <w:t xml:space="preserve"> está concluída. Todo o conteúdo original foi preservado, capítulo a capítulo (1 a 7, mais os exercícios), e as seções e tabelas adicionais inseridas ao longo do documento tiveram como eixo permanente a </w:t>
      </w:r>
      <w:r>
        <w:rPr>
          <w:rFonts w:ascii="Calibri" w:hAnsi="Calibri"/>
          <w:b/>
          <w:i w:val="0"/>
          <w:sz w:val="22"/>
        </w:rPr>
        <w:t>Portaria Normativa CGU nº 27/2022</w:t>
      </w:r>
      <w:r>
        <w:rPr>
          <w:rFonts w:ascii="Calibri" w:hAnsi="Calibri"/>
          <w:b w:val="0"/>
          <w:i w:val="0"/>
          <w:sz w:val="22"/>
        </w:rPr>
        <w:t>, que rege a atividade correcional do dia a dia — funcionando como ponte entre os conceitos de LGPD/LAI tratados na apostila original e a rotina concreta de instauração, condução, tarjamento e resposta a pedidos de acesso da Corregedoria.</w:t>
      </w:r>
    </w:p>
    <w:p>
      <w:pPr>
        <w:spacing w:after="100" w:line="280" w:lineRule="exact"/>
        <w:jc w:val="both"/>
      </w:pPr>
      <w:r>
        <w:rPr>
          <w:rFonts w:ascii="Calibri" w:hAnsi="Calibri"/>
          <w:b w:val="0"/>
          <w:i w:val="0"/>
          <w:sz w:val="22"/>
        </w:rPr>
        <w:t>Ficam à disposição, para uma eventual segunda rodada de revisão, três frentes que podem ser aprofundadas a critério da equipe: (i) um capítulo específico sobre segurança da informação e comunicação de incidentes (arts. 46 a 49 da LGPD), ainda não tratado na apostila; (ii) um roteiro de interface entre processo disciplinar e investigação criminal conjunta com a Polícia Federal, tema tocado tangencialmente nos Exercícios 3 e 4; e (iii) uma atualização periódica do quadro de Enunciados da CGU, dado o caráter vivo dessas orientações.</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40"/>
      <w:outlineLvl w:val="0"/>
    </w:pPr>
    <w:rPr>
      <w:rFonts w:asciiTheme="majorHAnsi" w:eastAsiaTheme="majorEastAsia" w:hAnsiTheme="majorHAnsi" w:cstheme="majorBidi" w:ascii="Arial Narrow" w:hAnsi="Arial Narrow"/>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Bdr>
        <w:left w:val="single" w:sz="18" w:space="6" w:color="BFA040"/>
      </w:pBdr>
    </w:pPr>
    <w:rPr>
      <w:rFonts w:asciiTheme="majorHAnsi" w:eastAsiaTheme="majorEastAsia" w:hAnsiTheme="majorHAnsi" w:cstheme="majorBidi" w:ascii="Arial Narrow" w:hAnsi="Arial Narrow"/>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