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280"/>
        <w:jc w:val="center"/>
      </w:pPr>
      <w:r>
        <w:drawing>
          <wp:inline xmlns:a="http://schemas.openxmlformats.org/drawingml/2006/main" xmlns:pic="http://schemas.openxmlformats.org/drawingml/2006/picture">
            <wp:extent cx="2520000" cy="17446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og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744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 Narrow" w:hAnsi="Arial Narrow"/>
          <w:b/>
          <w:color w:val="1E3A5F"/>
          <w:sz w:val="44"/>
        </w:rPr>
        <w:t>Manual da Suíte COGER</w:t>
      </w:r>
    </w:p>
    <w:p>
      <w:pPr>
        <w:spacing w:after="200"/>
        <w:jc w:val="center"/>
      </w:pPr>
      <w:r>
        <w:rPr>
          <w:rFonts w:ascii="Arial Narrow" w:hAnsi="Arial Narrow"/>
          <w:b/>
          <w:color w:val="BFA040"/>
          <w:sz w:val="30"/>
        </w:rPr>
        <w:t>Veritas · Nexo Coger · Oitiva 360</w:t>
      </w:r>
    </w:p>
    <w:p>
      <w:pPr>
        <w:spacing w:before="120" w:after="120"/>
        <w:pBdr>
          <w:bottom w:val="single" w:sz="8" w:space="1" w:color="BFA040"/>
        </w:pBdr>
      </w:pPr>
    </w:p>
    <w:p>
      <w:pPr>
        <w:spacing w:before="160"/>
        <w:jc w:val="center"/>
      </w:pPr>
      <w:r>
        <w:rPr>
          <w:rFonts w:ascii="Calibri" w:hAnsi="Calibri"/>
          <w:color w:val="707070"/>
          <w:sz w:val="20"/>
        </w:rPr>
        <w:t>Lei nº 8.112, de 11 de dezembro de 1990 — Processo Administrativo Disciplinar</w:t>
      </w:r>
      <w:r>
        <w:br/>
      </w:r>
      <w:r>
        <w:rPr>
          <w:rFonts w:ascii="Calibri" w:hAnsi="Calibri"/>
          <w:color w:val="707070"/>
          <w:sz w:val="20"/>
        </w:rPr>
        <w:t>Suíte de 3 ferramentas offline/locais, integráveis mas independentes entre si</w:t>
      </w:r>
      <w:r>
        <w:br/>
      </w:r>
      <w:r>
        <w:rPr>
          <w:rFonts w:ascii="Calibri" w:hAnsi="Calibri"/>
          <w:color w:val="707070"/>
          <w:sz w:val="20"/>
        </w:rPr>
        <w:t>Corregedoria da Receita Federal do Brasil (Coger/RFB)</w:t>
      </w:r>
    </w:p>
    <w:p>
      <w:r>
        <w:br w:type="page"/>
      </w:r>
    </w:p>
    <w:p>
      <w:pPr>
        <w:jc w:val="left"/>
      </w:pPr>
      <w:r>
        <w:rPr>
          <w:rFonts w:ascii="Arial Narrow" w:hAnsi="Arial Narrow"/>
          <w:b/>
          <w:color w:val="1E3A5F"/>
          <w:sz w:val="36"/>
        </w:rPr>
        <w:t>SUMÁRIO</w:t>
      </w:r>
    </w:p>
    <w:p>
      <w:r>
        <w:fldChar w:fldCharType="begin"/>
        <w:instrText xml:space="preserve"> TOC \o "1-3" \h \z \u </w:instrText>
        <w:fldChar w:fldCharType="separate"/>
        <w:t>Clique com o botão direito → Atualizar campo para ver o sumário com páginas.</w:t>
        <w:fldChar w:fldCharType="end"/>
      </w:r>
    </w:p>
    <w:p>
      <w:r>
        <w:br w:type="page"/>
      </w:r>
    </w:p>
    <w:p>
      <w:r>
        <w:br w:type="page"/>
      </w:r>
    </w:p>
    <w:p>
      <w:pPr>
        <w:spacing w:after="40"/>
      </w:pPr>
      <w:r>
        <w:rPr>
          <w:rFonts w:ascii="Arial Narrow" w:hAnsi="Arial Narrow"/>
          <w:b/>
          <w:color w:val="BFA040"/>
          <w:sz w:val="18"/>
        </w:rPr>
        <w:t>SEÇÃO 1</w:t>
      </w:r>
    </w:p>
    <w:p>
      <w:pPr>
        <w:pStyle w:val="Heading1"/>
      </w:pPr>
      <w:r>
        <w:rPr>
          <w:rFonts w:ascii="Arial Narrow" w:hAnsi="Arial Narrow"/>
          <w:b/>
          <w:color w:val="1E3A5F"/>
          <w:sz w:val="40"/>
        </w:rPr>
        <w:t>Introdução Geral</w:t>
      </w:r>
    </w:p>
    <w:p>
      <w:pPr>
        <w:spacing w:before="120" w:after="120"/>
        <w:pBdr>
          <w:bottom w:val="single" w:sz="8" w:space="1" w:color="BFA040"/>
        </w:pBdr>
      </w:pP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A </w:t>
      </w:r>
      <w:r>
        <w:rPr>
          <w:rFonts w:ascii="Calibri" w:hAnsi="Calibri"/>
          <w:b/>
          <w:i w:val="0"/>
          <w:sz w:val="22"/>
        </w:rPr>
        <w:t>Suíte COGER</w:t>
      </w:r>
      <w:r>
        <w:rPr>
          <w:rFonts w:ascii="Calibri" w:hAnsi="Calibri"/>
          <w:b w:val="0"/>
          <w:i w:val="0"/>
          <w:sz w:val="22"/>
        </w:rPr>
        <w:t xml:space="preserve"> reúne três ferramentas de apoio ao trabalho de comissões de Processo Administrativo Disciplinar (PAD), Processo Administrativo de Responsabilização (PAR) e sindicância, no âmbito da Corregedoria da Receita Federal do Brasil, à luz da </w:t>
      </w:r>
      <w:r>
        <w:rPr>
          <w:rFonts w:ascii="Calibri" w:hAnsi="Calibri"/>
          <w:b/>
          <w:i w:val="0"/>
          <w:sz w:val="22"/>
        </w:rPr>
        <w:t>Lei nº 8.112, de 11 de dezembro de 1990</w:t>
      </w:r>
      <w:r>
        <w:rPr>
          <w:rFonts w:ascii="Calibri" w:hAnsi="Calibri"/>
          <w:b w:val="0"/>
          <w:i w:val="0"/>
          <w:sz w:val="22"/>
        </w:rPr>
        <w:t xml:space="preserve">. As três ferramentas — </w:t>
      </w:r>
      <w:r>
        <w:rPr>
          <w:rFonts w:ascii="Calibri" w:hAnsi="Calibri"/>
          <w:b/>
          <w:i w:val="0"/>
          <w:sz w:val="22"/>
        </w:rPr>
        <w:t>Veritas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alibri" w:hAnsi="Calibri"/>
          <w:b/>
          <w:i w:val="0"/>
          <w:sz w:val="22"/>
        </w:rPr>
        <w:t>Nexo Coger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alibri" w:hAnsi="Calibri"/>
          <w:b/>
          <w:i w:val="0"/>
          <w:sz w:val="22"/>
        </w:rPr>
        <w:t>Oitiva 360</w:t>
      </w:r>
      <w:r>
        <w:rPr>
          <w:rFonts w:ascii="Calibri" w:hAnsi="Calibri"/>
          <w:b w:val="0"/>
          <w:i w:val="0"/>
          <w:sz w:val="22"/>
        </w:rPr>
        <w:t xml:space="preserve"> — são páginas HTML autocontidas, executadas inteiramente no navegador do usuário, </w:t>
      </w:r>
      <w:r>
        <w:rPr>
          <w:rFonts w:ascii="Calibri" w:hAnsi="Calibri"/>
          <w:b/>
          <w:i w:val="0"/>
          <w:sz w:val="22"/>
        </w:rPr>
        <w:t>sem servidor, sem nuvem e sem envio de dados a terceiros</w:t>
      </w:r>
      <w:r>
        <w:rPr>
          <w:rFonts w:ascii="Calibri" w:hAnsi="Calibri"/>
          <w:b w:val="0"/>
          <w:i w:val="0"/>
          <w:sz w:val="22"/>
        </w:rPr>
        <w:t>. Todo o armazenamento é local (localStorage do navegador) e a persistência entre sessões depende de exportação/importação manual de arquivos `.json` pelo próprio usuário.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Este manual destina-se às </w:t>
      </w:r>
      <w:r>
        <w:rPr>
          <w:rFonts w:ascii="Calibri" w:hAnsi="Calibri"/>
          <w:b/>
          <w:i w:val="0"/>
          <w:sz w:val="22"/>
        </w:rPr>
        <w:t>comissões de PAD/PAR/sindicância da Corregedoria</w:t>
      </w:r>
      <w:r>
        <w:rPr>
          <w:rFonts w:ascii="Calibri" w:hAnsi="Calibri"/>
          <w:b w:val="0"/>
          <w:i w:val="0"/>
          <w:sz w:val="22"/>
        </w:rPr>
        <w:t xml:space="preserve"> e a servidores que atuam no apoio à instrução disciplinar — presidentes e membros de comissão, secretários, e equipes técnicas que auxiliam na organização de provas, na construção do nexo fático-probatório e na condução de oitivas e interrogatórios.</w:t>
      </w:r>
    </w:p>
    <w:p>
      <w:pPr>
        <w:spacing w:before="100" w:after="20"/>
        <w:ind w:left="227" w:right="170"/>
        <w:jc w:val="both"/>
        <w:pBdr>
          <w:left w:val="single" w:sz="24" w:space="6" w:color="2E75B6"/>
        </w:pBdr>
        <w:shd w:val="clear" w:color="auto" w:fill="EBF3FB"/>
      </w:pPr>
      <w:r>
        <w:rPr>
          <w:rFonts w:ascii="Arial Narrow" w:hAnsi="Arial Narrow"/>
          <w:b/>
          <w:color w:val="2E75B6"/>
          <w:sz w:val="18"/>
        </w:rPr>
        <w:t xml:space="preserve">AS TRÊS FERRAMENTAS DA SUÍTE  </w:t>
      </w:r>
      <w:r>
        <w:rPr>
          <w:rFonts w:ascii="Calibri" w:hAnsi="Calibri"/>
          <w:b/>
          <w:i w:val="0"/>
          <w:sz w:val="20"/>
        </w:rPr>
        <w:t>Veritas</w:t>
      </w:r>
      <w:r>
        <w:rPr>
          <w:rFonts w:ascii="Calibri" w:hAnsi="Calibri"/>
          <w:b w:val="0"/>
          <w:i w:val="0"/>
          <w:sz w:val="20"/>
        </w:rPr>
        <w:t xml:space="preserve"> — cadastro de provas com cadeia de custódia (proveniência, hash, linha do tempo).</w:t>
      </w:r>
    </w:p>
    <w:p>
      <w:pPr>
        <w:spacing w:before="0" w:after="20"/>
        <w:ind w:left="227" w:right="170"/>
        <w:jc w:val="both"/>
        <w:pBdr>
          <w:left w:val="single" w:sz="24" w:space="6" w:color="2E75B6"/>
        </w:pBdr>
        <w:shd w:val="clear" w:color="auto" w:fill="EBF3FB"/>
      </w:pPr>
      <w:r>
        <w:rPr>
          <w:rFonts w:ascii="Calibri" w:hAnsi="Calibri"/>
          <w:b/>
          <w:i w:val="0"/>
          <w:sz w:val="20"/>
        </w:rPr>
        <w:t>Nexo Coger</w:t>
      </w:r>
      <w:r>
        <w:rPr>
          <w:rFonts w:ascii="Calibri" w:hAnsi="Calibri"/>
          <w:b w:val="0"/>
          <w:i w:val="0"/>
          <w:sz w:val="20"/>
        </w:rPr>
        <w:t xml:space="preserve"> — mapa fato-prova-norma, apoio à construção da indiciação.</w:t>
      </w:r>
    </w:p>
    <w:p>
      <w:pPr>
        <w:spacing w:before="0" w:after="60"/>
        <w:ind w:left="227" w:right="170"/>
        <w:jc w:val="both"/>
        <w:pBdr>
          <w:left w:val="single" w:sz="24" w:space="6" w:color="2E75B6"/>
        </w:pBdr>
        <w:shd w:val="clear" w:color="auto" w:fill="EBF3FB"/>
      </w:pPr>
      <w:r>
        <w:rPr>
          <w:rFonts w:ascii="Calibri" w:hAnsi="Calibri"/>
          <w:b/>
          <w:i w:val="0"/>
          <w:sz w:val="20"/>
        </w:rPr>
        <w:t>Oitiva 360</w:t>
      </w:r>
      <w:r>
        <w:rPr>
          <w:rFonts w:ascii="Calibri" w:hAnsi="Calibri"/>
          <w:b w:val="0"/>
          <w:i w:val="0"/>
          <w:sz w:val="20"/>
        </w:rPr>
        <w:t xml:space="preserve"> — apoio à condução de oitivas e interrogatórios, com roteiro e termo.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Cada ferramenta é </w:t>
      </w:r>
      <w:r>
        <w:rPr>
          <w:rFonts w:ascii="Calibri" w:hAnsi="Calibri"/>
          <w:b/>
          <w:i w:val="0"/>
          <w:sz w:val="22"/>
        </w:rPr>
        <w:t>funcionalmente completa por si só</w:t>
      </w:r>
      <w:r>
        <w:rPr>
          <w:rFonts w:ascii="Calibri" w:hAnsi="Calibri"/>
          <w:b w:val="0"/>
          <w:i w:val="0"/>
          <w:sz w:val="22"/>
        </w:rPr>
        <w:t xml:space="preserve"> — é inteiramente possível cadastrar provas no Veritas, montar o mapa fático no Nexo Coger e conduzir oitivas no Oitiva 360 sem que nenhuma delas jamais troque um arquivo com as outras. As Seções 2, 3 e 4 deste manual documentam cada ferramenta </w:t>
      </w:r>
      <w:r>
        <w:rPr>
          <w:rFonts w:ascii="Calibri" w:hAnsi="Calibri"/>
          <w:b/>
          <w:i w:val="0"/>
          <w:sz w:val="22"/>
        </w:rPr>
        <w:t>em uso isolado</w:t>
      </w:r>
      <w:r>
        <w:rPr>
          <w:rFonts w:ascii="Calibri" w:hAnsi="Calibri"/>
          <w:b w:val="0"/>
          <w:i w:val="0"/>
          <w:sz w:val="22"/>
        </w:rPr>
        <w:t>, exatamente como ela se comporta quando usada sozinha.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Ainda assim, as três ferramentas </w:t>
      </w:r>
      <w:r>
        <w:rPr>
          <w:rFonts w:ascii="Calibri" w:hAnsi="Calibri"/>
          <w:b/>
          <w:i w:val="0"/>
          <w:sz w:val="22"/>
        </w:rPr>
        <w:t>podem</w:t>
      </w:r>
      <w:r>
        <w:rPr>
          <w:rFonts w:ascii="Calibri" w:hAnsi="Calibri"/>
          <w:b w:val="0"/>
          <w:i w:val="0"/>
          <w:sz w:val="22"/>
        </w:rPr>
        <w:t xml:space="preserve"> trocar informações entre si por meio de exportação e importação de arquivos `.json` — por exemplo, provas cadastradas no Veritas podem alimentar o mapa do Nexo Coger, e um termo de oitiva gerado no Oitiva 360 pode ser importado como prova no Veritas. Essa integração é </w:t>
      </w:r>
      <w:r>
        <w:rPr>
          <w:rFonts w:ascii="Calibri" w:hAnsi="Calibri"/>
          <w:b/>
          <w:i w:val="0"/>
          <w:sz w:val="22"/>
        </w:rPr>
        <w:t>opcional e aditiva</w:t>
      </w:r>
      <w:r>
        <w:rPr>
          <w:rFonts w:ascii="Calibri" w:hAnsi="Calibri"/>
          <w:b w:val="0"/>
          <w:i w:val="0"/>
          <w:sz w:val="22"/>
        </w:rPr>
        <w:t xml:space="preserve">: nenhuma das ferramentas exige a outra para funcionar, e os detalhes de cada contrato de integração ficam reservados para a </w:t>
      </w:r>
      <w:r>
        <w:rPr>
          <w:rFonts w:ascii="Calibri" w:hAnsi="Calibri"/>
          <w:b/>
          <w:i w:val="0"/>
          <w:sz w:val="22"/>
        </w:rPr>
        <w:t>Seção 5 — Integração entre as três ferramentas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120" w:after="120"/>
        <w:pBdr>
          <w:bottom w:val="single" w:sz="4" w:space="1" w:color="BFA040"/>
        </w:pBdr>
      </w:pPr>
    </w:p>
    <w:p>
      <w:pPr>
        <w:jc w:val="center"/>
      </w:pPr>
      <w:r>
        <w:rPr>
          <w:rFonts w:ascii="Calibri" w:hAnsi="Calibri"/>
          <w:i/>
          <w:color w:val="707070"/>
          <w:sz w:val="18"/>
        </w:rPr>
        <w:t>As capturas de tela deste manual foram produzidas a partir de dados fictícios, usados exclusivamente para fins de ilustração.</w:t>
      </w:r>
    </w:p>
    <w:p>
      <w:r>
        <w:br w:type="page"/>
      </w:r>
    </w:p>
    <w:p>
      <w:pPr>
        <w:spacing w:after="40"/>
      </w:pPr>
      <w:r>
        <w:rPr>
          <w:rFonts w:ascii="Arial Narrow" w:hAnsi="Arial Narrow"/>
          <w:b/>
          <w:color w:val="BFA040"/>
          <w:sz w:val="18"/>
        </w:rPr>
        <w:t>SEÇÃO 2</w:t>
      </w:r>
    </w:p>
    <w:p>
      <w:pPr>
        <w:pStyle w:val="Heading1"/>
      </w:pPr>
      <w:r>
        <w:rPr>
          <w:rFonts w:ascii="Arial Narrow" w:hAnsi="Arial Narrow"/>
          <w:b/>
          <w:color w:val="1E3A5F"/>
          <w:sz w:val="40"/>
        </w:rPr>
        <w:t>Veritas (uso isolado)</w:t>
      </w:r>
    </w:p>
    <w:p>
      <w:pPr>
        <w:spacing w:before="120" w:after="120"/>
        <w:pBdr>
          <w:bottom w:val="single" w:sz="8" w:space="1" w:color="BFA040"/>
        </w:pBdr>
      </w:pP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O </w:t>
      </w:r>
      <w:r>
        <w:rPr>
          <w:rFonts w:ascii="Calibri" w:hAnsi="Calibri"/>
          <w:b/>
          <w:i w:val="0"/>
          <w:sz w:val="22"/>
        </w:rPr>
        <w:t>Veritas</w:t>
      </w:r>
      <w:r>
        <w:rPr>
          <w:rFonts w:ascii="Calibri" w:hAnsi="Calibri"/>
          <w:b w:val="0"/>
          <w:i w:val="0"/>
          <w:sz w:val="22"/>
        </w:rPr>
        <w:t xml:space="preserve"> é a ferramenta de cadastro de provas com cadeia de custódia da Suíte COGER. Sua epígrafe resume o propósito: </w:t>
      </w:r>
      <w:r>
        <w:rPr>
          <w:rFonts w:ascii="Calibri" w:hAnsi="Calibri"/>
          <w:b w:val="0"/>
          <w:i/>
          <w:sz w:val="22"/>
        </w:rPr>
        <w:t>"Toda prova, antes de provar, deve ser provada."</w:t>
      </w:r>
      <w:r>
        <w:rPr>
          <w:rFonts w:ascii="Calibri" w:hAnsi="Calibri"/>
          <w:b w:val="0"/>
          <w:i w:val="0"/>
          <w:sz w:val="22"/>
        </w:rPr>
        <w:t xml:space="preserve"> (Iacoviello). O Veritas documenta a consistência interna e a continuidade de elementos de prova digitais e físicos ao longo do processo — de onde vieram, como foram recebidos, se o conteúdo é íntegro, e quem os custodia a cada momento.</w:t>
      </w:r>
    </w:p>
    <w:p>
      <w:pPr>
        <w:spacing w:before="100" w:after="60"/>
        <w:ind w:left="227" w:right="170"/>
        <w:jc w:val="both"/>
        <w:pBdr>
          <w:left w:val="single" w:sz="24" w:space="6" w:color="BFA040"/>
        </w:pBdr>
        <w:shd w:val="clear" w:color="auto" w:fill="FFF8E1"/>
      </w:pPr>
      <w:r>
        <w:rPr>
          <w:rFonts w:ascii="Arial Narrow" w:hAnsi="Arial Narrow"/>
          <w:b/>
          <w:color w:val="BFA040"/>
          <w:sz w:val="18"/>
        </w:rPr>
        <w:t xml:space="preserve">DISCLAIMER  </w:t>
      </w:r>
      <w:r>
        <w:rPr>
          <w:rFonts w:ascii="Calibri" w:hAnsi="Calibri"/>
          <w:b w:val="0"/>
          <w:i w:val="0"/>
          <w:sz w:val="20"/>
        </w:rPr>
        <w:t>Ferramenta de apoio à decisão. Não realiza perícia técnica, não valida assinatura digital ICP-Brasil e não substitui laudo pericial formal.</w:t>
      </w:r>
    </w:p>
    <w:p>
      <w:pPr>
        <w:spacing w:before="100" w:after="60"/>
        <w:ind w:left="227" w:right="170"/>
        <w:jc w:val="both"/>
        <w:pBdr>
          <w:left w:val="single" w:sz="24" w:space="6" w:color="707070"/>
        </w:pBdr>
        <w:shd w:val="clear" w:color="auto" w:fill="F4F4F4"/>
      </w:pPr>
      <w:r>
        <w:rPr>
          <w:rFonts w:ascii="Arial Narrow" w:hAnsi="Arial Narrow"/>
          <w:b/>
          <w:color w:val="707070"/>
          <w:sz w:val="18"/>
        </w:rPr>
        <w:t xml:space="preserve">FUNDAMENTAÇÃO DOUTRINÁRIA  </w:t>
      </w:r>
      <w:r>
        <w:rPr>
          <w:rFonts w:ascii="Calibri" w:hAnsi="Calibri"/>
          <w:b w:val="0"/>
          <w:i w:val="0"/>
          <w:sz w:val="20"/>
        </w:rPr>
        <w:t>A cadeia de custódia tem disciplina legal expressa apenas no processo penal (art. 158-A a 158-F do CPP, Lei 13.964/2019). No PAD, sua aplicação decorre por analogia e principiologia — verdade real, devido processo, ampla defesa — reforçada pela intercambialidade doutrinária de provas entre PAD e processo penal. O Veritas não sugere vinculação normativa direta ao CPP.</w:t>
      </w:r>
    </w:p>
    <w:p>
      <w:pPr>
        <w:pStyle w:val="Heading2"/>
        <w:pBdr>
          <w:left w:val="single" w:sz="18" w:space="6" w:color="BFA040"/>
        </w:pBdr>
      </w:pPr>
      <w:r>
        <w:rPr>
          <w:rFonts w:ascii="Arial Narrow" w:hAnsi="Arial Narrow"/>
          <w:b/>
          <w:color w:val="1E3A5F"/>
          <w:sz w:val="26"/>
        </w:rPr>
        <w:t>2.1 O wizard de cadastro de prova nova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O cadastro de uma nova prova é feito por um </w:t>
      </w:r>
      <w:r>
        <w:rPr>
          <w:rFonts w:ascii="Calibri" w:hAnsi="Calibri"/>
          <w:b/>
          <w:i w:val="0"/>
          <w:sz w:val="22"/>
        </w:rPr>
        <w:t>wizard de 4 etapas</w:t>
      </w:r>
      <w:r>
        <w:rPr>
          <w:rFonts w:ascii="Calibri" w:hAnsi="Calibri"/>
          <w:b w:val="0"/>
          <w:i w:val="0"/>
          <w:sz w:val="22"/>
        </w:rPr>
        <w:t xml:space="preserve"> — </w:t>
      </w:r>
      <w:r>
        <w:rPr>
          <w:rFonts w:ascii="Calibri" w:hAnsi="Calibri"/>
          <w:b w:val="0"/>
          <w:i/>
          <w:sz w:val="22"/>
        </w:rPr>
        <w:t>Identificação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alibri" w:hAnsi="Calibri"/>
          <w:b w:val="0"/>
          <w:i/>
          <w:sz w:val="22"/>
        </w:rPr>
        <w:t>Proveniência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alibri" w:hAnsi="Calibri"/>
          <w:b w:val="0"/>
          <w:i/>
          <w:sz w:val="22"/>
        </w:rPr>
        <w:t>Arquivos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alibri" w:hAnsi="Calibri"/>
          <w:b w:val="0"/>
          <w:i/>
          <w:sz w:val="22"/>
        </w:rPr>
        <w:t>Linha do tempo</w:t>
      </w:r>
      <w:r>
        <w:rPr>
          <w:rFonts w:ascii="Calibri" w:hAnsi="Calibri"/>
          <w:b w:val="0"/>
          <w:i w:val="0"/>
          <w:sz w:val="22"/>
        </w:rPr>
        <w:t xml:space="preserve"> — indicadas por uma barra de progresso no topo da tela. O botão </w:t>
      </w:r>
      <w:r>
        <w:rPr>
          <w:rFonts w:ascii="Calibri" w:hAnsi="Calibri"/>
          <w:b/>
          <w:i w:val="0"/>
          <w:sz w:val="22"/>
        </w:rPr>
        <w:t>"Avançar →"</w:t>
      </w:r>
      <w:r>
        <w:rPr>
          <w:rFonts w:ascii="Calibri" w:hAnsi="Calibri"/>
          <w:b w:val="0"/>
          <w:i w:val="0"/>
          <w:sz w:val="22"/>
        </w:rPr>
        <w:t xml:space="preserve"> só libera a etapa seguinte se a etapa atual passar na validação; o botão </w:t>
      </w:r>
      <w:r>
        <w:rPr>
          <w:rFonts w:ascii="Calibri" w:hAnsi="Calibri"/>
          <w:b/>
          <w:i w:val="0"/>
          <w:sz w:val="22"/>
        </w:rPr>
        <w:t>"Voltar ←"</w:t>
      </w:r>
      <w:r>
        <w:rPr>
          <w:rFonts w:ascii="Calibri" w:hAnsi="Calibri"/>
          <w:b w:val="0"/>
          <w:i w:val="0"/>
          <w:sz w:val="22"/>
        </w:rPr>
        <w:t xml:space="preserve">, a partir da etapa 2, não é validado. Na última etapa, o botão muda para </w:t>
      </w:r>
      <w:r>
        <w:rPr>
          <w:rFonts w:ascii="Calibri" w:hAnsi="Calibri"/>
          <w:b/>
          <w:i w:val="0"/>
          <w:sz w:val="22"/>
        </w:rPr>
        <w:t>"Salvar item"</w:t>
      </w:r>
      <w:r>
        <w:rPr>
          <w:rFonts w:ascii="Calibri" w:hAnsi="Calibri"/>
          <w:b w:val="0"/>
          <w:i w:val="0"/>
          <w:sz w:val="22"/>
        </w:rPr>
        <w:t>, que revalida novamente as etapas 1, 2 e 3 antes de gravar o item.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4603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tas-wizard-identificaca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60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707070"/>
          <w:sz w:val="18"/>
        </w:rPr>
        <w:t>Figura 1 — Wizard de cadastro de prova — Etapa 1, Identificação.</w:t>
      </w:r>
    </w:p>
    <w:p>
      <w:pPr>
        <w:pStyle w:val="Heading3"/>
      </w:pPr>
      <w:r>
        <w:rPr>
          <w:rFonts w:ascii="Calibri" w:hAnsi="Calibri"/>
          <w:b/>
          <w:color w:val="1E3A5F"/>
          <w:sz w:val="22"/>
        </w:rPr>
        <w:t>Etapa 1 — Identificação</w:t>
      </w:r>
    </w:p>
    <w:p>
      <w:pPr>
        <w:spacing w:before="100" w:after="60"/>
        <w:ind w:left="227" w:right="170"/>
        <w:jc w:val="both"/>
        <w:pBdr>
          <w:left w:val="single" w:sz="24" w:space="6" w:color="2E75B6"/>
        </w:pBdr>
        <w:shd w:val="clear" w:color="auto" w:fill="EBF3FB"/>
      </w:pPr>
      <w:r>
        <w:rPr>
          <w:rFonts w:ascii="Arial Narrow" w:hAnsi="Arial Narrow"/>
          <w:b/>
          <w:color w:val="2E75B6"/>
          <w:sz w:val="18"/>
        </w:rPr>
        <w:t xml:space="preserve">DICA — FOCO INVESTIGATIVO  </w:t>
      </w:r>
      <w:r>
        <w:rPr>
          <w:rFonts w:ascii="Calibri" w:hAnsi="Calibri"/>
          <w:b w:val="0"/>
          <w:i w:val="0"/>
          <w:sz w:val="20"/>
        </w:rPr>
        <w:t>Mantenha o objeto da apuração determinado: fato, pessoa e meios de prova. Evite incorporar elementos coletados sem relação direta com a hipótese investigativa em curso.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1.  </w:t>
      </w:r>
      <w:r>
        <w:rPr>
          <w:rFonts w:ascii="Calibri" w:hAnsi="Calibri"/>
          <w:b/>
          <w:i w:val="0"/>
          <w:sz w:val="22"/>
        </w:rPr>
        <w:t>Título/descrição</w:t>
      </w:r>
      <w:r>
        <w:rPr>
          <w:rFonts w:ascii="Calibri" w:hAnsi="Calibri"/>
          <w:b w:val="0"/>
          <w:i w:val="0"/>
          <w:sz w:val="22"/>
        </w:rPr>
        <w:t xml:space="preserve"> — campo de texto livre. </w:t>
      </w:r>
      <w:r>
        <w:rPr>
          <w:rFonts w:ascii="Calibri" w:hAnsi="Calibri"/>
          <w:b/>
          <w:i w:val="0"/>
          <w:sz w:val="22"/>
        </w:rPr>
        <w:t>Obrigatório</w:t>
      </w:r>
      <w:r>
        <w:rPr>
          <w:rFonts w:ascii="Calibri" w:hAnsi="Calibri"/>
          <w:b w:val="0"/>
          <w:i w:val="0"/>
          <w:sz w:val="22"/>
        </w:rPr>
        <w:t xml:space="preserve">: se deixado em branco, o Veritas bloqueia o avanço com a mensagem "Informe o título/descrição.". Placeholder de exemplo: </w:t>
      </w:r>
      <w:r>
        <w:rPr>
          <w:rFonts w:ascii="Calibri" w:hAnsi="Calibri"/>
          <w:b w:val="0"/>
          <w:i/>
          <w:sz w:val="22"/>
        </w:rPr>
        <w:t>Ex.: Extrato bancário — conta XXXX, período 01/2023 a 12/2023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2.  </w:t>
      </w:r>
      <w:r>
        <w:rPr>
          <w:rFonts w:ascii="Calibri" w:hAnsi="Calibri"/>
          <w:b/>
          <w:i w:val="0"/>
          <w:sz w:val="22"/>
        </w:rPr>
        <w:t>Categoria</w:t>
      </w:r>
      <w:r>
        <w:rPr>
          <w:rFonts w:ascii="Calibri" w:hAnsi="Calibri"/>
          <w:b w:val="0"/>
          <w:i w:val="0"/>
          <w:sz w:val="22"/>
        </w:rPr>
        <w:t xml:space="preserve"> — seleção em lista. </w:t>
      </w:r>
      <w:r>
        <w:rPr>
          <w:rFonts w:ascii="Calibri" w:hAnsi="Calibri"/>
          <w:b/>
          <w:i w:val="0"/>
          <w:sz w:val="22"/>
        </w:rPr>
        <w:t>Obrigatória</w:t>
      </w:r>
      <w:r>
        <w:rPr>
          <w:rFonts w:ascii="Calibri" w:hAnsi="Calibri"/>
          <w:b w:val="0"/>
          <w:i w:val="0"/>
          <w:sz w:val="22"/>
        </w:rPr>
        <w:t xml:space="preserve">: se não selecionada, a mensagem é "Selecione a categoria.". As opções são: Print de sistema, Documento financeiro, Comunicação (e-mail/mensagem), Foto/vídeo, Laudo/perícia, Ofício, Decisão judicial, Documento físico, Dispositivo/mídia física (HD, celular, pendrive etc.) e Outro. Existe ainda a categoria </w:t>
      </w:r>
      <w:r>
        <w:rPr>
          <w:rFonts w:ascii="Calibri" w:hAnsi="Calibri"/>
          <w:b/>
          <w:i w:val="0"/>
          <w:sz w:val="22"/>
        </w:rPr>
        <w:t>"Termo de oitiva"</w:t>
      </w:r>
      <w:r>
        <w:rPr>
          <w:rFonts w:ascii="Calibri" w:hAnsi="Calibri"/>
          <w:b w:val="0"/>
          <w:i w:val="0"/>
          <w:sz w:val="22"/>
        </w:rPr>
        <w:t>, mas ela é reservada — só é atribuída automaticamente quando um termo do Oitiva 360 é importado (ver Seção 5); não é um fluxo de criação manual normal.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3.  </w:t>
      </w:r>
      <w:r>
        <w:rPr>
          <w:rFonts w:ascii="Calibri" w:hAnsi="Calibri"/>
          <w:b/>
          <w:i w:val="0"/>
          <w:sz w:val="22"/>
        </w:rPr>
        <w:t>Nº/folha nos autos</w:t>
      </w:r>
      <w:r>
        <w:rPr>
          <w:rFonts w:ascii="Calibri" w:hAnsi="Calibri"/>
          <w:b w:val="0"/>
          <w:i w:val="0"/>
          <w:sz w:val="22"/>
        </w:rPr>
        <w:t xml:space="preserve"> — texto livre, opcional (marcado como "opcional" na própria tela).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4.  </w:t>
      </w:r>
      <w:r>
        <w:rPr>
          <w:rFonts w:ascii="Calibri" w:hAnsi="Calibri"/>
          <w:b/>
          <w:i w:val="0"/>
          <w:sz w:val="22"/>
        </w:rPr>
        <w:t>Vinculado à matriz de apuração</w:t>
      </w:r>
      <w:r>
        <w:rPr>
          <w:rFonts w:ascii="Calibri" w:hAnsi="Calibri"/>
          <w:b w:val="0"/>
          <w:i w:val="0"/>
          <w:sz w:val="22"/>
        </w:rPr>
        <w:t xml:space="preserve"> — texto livre, opcional, para anotar a que fato/hipótese este elemento de prova sustenta.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5.  </w:t>
      </w:r>
      <w:r>
        <w:rPr>
          <w:rFonts w:ascii="Calibri" w:hAnsi="Calibri"/>
          <w:b/>
          <w:i w:val="0"/>
          <w:sz w:val="22"/>
        </w:rPr>
        <w:t>Sigilo/classificação</w:t>
      </w:r>
      <w:r>
        <w:rPr>
          <w:rFonts w:ascii="Calibri" w:hAnsi="Calibri"/>
          <w:b w:val="0"/>
          <w:i w:val="0"/>
          <w:sz w:val="22"/>
        </w:rPr>
        <w:t xml:space="preserve"> — seleção em lista, opcional, com valor padrão "Acesso restrito". Opções: Público nos autos, Acesso restrito, Sigiloso.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6.  </w:t>
      </w:r>
      <w:r>
        <w:rPr>
          <w:rFonts w:ascii="Calibri" w:hAnsi="Calibri"/>
          <w:b/>
          <w:i w:val="0"/>
          <w:sz w:val="22"/>
        </w:rPr>
        <w:t>Extrato ou conteúdo integral?</w:t>
      </w:r>
      <w:r>
        <w:rPr>
          <w:rFonts w:ascii="Calibri" w:hAnsi="Calibri"/>
          <w:b w:val="0"/>
          <w:i w:val="0"/>
          <w:sz w:val="22"/>
        </w:rPr>
        <w:t xml:space="preserve"> — grupo de opções ("Sim — conteúdo integral" / "Não — extrato/trecho parcial"), com valor padrão "Sim".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Se a </w:t>
      </w:r>
      <w:r>
        <w:rPr>
          <w:rFonts w:ascii="Calibri" w:hAnsi="Calibri"/>
          <w:b/>
          <w:i w:val="0"/>
          <w:sz w:val="22"/>
        </w:rPr>
        <w:t>Categoria</w:t>
      </w:r>
      <w:r>
        <w:rPr>
          <w:rFonts w:ascii="Calibri" w:hAnsi="Calibri"/>
          <w:b w:val="0"/>
          <w:i w:val="0"/>
          <w:sz w:val="22"/>
        </w:rPr>
        <w:t xml:space="preserve"> escolhida for </w:t>
      </w:r>
      <w:r>
        <w:rPr>
          <w:rFonts w:ascii="Calibri" w:hAnsi="Calibri"/>
          <w:b/>
          <w:i w:val="0"/>
          <w:sz w:val="22"/>
        </w:rPr>
        <w:t>"Comunicação (e-mail/mensagem)"</w:t>
      </w:r>
      <w:r>
        <w:rPr>
          <w:rFonts w:ascii="Calibri" w:hAnsi="Calibri"/>
          <w:b w:val="0"/>
          <w:i w:val="0"/>
          <w:sz w:val="22"/>
        </w:rPr>
        <w:t>, aparece um aviso adicional:</w:t>
      </w:r>
    </w:p>
    <w:p>
      <w:pPr>
        <w:spacing w:before="100" w:after="60"/>
        <w:ind w:left="227" w:right="170"/>
        <w:jc w:val="both"/>
        <w:pBdr>
          <w:left w:val="single" w:sz="24" w:space="6" w:color="2E75B6"/>
        </w:pBdr>
        <w:shd w:val="clear" w:color="auto" w:fill="EBF3FB"/>
      </w:pPr>
      <w:r>
        <w:rPr>
          <w:rFonts w:ascii="Calibri" w:hAnsi="Calibri"/>
          <w:b w:val="0"/>
          <w:i w:val="0"/>
          <w:sz w:val="20"/>
        </w:rPr>
        <w:t>Ao registrar mensagens ou gravações, observe as normas de privacidade aplicáveis e, quando pertinente, documente se houve consentimento na colaboração de quem forneceu o material.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Se </w:t>
      </w:r>
      <w:r>
        <w:rPr>
          <w:rFonts w:ascii="Calibri" w:hAnsi="Calibri"/>
          <w:b/>
          <w:i w:val="0"/>
          <w:sz w:val="22"/>
        </w:rPr>
        <w:t>"Extrato ou conteúdo integral?"</w:t>
      </w:r>
      <w:r>
        <w:rPr>
          <w:rFonts w:ascii="Calibri" w:hAnsi="Calibri"/>
          <w:b w:val="0"/>
          <w:i w:val="0"/>
          <w:sz w:val="22"/>
        </w:rPr>
        <w:t xml:space="preserve"> for marcado como </w:t>
      </w:r>
      <w:r>
        <w:rPr>
          <w:rFonts w:ascii="Calibri" w:hAnsi="Calibri"/>
          <w:b/>
          <w:i w:val="0"/>
          <w:sz w:val="22"/>
        </w:rPr>
        <w:t>"Não"</w:t>
      </w:r>
      <w:r>
        <w:rPr>
          <w:rFonts w:ascii="Calibri" w:hAnsi="Calibri"/>
          <w:b w:val="0"/>
          <w:i w:val="0"/>
          <w:sz w:val="22"/>
        </w:rPr>
        <w:t xml:space="preserve">, surge o campo </w:t>
      </w:r>
      <w:r>
        <w:rPr>
          <w:rFonts w:ascii="Calibri" w:hAnsi="Calibri"/>
          <w:b/>
          <w:i w:val="0"/>
          <w:sz w:val="22"/>
        </w:rPr>
        <w:t>Justificativa</w:t>
      </w:r>
      <w:r>
        <w:rPr>
          <w:rFonts w:ascii="Calibri" w:hAnsi="Calibri"/>
          <w:b w:val="0"/>
          <w:i w:val="0"/>
          <w:sz w:val="22"/>
        </w:rPr>
        <w:t xml:space="preserve"> (área de texto, com o próprio rótulo indicando "obrigatória"). Se deixada em branco, o Veritas bloqueia com "Justificativa obrigatória para extrato parcial.". Junto do campo aparece a dica:</w:t>
      </w:r>
    </w:p>
    <w:p>
      <w:pPr>
        <w:spacing w:before="100" w:after="60"/>
        <w:ind w:left="227" w:right="170"/>
        <w:jc w:val="both"/>
        <w:pBdr>
          <w:left w:val="single" w:sz="24" w:space="6" w:color="BFA040"/>
        </w:pBdr>
        <w:shd w:val="clear" w:color="auto" w:fill="FFF8E1"/>
      </w:pPr>
      <w:r>
        <w:rPr>
          <w:rFonts w:ascii="Arial Narrow" w:hAnsi="Arial Narrow"/>
          <w:b/>
          <w:color w:val="BFA040"/>
          <w:sz w:val="18"/>
        </w:rPr>
        <w:t xml:space="preserve">DICA — INTEGRALIDADE  </w:t>
      </w:r>
      <w:r>
        <w:rPr>
          <w:rFonts w:ascii="Calibri" w:hAnsi="Calibri"/>
          <w:b w:val="0"/>
          <w:i w:val="0"/>
          <w:sz w:val="20"/>
        </w:rPr>
        <w:t>Cuidado: decisões não devem se fundamentar em prints de tela, áudios isolados ou trechos sem contexto. Se este é um extrato parcial, registre por que o conteúdo integral não foi anexado e avalie a necessidade de complementação.</w:t>
      </w:r>
    </w:p>
    <w:p>
      <w:pPr>
        <w:pStyle w:val="Heading3"/>
      </w:pPr>
      <w:r>
        <w:rPr>
          <w:rFonts w:ascii="Calibri" w:hAnsi="Calibri"/>
          <w:b/>
          <w:color w:val="1E3A5F"/>
          <w:sz w:val="22"/>
        </w:rPr>
        <w:t>Etapa 2 — Proveniência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O campo central da Etapa 2 é a escolha do </w:t>
      </w:r>
      <w:r>
        <w:rPr>
          <w:rFonts w:ascii="Calibri" w:hAnsi="Calibri"/>
          <w:b/>
          <w:i w:val="0"/>
          <w:sz w:val="22"/>
        </w:rPr>
        <w:t>tipo de proveniência</w:t>
      </w:r>
      <w:r>
        <w:rPr>
          <w:rFonts w:ascii="Calibri" w:hAnsi="Calibri"/>
          <w:b w:val="0"/>
          <w:i w:val="0"/>
          <w:sz w:val="22"/>
        </w:rPr>
        <w:t>, um grupo de opções sem rótulo próprio (é obrigatório escolher um; caso contrário, "Selecione o tipo de proveniência."). Há três tipos, cada um revelando um conjunto próprio de campos: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381"/>
            <w:shd w:val="clear" w:color="auto" w:fill="1E3A5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402"/>
            <w:shd w:val="clear" w:color="auto" w:fill="1E3A5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Quando usar</w:t>
            </w:r>
          </w:p>
        </w:tc>
        <w:tc>
          <w:tcPr>
            <w:tcW w:type="dxa" w:w="3005"/>
            <w:shd w:val="clear" w:color="auto" w:fill="1E3A5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Campos revelados</w:t>
            </w:r>
          </w:p>
        </w:tc>
      </w:tr>
      <w:tr>
        <w:tc>
          <w:tcPr>
            <w:tcW w:type="dxa" w:w="2381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A) Gerado internamente</w:t>
            </w:r>
          </w:p>
        </w:tc>
        <w:tc>
          <w:tcPr>
            <w:tcW w:type="dxa" w:w="3402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Print, PDF exportado, foto de diligência — o Veritas calcula o hash no momento da coleta.</w:t>
            </w:r>
          </w:p>
        </w:tc>
        <w:tc>
          <w:tcPr>
            <w:tcW w:type="dxa" w:w="3005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Quem coletou; Contexto da coleta; Local/situação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B) Recebido com hash oficial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PJe, ofício de compartilhamento, operação conjunta — a comissão declara o hash da origem.</w:t>
            </w:r>
          </w:p>
        </w:tc>
        <w:tc>
          <w:tcPr>
            <w:tcW w:type="dxa" w:w="3005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Processo judicial de origem; Órgão expedidor; Natureza do compartilhamento; Nome/codinome da operação; Data do ofício/decisão; Data de recebimento pela Coger; Nº do ofício/expediente; Modo do hash declarado (por arquivo / pacote)</w:t>
            </w:r>
          </w:p>
        </w:tc>
      </w:tr>
      <w:tr>
        <w:tc>
          <w:tcPr>
            <w:tcW w:type="dxa" w:w="2381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C) Extraído de sistema com trilha própria</w:t>
            </w:r>
          </w:p>
        </w:tc>
        <w:tc>
          <w:tcPr>
            <w:tcW w:type="dxa" w:w="3402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Extração ativa pela própria Coger, com acesso institucional.</w:t>
            </w:r>
          </w:p>
        </w:tc>
        <w:tc>
          <w:tcPr>
            <w:tcW w:type="dxa" w:w="3005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Sistema de origem; ID do documento no sistema de origem; Nº do processo de origem; Usuário que extraiu; Data/hora da extração</w:t>
            </w:r>
          </w:p>
        </w:tc>
      </w:tr>
    </w:tbl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No </w:t>
      </w:r>
      <w:r>
        <w:rPr>
          <w:rFonts w:ascii="Calibri" w:hAnsi="Calibri"/>
          <w:b/>
          <w:i w:val="0"/>
          <w:sz w:val="22"/>
        </w:rPr>
        <w:t>tipo B</w:t>
      </w:r>
      <w:r>
        <w:rPr>
          <w:rFonts w:ascii="Calibri" w:hAnsi="Calibri"/>
          <w:b w:val="0"/>
          <w:i w:val="0"/>
          <w:sz w:val="22"/>
        </w:rPr>
        <w:t xml:space="preserve">, ao lado dos campos de recebimento aparece o grupo </w:t>
      </w:r>
      <w:r>
        <w:rPr>
          <w:rFonts w:ascii="Calibri" w:hAnsi="Calibri"/>
          <w:b/>
          <w:i w:val="0"/>
          <w:sz w:val="22"/>
        </w:rPr>
        <w:t>"Modo do hash declarado pela origem"</w:t>
      </w:r>
      <w:r>
        <w:rPr>
          <w:rFonts w:ascii="Calibri" w:hAnsi="Calibri"/>
          <w:b w:val="0"/>
          <w:i w:val="0"/>
          <w:sz w:val="22"/>
        </w:rPr>
        <w:t xml:space="preserve">, com duas opções: </w:t>
      </w:r>
      <w:r>
        <w:rPr>
          <w:rFonts w:ascii="Calibri" w:hAnsi="Calibri"/>
          <w:b/>
          <w:i w:val="0"/>
          <w:sz w:val="22"/>
        </w:rPr>
        <w:t>"Hash declarado individualmente por arquivo"</w:t>
      </w:r>
      <w:r>
        <w:rPr>
          <w:rFonts w:ascii="Calibri" w:hAnsi="Calibri"/>
          <w:b w:val="0"/>
          <w:i w:val="0"/>
          <w:sz w:val="22"/>
        </w:rPr>
        <w:t xml:space="preserve"> (o padrão) ou </w:t>
      </w:r>
      <w:r>
        <w:rPr>
          <w:rFonts w:ascii="Calibri" w:hAnsi="Calibri"/>
          <w:b/>
          <w:i w:val="0"/>
          <w:sz w:val="22"/>
        </w:rPr>
        <w:t>"Hash único do pacote compactado"</w:t>
      </w:r>
      <w:r>
        <w:rPr>
          <w:rFonts w:ascii="Calibri" w:hAnsi="Calibri"/>
          <w:b w:val="0"/>
          <w:i w:val="0"/>
          <w:sz w:val="22"/>
        </w:rPr>
        <w:t xml:space="preserve">. Se o modo for "pacote", aparecem ainda os campos </w:t>
      </w:r>
      <w:r>
        <w:rPr>
          <w:rFonts w:ascii="Calibri" w:hAnsi="Calibri"/>
          <w:b/>
          <w:i w:val="0"/>
          <w:sz w:val="22"/>
        </w:rPr>
        <w:t>Hash declarado do pacote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alibri" w:hAnsi="Calibri"/>
          <w:b/>
          <w:i w:val="0"/>
          <w:sz w:val="22"/>
        </w:rPr>
        <w:t>Algoritmo declarado</w:t>
      </w:r>
      <w:r>
        <w:rPr>
          <w:rFonts w:ascii="Calibri" w:hAnsi="Calibri"/>
          <w:b w:val="0"/>
          <w:i w:val="0"/>
          <w:sz w:val="22"/>
        </w:rPr>
        <w:t xml:space="preserve"> (padrão "SHA-256"), e o Veritas exibe um aviso fixo explicando que, nesse modo, a comparação por arquivo individual não se aplica: cada arquivo é conferido, na Conferência Geral, contra o hash local originalmente registrado (consistência interna), não contra o hash do pacote.</w:t>
      </w:r>
    </w:p>
    <w:p>
      <w:pPr>
        <w:spacing w:before="100" w:after="60"/>
        <w:ind w:left="227" w:right="170"/>
        <w:jc w:val="both"/>
        <w:pBdr>
          <w:left w:val="single" w:sz="24" w:space="6" w:color="2E75B6"/>
        </w:pBdr>
        <w:shd w:val="clear" w:color="auto" w:fill="EBF3FB"/>
      </w:pPr>
      <w:r>
        <w:rPr>
          <w:rFonts w:ascii="Arial Narrow" w:hAnsi="Arial Narrow"/>
          <w:b/>
          <w:color w:val="2E75B6"/>
          <w:sz w:val="18"/>
        </w:rPr>
        <w:t xml:space="preserve">DICA — CUSTÓDIA EXTERNA (TIPO B)  </w:t>
      </w:r>
      <w:r>
        <w:rPr>
          <w:rFonts w:ascii="Calibri" w:hAnsi="Calibri"/>
          <w:b w:val="0"/>
          <w:i w:val="0"/>
          <w:sz w:val="20"/>
        </w:rPr>
        <w:t xml:space="preserve">A partir daqui você documenta a </w:t>
      </w:r>
      <w:r>
        <w:rPr>
          <w:rFonts w:ascii="Calibri" w:hAnsi="Calibri"/>
          <w:b/>
          <w:i w:val="0"/>
          <w:sz w:val="20"/>
        </w:rPr>
        <w:t>cadeia externa</w:t>
      </w:r>
      <w:r>
        <w:rPr>
          <w:rFonts w:ascii="Calibri" w:hAnsi="Calibri"/>
          <w:b w:val="0"/>
          <w:i w:val="0"/>
          <w:sz w:val="20"/>
        </w:rPr>
        <w:t>: o que aconteceu antes do recebimento pela Coger não está sob seu controle direto. Registre com precisão a origem e o hash declarado — é essa comparação que sustenta a continuidade da prova.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Ao final da Etapa 2, independentemente do tipo escolhido, o Veritas pergunta se </w:t>
      </w:r>
      <w:r>
        <w:rPr>
          <w:rFonts w:ascii="Calibri" w:hAnsi="Calibri"/>
          <w:b/>
          <w:i w:val="0"/>
          <w:sz w:val="22"/>
        </w:rPr>
        <w:t>"Este item inclui um elemento físico (documento físico, HD, celular, mídia removível etc.), além do(s) arquivo(s) digital(is)?"</w:t>
      </w:r>
      <w:r>
        <w:rPr>
          <w:rFonts w:ascii="Calibri" w:hAnsi="Calibri"/>
          <w:b w:val="0"/>
          <w:i w:val="0"/>
          <w:sz w:val="22"/>
        </w:rPr>
        <w:t>. Se marcado, revela: Tipo de elemento físico (Documento físico, HD/dispositivo de armazenamento, Celular/smartphone, Mídia removível, Outro); Nº do lacre; Condição do lacre (Íntegro, Rompido, Não lacrado); Descrição do lacre (cor/característica); Local de guarda física; e Responsável pela guarda física.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919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tas-cadeia-custod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707070"/>
          <w:sz w:val="18"/>
        </w:rPr>
        <w:t>Figura 2 — Etapa 2, Proveniência — detalhamento do tipo de proveniência e do bloco de elemento físico.</w:t>
      </w:r>
    </w:p>
    <w:p>
      <w:pPr>
        <w:spacing w:before="100" w:after="60"/>
        <w:ind w:left="227" w:right="170"/>
        <w:jc w:val="both"/>
        <w:pBdr>
          <w:left w:val="single" w:sz="24" w:space="6" w:color="2E75B6"/>
        </w:pBdr>
        <w:shd w:val="clear" w:color="auto" w:fill="EBF3FB"/>
      </w:pPr>
      <w:r>
        <w:rPr>
          <w:rFonts w:ascii="Arial Narrow" w:hAnsi="Arial Narrow"/>
          <w:b/>
          <w:color w:val="2E75B6"/>
          <w:sz w:val="18"/>
        </w:rPr>
        <w:t xml:space="preserve">DICA — LACRE FÍSICO  </w:t>
      </w:r>
      <w:r>
        <w:rPr>
          <w:rFonts w:ascii="Calibri" w:hAnsi="Calibri"/>
          <w:b w:val="0"/>
          <w:i w:val="0"/>
          <w:sz w:val="20"/>
        </w:rPr>
        <w:t>Documentos físicos e dispositivos (HD, celular, mídia removível) não têm hash — a integridade deles se sustenta pelo lacre. Registre o nº do lacre, sua condição no recebimento/coleta e o local de guarda física; use "Registrar evento → Conferência do lacre" sempre que o objeto for reaberto ou transferido.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>Nenhum campo da Etapa 2 é, individualmente, obrigatório em si — a única checagem de fato é a escolha do tipo de proveniência. Marcar o elemento físico como presente, porém, tem um efeito importante na Etapa 3: dispensa a exigência de anexar arquivo digital.</w:t>
      </w:r>
    </w:p>
    <w:p>
      <w:pPr>
        <w:pStyle w:val="Heading3"/>
      </w:pPr>
      <w:r>
        <w:rPr>
          <w:rFonts w:ascii="Calibri" w:hAnsi="Calibri"/>
          <w:b/>
          <w:color w:val="1E3A5F"/>
          <w:sz w:val="22"/>
        </w:rPr>
        <w:t>Como o Veritas calcula o hash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O hash de cada arquivo é calculado </w:t>
      </w:r>
      <w:r>
        <w:rPr>
          <w:rFonts w:ascii="Calibri" w:hAnsi="Calibri"/>
          <w:b/>
          <w:i w:val="0"/>
          <w:sz w:val="22"/>
        </w:rPr>
        <w:t>no momento em que o usuário anexa o arquivo</w:t>
      </w:r>
      <w:r>
        <w:rPr>
          <w:rFonts w:ascii="Calibri" w:hAnsi="Calibri"/>
          <w:b w:val="0"/>
          <w:i w:val="0"/>
          <w:sz w:val="22"/>
        </w:rPr>
        <w:t xml:space="preserve"> — ao clicar no botão </w:t>
      </w:r>
      <w:r>
        <w:rPr>
          <w:rFonts w:ascii="Calibri" w:hAnsi="Calibri"/>
          <w:b/>
          <w:i w:val="0"/>
          <w:sz w:val="22"/>
        </w:rPr>
        <w:t>"Calcular hash e adicionar"</w:t>
      </w:r>
      <w:r>
        <w:rPr>
          <w:rFonts w:ascii="Calibri" w:hAnsi="Calibri"/>
          <w:b w:val="0"/>
          <w:i w:val="0"/>
          <w:sz w:val="22"/>
        </w:rPr>
        <w:t xml:space="preserve"> — e não ao salvar o item inteiro, nem automaticamente ao apenas selecionar o arquivo no campo de upload. O cálculo é feito com o algoritmo SHA-256 sobre </w:t>
      </w:r>
      <w:r>
        <w:rPr>
          <w:rFonts w:ascii="Calibri" w:hAnsi="Calibri"/>
          <w:b/>
          <w:i w:val="0"/>
          <w:sz w:val="22"/>
        </w:rPr>
        <w:t>o conteúdo binário bruto do arquivo anexado</w:t>
      </w:r>
      <w:r>
        <w:rPr>
          <w:rFonts w:ascii="Calibri" w:hAnsi="Calibri"/>
          <w:b w:val="0"/>
          <w:i w:val="0"/>
          <w:sz w:val="22"/>
        </w:rPr>
        <w:t xml:space="preserve"> (os bytes do arquivo em si, não metadados como nome ou data). No mesmo instante, o Veritas grava um carimbo de data/hora local (relógio do computador do usuário).</w:t>
      </w:r>
    </w:p>
    <w:p>
      <w:pPr>
        <w:spacing w:before="100" w:after="60"/>
        <w:ind w:left="227" w:right="170"/>
        <w:jc w:val="both"/>
        <w:pBdr>
          <w:left w:val="single" w:sz="24" w:space="6" w:color="2E75B6"/>
        </w:pBdr>
        <w:shd w:val="clear" w:color="auto" w:fill="EBF3FB"/>
      </w:pPr>
      <w:r>
        <w:rPr>
          <w:rFonts w:ascii="Arial Narrow" w:hAnsi="Arial Narrow"/>
          <w:b/>
          <w:color w:val="2E75B6"/>
          <w:sz w:val="18"/>
        </w:rPr>
        <w:t xml:space="preserve">DICA — CARIMBO LOCAL  </w:t>
      </w:r>
      <w:r>
        <w:rPr>
          <w:rFonts w:ascii="Calibri" w:hAnsi="Calibri"/>
          <w:b w:val="0"/>
          <w:i w:val="0"/>
          <w:sz w:val="20"/>
        </w:rPr>
        <w:t>O carimbo de data/hora é o relógio deste computador, não um selo de tempo com autoridade certificadora. Tem valor para mostrar consistência interna do arquivo, não para provar o instante exato de forma inatacável.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A </w:t>
      </w:r>
      <w:r>
        <w:rPr>
          <w:rFonts w:ascii="Calibri" w:hAnsi="Calibri"/>
          <w:b/>
          <w:i w:val="0"/>
          <w:sz w:val="22"/>
        </w:rPr>
        <w:t>comparação automática</w:t>
      </w:r>
      <w:r>
        <w:rPr>
          <w:rFonts w:ascii="Calibri" w:hAnsi="Calibri"/>
          <w:b w:val="0"/>
          <w:i w:val="0"/>
          <w:sz w:val="22"/>
        </w:rPr>
        <w:t xml:space="preserve"> entre o hash calculado localmente e um hash declarado pela origem só ocorre em um caso específico: proveniência do </w:t>
      </w:r>
      <w:r>
        <w:rPr>
          <w:rFonts w:ascii="Calibri" w:hAnsi="Calibri"/>
          <w:b/>
          <w:i w:val="0"/>
          <w:sz w:val="22"/>
        </w:rPr>
        <w:t>tipo B (recebido com hash oficial)</w:t>
      </w:r>
      <w:r>
        <w:rPr>
          <w:rFonts w:ascii="Calibri" w:hAnsi="Calibri"/>
          <w:b w:val="0"/>
          <w:i w:val="0"/>
          <w:sz w:val="22"/>
        </w:rPr>
        <w:t xml:space="preserve">, com </w:t>
      </w:r>
      <w:r>
        <w:rPr>
          <w:rFonts w:ascii="Calibri" w:hAnsi="Calibri"/>
          <w:b/>
          <w:i w:val="0"/>
          <w:sz w:val="22"/>
        </w:rPr>
        <w:t>modo "por arquivo"</w:t>
      </w:r>
      <w:r>
        <w:rPr>
          <w:rFonts w:ascii="Calibri" w:hAnsi="Calibri"/>
          <w:b w:val="0"/>
          <w:i w:val="0"/>
          <w:sz w:val="22"/>
        </w:rPr>
        <w:t xml:space="preserve">, e apenas quando o campo </w:t>
      </w:r>
      <w:r>
        <w:rPr>
          <w:rFonts w:ascii="Calibri" w:hAnsi="Calibri"/>
          <w:b/>
          <w:i w:val="0"/>
          <w:sz w:val="22"/>
        </w:rPr>
        <w:t>"Hash declarado pela origem (deste arquivo)"</w:t>
      </w:r>
      <w:r>
        <w:rPr>
          <w:rFonts w:ascii="Calibri" w:hAnsi="Calibri"/>
          <w:b w:val="0"/>
          <w:i w:val="0"/>
          <w:sz w:val="22"/>
        </w:rPr>
        <w:t xml:space="preserve"> foi preenchido para aquele arquivo. Nesse caso o resultado é </w:t>
      </w:r>
      <w:r>
        <w:rPr>
          <w:rFonts w:ascii="Calibri" w:hAnsi="Calibri"/>
          <w:b/>
          <w:i w:val="0"/>
          <w:sz w:val="22"/>
        </w:rPr>
        <w:t>"Confere"</w:t>
      </w:r>
      <w:r>
        <w:rPr>
          <w:rFonts w:ascii="Calibri" w:hAnsi="Calibri"/>
          <w:b w:val="0"/>
          <w:i w:val="0"/>
          <w:sz w:val="22"/>
        </w:rPr>
        <w:t xml:space="preserve"> ou </w:t>
      </w:r>
      <w:r>
        <w:rPr>
          <w:rFonts w:ascii="Calibri" w:hAnsi="Calibri"/>
          <w:b/>
          <w:i w:val="0"/>
          <w:sz w:val="22"/>
        </w:rPr>
        <w:t>"Diverge"</w:t>
      </w:r>
      <w:r>
        <w:rPr>
          <w:rFonts w:ascii="Calibri" w:hAnsi="Calibri"/>
          <w:b w:val="0"/>
          <w:i w:val="0"/>
          <w:sz w:val="22"/>
        </w:rPr>
        <w:t xml:space="preserve">. Em todos os demais casos — tipo A, tipo C, tipo B em modo "pacote", ou campo de hash declarado vazio — o resultado é </w:t>
      </w:r>
      <w:r>
        <w:rPr>
          <w:rFonts w:ascii="Calibri" w:hAnsi="Calibri"/>
          <w:b/>
          <w:i w:val="0"/>
          <w:sz w:val="22"/>
        </w:rPr>
        <w:t>"Não aplicável"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Depois de salvo o item, um novo arquivo pode ser anexado a qualquer momento para uma </w:t>
      </w:r>
      <w:r>
        <w:rPr>
          <w:rFonts w:ascii="Calibri" w:hAnsi="Calibri"/>
          <w:b/>
          <w:i w:val="0"/>
          <w:sz w:val="22"/>
        </w:rPr>
        <w:t>Conferência de integridade</w:t>
      </w:r>
      <w:r>
        <w:rPr>
          <w:rFonts w:ascii="Calibri" w:hAnsi="Calibri"/>
          <w:b w:val="0"/>
          <w:i w:val="0"/>
          <w:sz w:val="22"/>
        </w:rPr>
        <w:t>: o Veritas recalcula o hash do arquivo reanexado e o compara com a referência gravada originalmente, registrando um evento de "Conferência" na linha do tempo. Em caso de divergência, a observação fixa registrada é "Divergência encontrada na conferência — ver princípio do prejuízo.".</w:t>
      </w:r>
    </w:p>
    <w:p>
      <w:pPr>
        <w:spacing w:before="100" w:after="60"/>
        <w:ind w:left="227" w:right="170"/>
        <w:jc w:val="both"/>
        <w:pBdr>
          <w:left w:val="single" w:sz="24" w:space="6" w:color="BFA040"/>
        </w:pBdr>
        <w:shd w:val="clear" w:color="auto" w:fill="FFF8E1"/>
      </w:pPr>
      <w:r>
        <w:rPr>
          <w:rFonts w:ascii="Arial Narrow" w:hAnsi="Arial Narrow"/>
          <w:b/>
          <w:color w:val="BFA040"/>
          <w:sz w:val="18"/>
        </w:rPr>
        <w:t xml:space="preserve">PRINCÍPIO DO PREJUÍZO  </w:t>
      </w:r>
      <w:r>
        <w:rPr>
          <w:rFonts w:ascii="Calibri" w:hAnsi="Calibri"/>
          <w:b w:val="0"/>
          <w:i w:val="0"/>
          <w:sz w:val="20"/>
        </w:rPr>
        <w:t>Uma divergência ou lacuna formal na cadeia de custódia não gera nulidade automática. Registre o ocorrido com precisão e avalie se há prejuízo concreto e demonstrável para a acusação ou para a defesa — esse é o critério que prevalece, não a falha formal isolada em si.</w:t>
      </w:r>
    </w:p>
    <w:p>
      <w:pPr>
        <w:pStyle w:val="Heading3"/>
      </w:pPr>
      <w:r>
        <w:rPr>
          <w:rFonts w:ascii="Calibri" w:hAnsi="Calibri"/>
          <w:b/>
          <w:color w:val="1E3A5F"/>
          <w:sz w:val="22"/>
        </w:rPr>
        <w:t>Etapa 3 — Arquivos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Para cada arquivo anexado, o formulário oferece: </w:t>
      </w:r>
      <w:r>
        <w:rPr>
          <w:rFonts w:ascii="Calibri" w:hAnsi="Calibri"/>
          <w:b/>
          <w:i w:val="0"/>
          <w:sz w:val="22"/>
        </w:rPr>
        <w:t>Descrição do arquivo no pacote</w:t>
      </w:r>
      <w:r>
        <w:rPr>
          <w:rFonts w:ascii="Calibri" w:hAnsi="Calibri"/>
          <w:b w:val="0"/>
          <w:i w:val="0"/>
          <w:sz w:val="22"/>
        </w:rPr>
        <w:t xml:space="preserve"> (texto livre, opcional); </w:t>
      </w:r>
      <w:r>
        <w:rPr>
          <w:rFonts w:ascii="Calibri" w:hAnsi="Calibri"/>
          <w:b/>
          <w:i w:val="0"/>
          <w:sz w:val="22"/>
        </w:rPr>
        <w:t>Hash declarado pela origem (deste arquivo)</w:t>
      </w:r>
      <w:r>
        <w:rPr>
          <w:rFonts w:ascii="Calibri" w:hAnsi="Calibri"/>
          <w:b w:val="0"/>
          <w:i w:val="0"/>
          <w:sz w:val="22"/>
        </w:rPr>
        <w:t xml:space="preserve"> (só aparece quando a proveniência é tipo B em modo "por arquivo"); e o próprio </w:t>
      </w:r>
      <w:r>
        <w:rPr>
          <w:rFonts w:ascii="Calibri" w:hAnsi="Calibri"/>
          <w:b/>
          <w:i w:val="0"/>
          <w:sz w:val="22"/>
        </w:rPr>
        <w:t>Arquivo</w:t>
      </w:r>
      <w:r>
        <w:rPr>
          <w:rFonts w:ascii="Calibri" w:hAnsi="Calibri"/>
          <w:b w:val="0"/>
          <w:i w:val="0"/>
          <w:sz w:val="22"/>
        </w:rPr>
        <w:t xml:space="preserve"> (seleção de arquivo), obrigatório para clicar em "Calcular hash e adicionar" — sem arquivo selecionado, a mensagem é "Selecione um arquivo.".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A validação da etapa exige </w:t>
      </w:r>
      <w:r>
        <w:rPr>
          <w:rFonts w:ascii="Calibri" w:hAnsi="Calibri"/>
          <w:b/>
          <w:i w:val="0"/>
          <w:sz w:val="22"/>
        </w:rPr>
        <w:t>ao menos um arquivo anexado</w:t>
      </w:r>
      <w:r>
        <w:rPr>
          <w:rFonts w:ascii="Calibri" w:hAnsi="Calibri"/>
          <w:b w:val="0"/>
          <w:i w:val="0"/>
          <w:sz w:val="22"/>
        </w:rPr>
        <w:t>, a menos que o elemento físico tenha sido marcado como presente na Etapa 2 — nesse caso, o arquivo digital passa a ser opcional (por exemplo, uma foto do objeto lacrado). Sem arquivo e sem elemento físico, a mensagem de bloqueio é "Adicione ao menos um arquivo (ou marque o elemento físico na Proveniência).".</w:t>
      </w:r>
    </w:p>
    <w:p>
      <w:pPr>
        <w:pStyle w:val="Heading3"/>
      </w:pPr>
      <w:r>
        <w:rPr>
          <w:rFonts w:ascii="Calibri" w:hAnsi="Calibri"/>
          <w:b/>
          <w:color w:val="1E3A5F"/>
          <w:sz w:val="22"/>
        </w:rPr>
        <w:t>Etapa 4 — Linha do tempo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A última etapa oferece três campos, todos opcionais e não validados: </w:t>
      </w:r>
      <w:r>
        <w:rPr>
          <w:rFonts w:ascii="Calibri" w:hAnsi="Calibri"/>
          <w:b/>
          <w:i w:val="0"/>
          <w:sz w:val="22"/>
        </w:rPr>
        <w:t>Responsável pelo registro na ferramenta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alibri" w:hAnsi="Calibri"/>
          <w:b/>
          <w:i w:val="0"/>
          <w:sz w:val="22"/>
        </w:rPr>
        <w:t>Custodiante atual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alibri" w:hAnsi="Calibri"/>
          <w:b/>
          <w:i w:val="0"/>
          <w:sz w:val="22"/>
        </w:rPr>
        <w:t>Observações livres</w:t>
      </w:r>
      <w:r>
        <w:rPr>
          <w:rFonts w:ascii="Calibri" w:hAnsi="Calibri"/>
          <w:b w:val="0"/>
          <w:i w:val="0"/>
          <w:sz w:val="22"/>
        </w:rPr>
        <w:t>. Abaixo, uma prévia mostra os eventos automáticos que serão gerados ao salvar (identificação do item, cálculo de hash de cada arquivo etc.).</w:t>
      </w:r>
    </w:p>
    <w:p>
      <w:pPr>
        <w:pStyle w:val="Heading2"/>
        <w:pBdr>
          <w:left w:val="single" w:sz="18" w:space="6" w:color="BFA040"/>
        </w:pBdr>
      </w:pPr>
      <w:r>
        <w:rPr>
          <w:rFonts w:ascii="Arial Narrow" w:hAnsi="Arial Narrow"/>
          <w:b/>
          <w:color w:val="1E3A5F"/>
          <w:sz w:val="26"/>
        </w:rPr>
        <w:t>2.2 Consulta e edição de prova já cadastrada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>Uma prova salva é reaberta clicando em sua linha na tabela de itens da tela do processo (ou no ícone de edição ao final da linha).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67618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tas-consulta-listage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76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707070"/>
          <w:sz w:val="18"/>
        </w:rPr>
        <w:t>Figura 3 — Listagem de itens cadastrados na tela do processo — consulta.</w:t>
      </w:r>
    </w:p>
    <w:p>
      <w:pPr>
        <w:spacing w:after="100" w:line="280" w:lineRule="exact"/>
        <w:jc w:val="both"/>
      </w:pPr>
      <w:r>
        <w:rPr>
          <w:rFonts w:ascii="Calibri" w:hAnsi="Calibri"/>
          <w:b/>
          <w:i w:val="0"/>
          <w:sz w:val="22"/>
        </w:rPr>
        <w:t>Campos que permanecem editáveis</w:t>
      </w:r>
      <w:r>
        <w:rPr>
          <w:rFonts w:ascii="Calibri" w:hAnsi="Calibri"/>
          <w:b w:val="0"/>
          <w:i w:val="0"/>
          <w:sz w:val="22"/>
        </w:rPr>
        <w:t xml:space="preserve"> depois de salvo (cada alteração é gravada imediatamente):</w:t>
      </w:r>
    </w:p>
    <w:p>
      <w:pPr>
        <w:spacing w:after="60" w:line="270" w:lineRule="exact"/>
        <w:ind w:left="397"/>
        <w:jc w:val="both"/>
      </w:pPr>
      <w:r>
        <w:t xml:space="preserve">— </w:t>
      </w:r>
      <w:r>
        <w:rPr>
          <w:rFonts w:ascii="Calibri" w:hAnsi="Calibri"/>
          <w:b w:val="0"/>
          <w:i w:val="0"/>
          <w:sz w:val="22"/>
        </w:rPr>
        <w:t>Título/descrição</w:t>
      </w:r>
    </w:p>
    <w:p>
      <w:pPr>
        <w:spacing w:after="60" w:line="270" w:lineRule="exact"/>
        <w:ind w:left="397"/>
        <w:jc w:val="both"/>
      </w:pPr>
      <w:r>
        <w:t xml:space="preserve">— </w:t>
      </w:r>
      <w:r>
        <w:rPr>
          <w:rFonts w:ascii="Calibri" w:hAnsi="Calibri"/>
          <w:b w:val="0"/>
          <w:i w:val="0"/>
          <w:sz w:val="22"/>
        </w:rPr>
        <w:t>Categoria (não pode ser esvaziada de volta para "Selecione…")</w:t>
      </w:r>
    </w:p>
    <w:p>
      <w:pPr>
        <w:spacing w:after="60" w:line="270" w:lineRule="exact"/>
        <w:ind w:left="397"/>
        <w:jc w:val="both"/>
      </w:pPr>
      <w:r>
        <w:t xml:space="preserve">— </w:t>
      </w:r>
      <w:r>
        <w:rPr>
          <w:rFonts w:ascii="Calibri" w:hAnsi="Calibri"/>
          <w:b w:val="0"/>
          <w:i w:val="0"/>
          <w:sz w:val="22"/>
        </w:rPr>
        <w:t>Nº/folha nos autos</w:t>
      </w:r>
    </w:p>
    <w:p>
      <w:pPr>
        <w:spacing w:after="60" w:line="270" w:lineRule="exact"/>
        <w:ind w:left="397"/>
        <w:jc w:val="both"/>
      </w:pPr>
      <w:r>
        <w:t xml:space="preserve">— </w:t>
      </w:r>
      <w:r>
        <w:rPr>
          <w:rFonts w:ascii="Calibri" w:hAnsi="Calibri"/>
          <w:b w:val="0"/>
          <w:i w:val="0"/>
          <w:sz w:val="22"/>
        </w:rPr>
        <w:t>Vinculado à matriz de apuração</w:t>
      </w:r>
    </w:p>
    <w:p>
      <w:pPr>
        <w:spacing w:after="60" w:line="270" w:lineRule="exact"/>
        <w:ind w:left="397"/>
        <w:jc w:val="both"/>
      </w:pPr>
      <w:r>
        <w:t xml:space="preserve">— </w:t>
      </w:r>
      <w:r>
        <w:rPr>
          <w:rFonts w:ascii="Calibri" w:hAnsi="Calibri"/>
          <w:b w:val="0"/>
          <w:i w:val="0"/>
          <w:sz w:val="22"/>
        </w:rPr>
        <w:t>Sigilo/classificação</w:t>
      </w:r>
    </w:p>
    <w:p>
      <w:pPr>
        <w:spacing w:after="60" w:line="270" w:lineRule="exact"/>
        <w:ind w:left="397"/>
        <w:jc w:val="both"/>
      </w:pPr>
      <w:r>
        <w:t xml:space="preserve">— </w:t>
      </w:r>
      <w:r>
        <w:rPr>
          <w:rFonts w:ascii="Calibri" w:hAnsi="Calibri"/>
          <w:b w:val="0"/>
          <w:i w:val="0"/>
          <w:sz w:val="22"/>
        </w:rPr>
        <w:t>Custodiante atual</w:t>
      </w:r>
    </w:p>
    <w:p>
      <w:pPr>
        <w:spacing w:after="100" w:line="280" w:lineRule="exact"/>
        <w:jc w:val="both"/>
      </w:pPr>
      <w:r>
        <w:rPr>
          <w:rFonts w:ascii="Calibri" w:hAnsi="Calibri"/>
          <w:b/>
          <w:i w:val="0"/>
          <w:sz w:val="22"/>
        </w:rPr>
        <w:t>Campos que ficam travados</w:t>
      </w:r>
      <w:r>
        <w:rPr>
          <w:rFonts w:ascii="Calibri" w:hAnsi="Calibri"/>
          <w:b w:val="0"/>
          <w:i w:val="0"/>
          <w:sz w:val="22"/>
        </w:rPr>
        <w:t xml:space="preserve"> (somente leitura) depois que o item é salvo:</w:t>
      </w:r>
    </w:p>
    <w:p>
      <w:pPr>
        <w:spacing w:after="60" w:line="270" w:lineRule="exact"/>
        <w:ind w:left="397"/>
        <w:jc w:val="both"/>
      </w:pPr>
      <w:r>
        <w:t xml:space="preserve">— </w:t>
      </w:r>
      <w:r>
        <w:rPr>
          <w:rFonts w:ascii="Calibri" w:hAnsi="Calibri"/>
          <w:b w:val="0"/>
          <w:i w:val="0"/>
          <w:sz w:val="22"/>
        </w:rPr>
        <w:t>Todo o bloco de Proveniência — tipo e todos os subcampos (quem coletou, processo judicial de origem, hash declarado do pacote, sistema de origem etc.)</w:t>
      </w:r>
    </w:p>
    <w:p>
      <w:pPr>
        <w:spacing w:after="60" w:line="270" w:lineRule="exact"/>
        <w:ind w:left="397"/>
        <w:jc w:val="both"/>
      </w:pPr>
      <w:r>
        <w:t xml:space="preserve">— </w:t>
      </w:r>
      <w:r>
        <w:rPr>
          <w:rFonts w:ascii="Calibri" w:hAnsi="Calibri"/>
          <w:b w:val="0"/>
          <w:i w:val="0"/>
          <w:sz w:val="22"/>
        </w:rPr>
        <w:t>O resumo de elemento físico, exceto a condição do lacre, que só muda através do evento "Conferência do lacre"</w:t>
      </w:r>
    </w:p>
    <w:p>
      <w:pPr>
        <w:spacing w:after="60" w:line="270" w:lineRule="exact"/>
        <w:ind w:left="397"/>
        <w:jc w:val="both"/>
      </w:pPr>
      <w:r>
        <w:t xml:space="preserve">— </w:t>
      </w:r>
      <w:r>
        <w:rPr>
          <w:rFonts w:ascii="Calibri" w:hAnsi="Calibri"/>
          <w:b w:val="0"/>
          <w:i w:val="0"/>
          <w:sz w:val="22"/>
        </w:rPr>
        <w:t>"Extrato ou conteúdo integral?" e a Justificativa associada (mostrados como selo, sem campo editável)</w:t>
      </w:r>
    </w:p>
    <w:p>
      <w:pPr>
        <w:spacing w:after="60" w:line="270" w:lineRule="exact"/>
        <w:ind w:left="397"/>
        <w:jc w:val="both"/>
      </w:pPr>
      <w:r>
        <w:t xml:space="preserve">— </w:t>
      </w:r>
      <w:r>
        <w:rPr>
          <w:rFonts w:ascii="Calibri" w:hAnsi="Calibri"/>
          <w:b w:val="0"/>
          <w:i w:val="0"/>
          <w:sz w:val="22"/>
        </w:rPr>
        <w:t>Status do item (só se altera pelo modal "Registrar evento")</w:t>
      </w:r>
    </w:p>
    <w:p>
      <w:pPr>
        <w:spacing w:after="60" w:line="270" w:lineRule="exact"/>
        <w:ind w:left="397"/>
        <w:jc w:val="both"/>
      </w:pPr>
      <w:r>
        <w:t xml:space="preserve">— </w:t>
      </w:r>
      <w:r>
        <w:rPr>
          <w:rFonts w:ascii="Calibri" w:hAnsi="Calibri"/>
          <w:b w:val="0"/>
          <w:i w:val="0"/>
          <w:sz w:val="22"/>
        </w:rPr>
        <w:t>Fundamentação de contestação (só via evento)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Arquivos podem ser </w:t>
      </w:r>
      <w:r>
        <w:rPr>
          <w:rFonts w:ascii="Calibri" w:hAnsi="Calibri"/>
          <w:b/>
          <w:i w:val="0"/>
          <w:sz w:val="22"/>
        </w:rPr>
        <w:t>adicionados</w:t>
      </w:r>
      <w:r>
        <w:rPr>
          <w:rFonts w:ascii="Calibri" w:hAnsi="Calibri"/>
          <w:b w:val="0"/>
          <w:i w:val="0"/>
          <w:sz w:val="22"/>
        </w:rPr>
        <w:t xml:space="preserve"> à prova já salva (pelo mesmo formulário "Calcular hash e adicionar"), mas não podem ser removidos ou substituídos. Eventos de linha do tempo só são incluídos por meio do modal </w:t>
      </w:r>
      <w:r>
        <w:rPr>
          <w:rFonts w:ascii="Calibri" w:hAnsi="Calibri"/>
          <w:b/>
          <w:i w:val="0"/>
          <w:sz w:val="22"/>
        </w:rPr>
        <w:t>"Registrar evento"</w:t>
      </w:r>
      <w:r>
        <w:rPr>
          <w:rFonts w:ascii="Calibri" w:hAnsi="Calibri"/>
          <w:b w:val="0"/>
          <w:i w:val="0"/>
          <w:sz w:val="22"/>
        </w:rPr>
        <w:t xml:space="preserve"> — nunca editados nem removidos depois de registrados. Os tipos de evento disponíveis são: Transferência de custódia, Enviado para perícia formal, Status alterado, Item descartado, Descrição/contexto registrado, e Conferência do lacre (só quando o item tem elemento físico presente).</w:t>
      </w:r>
    </w:p>
    <w:p>
      <w:pPr>
        <w:pStyle w:val="Heading2"/>
        <w:pBdr>
          <w:left w:val="single" w:sz="18" w:space="6" w:color="BFA040"/>
        </w:pBdr>
      </w:pPr>
      <w:r>
        <w:rPr>
          <w:rFonts w:ascii="Arial Narrow" w:hAnsi="Arial Narrow"/>
          <w:b/>
          <w:color w:val="1E3A5F"/>
          <w:sz w:val="26"/>
        </w:rPr>
        <w:t>2.3 Exportação isolada do dossiê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O botão </w:t>
      </w:r>
      <w:r>
        <w:rPr>
          <w:rFonts w:ascii="Calibri" w:hAnsi="Calibri"/>
          <w:b/>
          <w:i w:val="0"/>
          <w:sz w:val="22"/>
        </w:rPr>
        <w:t>"Exportar .json"</w:t>
      </w:r>
      <w:r>
        <w:rPr>
          <w:rFonts w:ascii="Calibri" w:hAnsi="Calibri"/>
          <w:b w:val="0"/>
          <w:i w:val="0"/>
          <w:sz w:val="22"/>
        </w:rPr>
        <w:t xml:space="preserve">, disponível no cabeçalho "Dados do processo" e também dentro do modal "Reiniciar dossiê" (como "Exportar .json antes"), gera um arquivo contendo </w:t>
      </w:r>
      <w:r>
        <w:rPr>
          <w:rFonts w:ascii="Calibri" w:hAnsi="Calibri"/>
          <w:b/>
          <w:i w:val="0"/>
          <w:sz w:val="22"/>
        </w:rPr>
        <w:t>o dossiê inteiro</w:t>
      </w:r>
      <w:r>
        <w:rPr>
          <w:rFonts w:ascii="Calibri" w:hAnsi="Calibri"/>
          <w:b w:val="0"/>
          <w:i w:val="0"/>
          <w:sz w:val="22"/>
        </w:rPr>
        <w:t xml:space="preserve"> — dados do processo, comissão, todos os itens, arquivos, proveniência e linhas do tempo — em um único JSON. O nome do arquivo segue o padrão `dossie-&lt;número do processo&gt;.json` (ou `dossie-veritas-digital-coger.json` se o processo não tiver número preenchido).</w:t>
      </w:r>
    </w:p>
    <w:p>
      <w:pPr>
        <w:spacing w:before="100" w:after="60"/>
        <w:ind w:left="227" w:right="170"/>
        <w:jc w:val="both"/>
        <w:pBdr>
          <w:left w:val="single" w:sz="24" w:space="6" w:color="BFA040"/>
        </w:pBdr>
        <w:shd w:val="clear" w:color="auto" w:fill="FFF8E1"/>
      </w:pPr>
      <w:r>
        <w:rPr>
          <w:rFonts w:ascii="Arial Narrow" w:hAnsi="Arial Narrow"/>
          <w:b/>
          <w:color w:val="BFA040"/>
          <w:sz w:val="18"/>
        </w:rPr>
        <w:t xml:space="preserve">ATENÇÃO — NÃO CONFUNDIR AS DUAS EXPORTAÇÕES  </w:t>
      </w:r>
      <w:r>
        <w:rPr>
          <w:rFonts w:ascii="Calibri" w:hAnsi="Calibri"/>
          <w:b w:val="0"/>
          <w:i w:val="0"/>
          <w:sz w:val="20"/>
        </w:rPr>
        <w:t xml:space="preserve">Não confunda </w:t>
      </w:r>
      <w:r>
        <w:rPr>
          <w:rFonts w:ascii="Calibri" w:hAnsi="Calibri"/>
          <w:b/>
          <w:i w:val="0"/>
          <w:sz w:val="20"/>
        </w:rPr>
        <w:t>"Exportar .json"</w:t>
      </w:r>
      <w:r>
        <w:rPr>
          <w:rFonts w:ascii="Calibri" w:hAnsi="Calibri"/>
          <w:b w:val="0"/>
          <w:i w:val="0"/>
          <w:sz w:val="20"/>
        </w:rPr>
        <w:t xml:space="preserve"> (exportação isolada do dossiê inteiro, para backup ou reabertura em outro navegador) com </w:t>
      </w:r>
      <w:r>
        <w:rPr>
          <w:rFonts w:ascii="Calibri" w:hAnsi="Calibri"/>
          <w:b/>
          <w:i w:val="0"/>
          <w:sz w:val="20"/>
        </w:rPr>
        <w:t>"Exportar provas → Nexo Coger"</w:t>
      </w:r>
      <w:r>
        <w:rPr>
          <w:rFonts w:ascii="Calibri" w:hAnsi="Calibri"/>
          <w:b w:val="0"/>
          <w:i w:val="0"/>
          <w:sz w:val="20"/>
        </w:rPr>
        <w:t xml:space="preserve"> — um botão diferente, que gera apenas as provas convertidas para o catálogo canônico de tipos de prova do Nexo Coger. Essa segunda exportação é o contrato de integração com o Nexo Coger e está documentada na Seção 5 deste manual.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Antes de reiniciar um dossiê (apagar os dados salvos no navegador), o Veritas sempre avisa: </w:t>
      </w:r>
      <w:r>
        <w:rPr>
          <w:rFonts w:ascii="Calibri" w:hAnsi="Calibri"/>
          <w:b/>
          <w:i w:val="0"/>
          <w:sz w:val="22"/>
        </w:rPr>
        <w:t>"Esta ação não pode ser desfeita — o dossiê só será recuperável se você tiver exportado o .json antes."</w:t>
      </w:r>
      <w:r>
        <w:rPr>
          <w:rFonts w:ascii="Calibri" w:hAnsi="Calibri"/>
          <w:b w:val="0"/>
          <w:i w:val="0"/>
          <w:sz w:val="22"/>
        </w:rPr>
        <w:t>.</w:t>
      </w:r>
    </w:p>
    <w:p>
      <w:r>
        <w:br w:type="page"/>
      </w:r>
    </w:p>
    <w:p>
      <w:pPr>
        <w:spacing w:after="40"/>
      </w:pPr>
      <w:r>
        <w:rPr>
          <w:rFonts w:ascii="Arial Narrow" w:hAnsi="Arial Narrow"/>
          <w:b/>
          <w:color w:val="BFA040"/>
          <w:sz w:val="18"/>
        </w:rPr>
        <w:t>SEÇÃO 3</w:t>
      </w:r>
    </w:p>
    <w:p>
      <w:pPr>
        <w:pStyle w:val="Heading1"/>
      </w:pPr>
      <w:r>
        <w:rPr>
          <w:rFonts w:ascii="Arial Narrow" w:hAnsi="Arial Narrow"/>
          <w:b/>
          <w:color w:val="1E3A5F"/>
          <w:sz w:val="40"/>
        </w:rPr>
        <w:t>Nexo Coger (uso isolado)</w:t>
      </w:r>
    </w:p>
    <w:p>
      <w:pPr>
        <w:spacing w:before="120" w:after="120"/>
        <w:pBdr>
          <w:bottom w:val="single" w:sz="8" w:space="1" w:color="BFA040"/>
        </w:pBdr>
      </w:pP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O </w:t>
      </w:r>
      <w:r>
        <w:rPr>
          <w:rFonts w:ascii="Calibri" w:hAnsi="Calibri"/>
          <w:b/>
          <w:i w:val="0"/>
          <w:sz w:val="22"/>
        </w:rPr>
        <w:t>Nexo Coger</w:t>
      </w:r>
      <w:r>
        <w:rPr>
          <w:rFonts w:ascii="Calibri" w:hAnsi="Calibri"/>
          <w:b w:val="0"/>
          <w:i w:val="0"/>
          <w:sz w:val="22"/>
        </w:rPr>
        <w:t xml:space="preserve"> constrói o </w:t>
      </w:r>
      <w:r>
        <w:rPr>
          <w:rFonts w:ascii="Calibri" w:hAnsi="Calibri"/>
          <w:b/>
          <w:i w:val="0"/>
          <w:sz w:val="22"/>
        </w:rPr>
        <w:t>mapa fato-prova-norma</w:t>
      </w:r>
      <w:r>
        <w:rPr>
          <w:rFonts w:ascii="Calibri" w:hAnsi="Calibri"/>
          <w:b w:val="0"/>
          <w:i w:val="0"/>
          <w:sz w:val="22"/>
        </w:rPr>
        <w:t xml:space="preserve"> de um processo disciplinar: para cada fato apurado, associa as provas que o sustentam e os enquadramentos legais aplicáveis, calcula automaticamente o estado probatório de cada fato, sinaliza pendências, e — quando a apuração estiver suficientemente madura — apoia a geração da minuta do termo de indiciação.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87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xo-mapa-fato-prova-norm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707070"/>
          <w:sz w:val="18"/>
        </w:rPr>
        <w:t>Figura 4 — Mapa fato-prova-norma do Nexo Coger, com arestas ligando fatos às provas vinculadas.</w:t>
      </w:r>
    </w:p>
    <w:p>
      <w:pPr>
        <w:pStyle w:val="Heading2"/>
        <w:pBdr>
          <w:left w:val="single" w:sz="18" w:space="6" w:color="BFA040"/>
        </w:pBdr>
      </w:pPr>
      <w:r>
        <w:rPr>
          <w:rFonts w:ascii="Arial Narrow" w:hAnsi="Arial Narrow"/>
          <w:b/>
          <w:color w:val="1E3A5F"/>
          <w:sz w:val="26"/>
        </w:rPr>
        <w:t>3.1 Cadastro de um fato apurado — campo a campo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>Os campos do formulário "Fato" aparecem, nesta ordem exata: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1.  </w:t>
      </w:r>
      <w:r>
        <w:rPr>
          <w:rFonts w:ascii="Calibri" w:hAnsi="Calibri"/>
          <w:b/>
          <w:i w:val="0"/>
          <w:sz w:val="22"/>
        </w:rPr>
        <w:t>Título</w:t>
      </w:r>
      <w:r>
        <w:rPr>
          <w:rFonts w:ascii="Calibri" w:hAnsi="Calibri"/>
          <w:b w:val="0"/>
          <w:i w:val="0"/>
          <w:sz w:val="22"/>
        </w:rPr>
        <w:t xml:space="preserve"> — texto livre. </w:t>
      </w:r>
      <w:r>
        <w:rPr>
          <w:rFonts w:ascii="Calibri" w:hAnsi="Calibri"/>
          <w:b/>
          <w:i w:val="0"/>
          <w:sz w:val="22"/>
        </w:rPr>
        <w:t>Obrigatório</w:t>
      </w:r>
      <w:r>
        <w:rPr>
          <w:rFonts w:ascii="Calibri" w:hAnsi="Calibri"/>
          <w:b w:val="0"/>
          <w:i w:val="0"/>
          <w:sz w:val="22"/>
        </w:rPr>
        <w:t>: se vazio, "Informe o título do fato.".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2.  </w:t>
      </w:r>
      <w:r>
        <w:rPr>
          <w:rFonts w:ascii="Calibri" w:hAnsi="Calibri"/>
          <w:b/>
          <w:i w:val="0"/>
          <w:sz w:val="22"/>
        </w:rPr>
        <w:t>Descrição pormenorizada</w:t>
      </w:r>
      <w:r>
        <w:rPr>
          <w:rFonts w:ascii="Calibri" w:hAnsi="Calibri"/>
          <w:b w:val="0"/>
          <w:i w:val="0"/>
          <w:sz w:val="22"/>
        </w:rPr>
        <w:t xml:space="preserve"> — área de texto, com hint referenciando o "delineamento fático claro e individualizado" (STJ, MS 13.110/DF) e contador de caracteres.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3.  </w:t>
      </w:r>
      <w:r>
        <w:rPr>
          <w:rFonts w:ascii="Calibri" w:hAnsi="Calibri"/>
          <w:b/>
          <w:i w:val="0"/>
          <w:sz w:val="22"/>
        </w:rPr>
        <w:t>Início do período</w:t>
      </w:r>
      <w:r>
        <w:rPr>
          <w:rFonts w:ascii="Calibri" w:hAnsi="Calibri"/>
          <w:b w:val="0"/>
          <w:i w:val="0"/>
          <w:sz w:val="22"/>
        </w:rPr>
        <w:t xml:space="preserve"> — data.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4.  </w:t>
      </w:r>
      <w:r>
        <w:rPr>
          <w:rFonts w:ascii="Calibri" w:hAnsi="Calibri"/>
          <w:b/>
          <w:i w:val="0"/>
          <w:sz w:val="22"/>
        </w:rPr>
        <w:t>Fim do período</w:t>
      </w:r>
      <w:r>
        <w:rPr>
          <w:rFonts w:ascii="Calibri" w:hAnsi="Calibri"/>
          <w:b w:val="0"/>
          <w:i w:val="0"/>
          <w:sz w:val="22"/>
        </w:rPr>
        <w:t xml:space="preserve"> — data.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5.  </w:t>
      </w:r>
      <w:r>
        <w:rPr>
          <w:rFonts w:ascii="Calibri" w:hAnsi="Calibri"/>
          <w:b/>
          <w:i w:val="0"/>
          <w:sz w:val="22"/>
        </w:rPr>
        <w:t>Local</w:t>
      </w:r>
      <w:r>
        <w:rPr>
          <w:rFonts w:ascii="Calibri" w:hAnsi="Calibri"/>
          <w:b w:val="0"/>
          <w:i w:val="0"/>
          <w:sz w:val="22"/>
        </w:rPr>
        <w:t xml:space="preserve"> — texto livre.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6.  </w:t>
      </w:r>
      <w:r>
        <w:rPr>
          <w:rFonts w:ascii="Calibri" w:hAnsi="Calibri"/>
          <w:b/>
          <w:i w:val="0"/>
          <w:sz w:val="22"/>
        </w:rPr>
        <w:t>Data de ciência da autoridade (art. 142, §1º)</w:t>
      </w:r>
      <w:r>
        <w:rPr>
          <w:rFonts w:ascii="Calibri" w:hAnsi="Calibri"/>
          <w:b w:val="0"/>
          <w:i w:val="0"/>
          <w:sz w:val="22"/>
        </w:rPr>
        <w:t xml:space="preserve"> — data, com hint explicando que é o marco inicial da prescrição, e </w:t>
      </w:r>
      <w:r>
        <w:rPr>
          <w:rFonts w:ascii="Calibri" w:hAnsi="Calibri"/>
          <w:b/>
          <w:i w:val="0"/>
          <w:sz w:val="22"/>
        </w:rPr>
        <w:t>não</w:t>
      </w:r>
      <w:r>
        <w:rPr>
          <w:rFonts w:ascii="Calibri" w:hAnsi="Calibri"/>
          <w:b w:val="0"/>
          <w:i w:val="0"/>
          <w:sz w:val="22"/>
        </w:rPr>
        <w:t xml:space="preserve"> a data do fato; se deixada vazia, o cálculo de prazos usa o fim do período como estimativa.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7.  </w:t>
      </w:r>
      <w:r>
        <w:rPr>
          <w:rFonts w:ascii="Calibri" w:hAnsi="Calibri"/>
          <w:b/>
          <w:i w:val="0"/>
          <w:sz w:val="22"/>
        </w:rPr>
        <w:t>Condutas individualizadas (uma por acusado)</w:t>
      </w:r>
      <w:r>
        <w:rPr>
          <w:rFonts w:ascii="Calibri" w:hAnsi="Calibri"/>
          <w:b w:val="0"/>
          <w:i w:val="0"/>
          <w:sz w:val="22"/>
        </w:rPr>
        <w:t xml:space="preserve"> — bloco repetível: para cada linha, seleção do acusado, área de texto para a conduta individualizada e seleção Comissiva/Omissiva. Se não há acusados cadastrados no processo, o Nexo Coger orienta a cadastrá-los primeiro.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8.  </w:t>
      </w:r>
      <w:r>
        <w:rPr>
          <w:rFonts w:ascii="Calibri" w:hAnsi="Calibri"/>
          <w:b/>
          <w:i w:val="0"/>
          <w:sz w:val="22"/>
        </w:rPr>
        <w:t>Provas vinculadas</w:t>
      </w:r>
      <w:r>
        <w:rPr>
          <w:rFonts w:ascii="Calibri" w:hAnsi="Calibri"/>
          <w:b w:val="0"/>
          <w:i w:val="0"/>
          <w:sz w:val="22"/>
        </w:rPr>
        <w:t xml:space="preserve"> — ver seção 3.2 abaixo.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9.  </w:t>
      </w:r>
      <w:r>
        <w:rPr>
          <w:rFonts w:ascii="Calibri" w:hAnsi="Calibri"/>
          <w:b/>
          <w:i w:val="0"/>
          <w:sz w:val="22"/>
        </w:rPr>
        <w:t>Enquadramentos legais</w:t>
      </w:r>
      <w:r>
        <w:rPr>
          <w:rFonts w:ascii="Calibri" w:hAnsi="Calibri"/>
          <w:b w:val="0"/>
          <w:i w:val="0"/>
          <w:sz w:val="22"/>
        </w:rPr>
        <w:t xml:space="preserve"> — ver detalhamento abaixo.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10.  </w:t>
      </w:r>
      <w:r>
        <w:rPr>
          <w:rFonts w:ascii="Calibri" w:hAnsi="Calibri"/>
          <w:b/>
          <w:i w:val="0"/>
          <w:sz w:val="22"/>
        </w:rPr>
        <w:t>Estado probatório</w:t>
      </w:r>
      <w:r>
        <w:rPr>
          <w:rFonts w:ascii="Calibri" w:hAnsi="Calibri"/>
          <w:b w:val="0"/>
          <w:i w:val="0"/>
          <w:sz w:val="22"/>
        </w:rPr>
        <w:t xml:space="preserve"> — ver detalhamento abaixo.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11.  </w:t>
      </w:r>
      <w:r>
        <w:rPr>
          <w:rFonts w:ascii="Calibri" w:hAnsi="Calibri"/>
          <w:b/>
          <w:i w:val="0"/>
          <w:sz w:val="22"/>
        </w:rPr>
        <w:t>Situação do fato</w:t>
      </w:r>
      <w:r>
        <w:rPr>
          <w:rFonts w:ascii="Calibri" w:hAnsi="Calibri"/>
          <w:b w:val="0"/>
          <w:i w:val="0"/>
          <w:sz w:val="22"/>
        </w:rPr>
        <w:t xml:space="preserve"> — ver detalhamento abaixo.</w:t>
      </w:r>
    </w:p>
    <w:p>
      <w:pPr>
        <w:pStyle w:val="Heading3"/>
      </w:pPr>
      <w:r>
        <w:rPr>
          <w:rFonts w:ascii="Calibri" w:hAnsi="Calibri"/>
          <w:b/>
          <w:color w:val="1E3A5F"/>
          <w:sz w:val="22"/>
        </w:rPr>
        <w:t>Enquadramento legal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A escolha da norma </w:t>
      </w:r>
      <w:r>
        <w:rPr>
          <w:rFonts w:ascii="Calibri" w:hAnsi="Calibri"/>
          <w:b/>
          <w:i w:val="0"/>
          <w:sz w:val="22"/>
        </w:rPr>
        <w:t>não é feita por busca em texto livre</w:t>
      </w:r>
      <w:r>
        <w:rPr>
          <w:rFonts w:ascii="Calibri" w:hAnsi="Calibri"/>
          <w:b w:val="0"/>
          <w:i w:val="0"/>
          <w:sz w:val="22"/>
        </w:rPr>
        <w:t xml:space="preserve">: é uma lista de seleção agrupada por categoria ("optgroup"), na seguinte ordem de grupos: Lei 8.112/90 — Deveres (art. 116); Lei 8.112/90 — Proibições (art. 117); Lei 8.112/90 — Demissão (art. 132); Outras (art. 130); LAI (Lei 12.527/2011); e, por fim, sem grupo visível, as normas "Criadas pelo usuário". O catálogo de fábrica traz </w:t>
      </w:r>
      <w:r>
        <w:rPr>
          <w:rFonts w:ascii="Calibri" w:hAnsi="Calibri"/>
          <w:b/>
          <w:i w:val="0"/>
          <w:sz w:val="22"/>
        </w:rPr>
        <w:t>65 normas pré-cadastradas</w:t>
      </w:r>
      <w:r>
        <w:rPr>
          <w:rFonts w:ascii="Calibri" w:hAnsi="Calibri"/>
          <w:b w:val="0"/>
          <w:i w:val="0"/>
          <w:sz w:val="22"/>
        </w:rPr>
        <w:t>; normas adicionais, fora desse catálogo, só podem ser criadas por um formulário separado ("+ enquadramento" → "nova norma"), sempre entrando no grupo "Criadas pelo usuário". Ao lado da lista, um selo colorido mostra a gravidade e a pena prevista da norma escolhida.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Para cada enquadramento adicionado ao fato, o Nexo Coger pede o </w:t>
      </w:r>
      <w:r>
        <w:rPr>
          <w:rFonts w:ascii="Calibri" w:hAnsi="Calibri"/>
          <w:b/>
          <w:i w:val="0"/>
          <w:sz w:val="22"/>
        </w:rPr>
        <w:t>Elemento subjetivo</w:t>
      </w:r>
      <w:r>
        <w:rPr>
          <w:rFonts w:ascii="Calibri" w:hAnsi="Calibri"/>
          <w:b w:val="0"/>
          <w:i w:val="0"/>
          <w:sz w:val="22"/>
        </w:rPr>
        <w:t>, um grupo de opções com exatamente estas 5 alternativas, nesta ordem:</w:t>
      </w:r>
    </w:p>
    <w:p>
      <w:pPr>
        <w:spacing w:after="60" w:line="270" w:lineRule="exact"/>
        <w:ind w:left="397"/>
        <w:jc w:val="both"/>
      </w:pPr>
      <w:r>
        <w:t xml:space="preserve">— </w:t>
      </w:r>
      <w:r>
        <w:rPr>
          <w:rFonts w:ascii="Calibri" w:hAnsi="Calibri"/>
          <w:b w:val="0"/>
          <w:i w:val="0"/>
          <w:sz w:val="22"/>
        </w:rPr>
        <w:t>Dolo direto</w:t>
      </w:r>
    </w:p>
    <w:p>
      <w:pPr>
        <w:spacing w:after="60" w:line="270" w:lineRule="exact"/>
        <w:ind w:left="397"/>
        <w:jc w:val="both"/>
      </w:pPr>
      <w:r>
        <w:t xml:space="preserve">— </w:t>
      </w:r>
      <w:r>
        <w:rPr>
          <w:rFonts w:ascii="Calibri" w:hAnsi="Calibri"/>
          <w:b w:val="0"/>
          <w:i w:val="0"/>
          <w:sz w:val="22"/>
        </w:rPr>
        <w:t>Dolo eventual</w:t>
      </w:r>
    </w:p>
    <w:p>
      <w:pPr>
        <w:spacing w:after="60" w:line="270" w:lineRule="exact"/>
        <w:ind w:left="397"/>
        <w:jc w:val="both"/>
      </w:pPr>
      <w:r>
        <w:t xml:space="preserve">— </w:t>
      </w:r>
      <w:r>
        <w:rPr>
          <w:rFonts w:ascii="Calibri" w:hAnsi="Calibri"/>
          <w:b w:val="0"/>
          <w:i w:val="0"/>
          <w:sz w:val="22"/>
        </w:rPr>
        <w:t>Negligência</w:t>
      </w:r>
    </w:p>
    <w:p>
      <w:pPr>
        <w:spacing w:after="60" w:line="270" w:lineRule="exact"/>
        <w:ind w:left="397"/>
        <w:jc w:val="both"/>
      </w:pPr>
      <w:r>
        <w:t xml:space="preserve">— </w:t>
      </w:r>
      <w:r>
        <w:rPr>
          <w:rFonts w:ascii="Calibri" w:hAnsi="Calibri"/>
          <w:b w:val="0"/>
          <w:i w:val="0"/>
          <w:sz w:val="22"/>
        </w:rPr>
        <w:t>Imprudência</w:t>
      </w:r>
    </w:p>
    <w:p>
      <w:pPr>
        <w:spacing w:after="60" w:line="270" w:lineRule="exact"/>
        <w:ind w:left="397"/>
        <w:jc w:val="both"/>
      </w:pPr>
      <w:r>
        <w:t xml:space="preserve">— </w:t>
      </w:r>
      <w:r>
        <w:rPr>
          <w:rFonts w:ascii="Calibri" w:hAnsi="Calibri"/>
          <w:b w:val="0"/>
          <w:i w:val="0"/>
          <w:sz w:val="22"/>
        </w:rPr>
        <w:t>Imperícia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Se o elemento subjetivo escolhido conflitar com o que a norma exige (por exemplo, marcar "Negligência" em uma norma que exige dolo), o Nexo Coger exibe um aviso inline explicando a inconsistência. Depois, o campo </w:t>
      </w:r>
      <w:r>
        <w:rPr>
          <w:rFonts w:ascii="Calibri" w:hAnsi="Calibri"/>
          <w:b/>
          <w:i w:val="0"/>
          <w:sz w:val="22"/>
        </w:rPr>
        <w:t>Fundamentação</w:t>
      </w:r>
      <w:r>
        <w:rPr>
          <w:rFonts w:ascii="Calibri" w:hAnsi="Calibri"/>
          <w:b w:val="0"/>
          <w:i w:val="0"/>
          <w:sz w:val="22"/>
        </w:rPr>
        <w:t xml:space="preserve"> (texto livre) fecha o bloco de cada enquadramento.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Quando um fato acumula </w:t>
      </w:r>
      <w:r>
        <w:rPr>
          <w:rFonts w:ascii="Calibri" w:hAnsi="Calibri"/>
          <w:b/>
          <w:i w:val="0"/>
          <w:sz w:val="22"/>
        </w:rPr>
        <w:t>2 ou mais enquadramentos ativos</w:t>
      </w:r>
      <w:r>
        <w:rPr>
          <w:rFonts w:ascii="Calibri" w:hAnsi="Calibri"/>
          <w:b w:val="0"/>
          <w:i w:val="0"/>
          <w:sz w:val="22"/>
        </w:rPr>
        <w:t xml:space="preserve"> (não afastados), surge um banner de </w:t>
      </w:r>
      <w:r>
        <w:rPr>
          <w:rFonts w:ascii="Calibri" w:hAnsi="Calibri"/>
          <w:b/>
          <w:i w:val="0"/>
          <w:sz w:val="22"/>
        </w:rPr>
        <w:t>multiplicidade de enquadramentos</w:t>
      </w:r>
      <w:r>
        <w:rPr>
          <w:rFonts w:ascii="Calibri" w:hAnsi="Calibri"/>
          <w:b w:val="0"/>
          <w:i w:val="0"/>
          <w:sz w:val="22"/>
        </w:rPr>
        <w:t xml:space="preserve">, com um pequeno assistente de 2 passos: primeiro pergunta se uma única conduta violou mais de uma hipótese legal (concurso formal) ou se apenas uma hipótese deve prevalecer (conflito aparente); se conflito aparente, pede o princípio aplicado (alternatividade, consunção, subsidiariedade ou especialidade), a norma prevalente e uma </w:t>
      </w:r>
      <w:r>
        <w:rPr>
          <w:rFonts w:ascii="Calibri" w:hAnsi="Calibri"/>
          <w:b/>
          <w:i w:val="0"/>
          <w:sz w:val="22"/>
        </w:rPr>
        <w:t>justificativa obrigatória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3"/>
      </w:pPr>
      <w:r>
        <w:rPr>
          <w:rFonts w:ascii="Calibri" w:hAnsi="Calibri"/>
          <w:b/>
          <w:color w:val="1E3A5F"/>
          <w:sz w:val="22"/>
        </w:rPr>
        <w:t>Estado probatório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O estado probatório de cada fato é </w:t>
      </w:r>
      <w:r>
        <w:rPr>
          <w:rFonts w:ascii="Calibri" w:hAnsi="Calibri"/>
          <w:b/>
          <w:i w:val="0"/>
          <w:sz w:val="22"/>
        </w:rPr>
        <w:t>calculado automaticamente</w:t>
      </w:r>
      <w:r>
        <w:rPr>
          <w:rFonts w:ascii="Calibri" w:hAnsi="Calibri"/>
          <w:b w:val="0"/>
          <w:i w:val="0"/>
          <w:sz w:val="22"/>
        </w:rPr>
        <w:t xml:space="preserve"> pelo Nexo Coger e exibido como "Calculado automaticamente: &lt;valor&gt;". A comissão pode </w:t>
      </w:r>
      <w:r>
        <w:rPr>
          <w:rFonts w:ascii="Calibri" w:hAnsi="Calibri"/>
          <w:b/>
          <w:i w:val="0"/>
          <w:sz w:val="22"/>
        </w:rPr>
        <w:t>sobrescrever</w:t>
      </w:r>
      <w:r>
        <w:rPr>
          <w:rFonts w:ascii="Calibri" w:hAnsi="Calibri"/>
          <w:b w:val="0"/>
          <w:i w:val="0"/>
          <w:sz w:val="22"/>
        </w:rPr>
        <w:t xml:space="preserve"> esse cálculo, escolhendo entre "usar calculado", "Sobrescrever: suficiente", "Sobrescrever: indícios" ou "Sobrescrever: ausente" — qualquer override exige uma </w:t>
      </w:r>
      <w:r>
        <w:rPr>
          <w:rFonts w:ascii="Calibri" w:hAnsi="Calibri"/>
          <w:b/>
          <w:i w:val="0"/>
          <w:sz w:val="22"/>
        </w:rPr>
        <w:t>Justificativa</w:t>
      </w:r>
      <w:r>
        <w:rPr>
          <w:rFonts w:ascii="Calibri" w:hAnsi="Calibri"/>
          <w:b w:val="0"/>
          <w:i w:val="0"/>
          <w:sz w:val="22"/>
        </w:rPr>
        <w:t xml:space="preserve"> obrigatória. Sempre que o estado exibido (calculado ou sobrescrito) não for "suficiente", surge o campo </w:t>
      </w:r>
      <w:r>
        <w:rPr>
          <w:rFonts w:ascii="Calibri" w:hAnsi="Calibri"/>
          <w:b/>
          <w:i w:val="0"/>
          <w:sz w:val="22"/>
        </w:rPr>
        <w:t>Elementos buscados</w:t>
      </w:r>
      <w:r>
        <w:rPr>
          <w:rFonts w:ascii="Calibri" w:hAnsi="Calibri"/>
          <w:b w:val="0"/>
          <w:i w:val="0"/>
          <w:sz w:val="22"/>
        </w:rPr>
        <w:t>, com o hint "O que falta provar? Vira 'elementos buscados' da próxima oitiva." — este campo alimenta diretamente o Oitiva 360 (ver Seção 5).</w:t>
      </w:r>
    </w:p>
    <w:p>
      <w:pPr>
        <w:pStyle w:val="Heading3"/>
      </w:pPr>
      <w:r>
        <w:rPr>
          <w:rFonts w:ascii="Calibri" w:hAnsi="Calibri"/>
          <w:b/>
          <w:color w:val="1E3A5F"/>
          <w:sz w:val="22"/>
        </w:rPr>
        <w:t>Situação do fato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Um grupo de opções define a disposição da comissão sobre o fato: </w:t>
      </w:r>
      <w:r>
        <w:rPr>
          <w:rFonts w:ascii="Calibri" w:hAnsi="Calibri"/>
          <w:b/>
          <w:i w:val="0"/>
          <w:sz w:val="22"/>
        </w:rPr>
        <w:t>"Ativo — será indiciado"</w:t>
      </w:r>
      <w:r>
        <w:rPr>
          <w:rFonts w:ascii="Calibri" w:hAnsi="Calibri"/>
          <w:b w:val="0"/>
          <w:i w:val="0"/>
          <w:sz w:val="22"/>
        </w:rPr>
        <w:t xml:space="preserve"> ou </w:t>
      </w:r>
      <w:r>
        <w:rPr>
          <w:rFonts w:ascii="Calibri" w:hAnsi="Calibri"/>
          <w:b/>
          <w:i w:val="0"/>
          <w:sz w:val="22"/>
        </w:rPr>
        <w:t>"Arquivado — apurado, não indiciado"</w:t>
      </w:r>
      <w:r>
        <w:rPr>
          <w:rFonts w:ascii="Calibri" w:hAnsi="Calibri"/>
          <w:b w:val="0"/>
          <w:i w:val="0"/>
          <w:sz w:val="22"/>
        </w:rPr>
        <w:t xml:space="preserve">. Se arquivado, o Nexo Coger explica que o fato arquivado não gera pendências e não entra na minuta, permanecendo no mapa apenas como memória da decisão, e exige uma </w:t>
      </w:r>
      <w:r>
        <w:rPr>
          <w:rFonts w:ascii="Calibri" w:hAnsi="Calibri"/>
          <w:b/>
          <w:i w:val="0"/>
          <w:sz w:val="22"/>
        </w:rPr>
        <w:t>Justificativa do arquivamento</w:t>
      </w:r>
      <w:r>
        <w:rPr>
          <w:rFonts w:ascii="Calibri" w:hAnsi="Calibri"/>
          <w:b w:val="0"/>
          <w:i w:val="0"/>
          <w:sz w:val="22"/>
        </w:rPr>
        <w:t xml:space="preserve"> obrigatória, com hint pedindo a "motivação jurídica: por que a comissão decidiu não indiciar este fato".</w:t>
      </w:r>
    </w:p>
    <w:p>
      <w:pPr>
        <w:pStyle w:val="Heading2"/>
        <w:pBdr>
          <w:left w:val="single" w:sz="18" w:space="6" w:color="BFA040"/>
        </w:pBdr>
      </w:pPr>
      <w:r>
        <w:rPr>
          <w:rFonts w:ascii="Arial Narrow" w:hAnsi="Arial Narrow"/>
          <w:b/>
          <w:color w:val="1E3A5F"/>
          <w:sz w:val="26"/>
        </w:rPr>
        <w:t>3.2 Vinculação de prova a fato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A vinculação é feita por </w:t>
      </w:r>
      <w:r>
        <w:rPr>
          <w:rFonts w:ascii="Calibri" w:hAnsi="Calibri"/>
          <w:b/>
          <w:i w:val="0"/>
          <w:sz w:val="22"/>
        </w:rPr>
        <w:t>checkboxes de múltipla seleção</w:t>
      </w:r>
      <w:r>
        <w:rPr>
          <w:rFonts w:ascii="Calibri" w:hAnsi="Calibri"/>
          <w:b w:val="0"/>
          <w:i w:val="0"/>
          <w:sz w:val="22"/>
        </w:rPr>
        <w:t xml:space="preserve">, uma por prova cadastrada — cada linha exibe o id, o título e o tipo da prova. Marcar a caixa vincula a prova ao fato; desmarcar remove o vínculo. Um botão </w:t>
      </w:r>
      <w:r>
        <w:rPr>
          <w:rFonts w:ascii="Calibri" w:hAnsi="Calibri"/>
          <w:b/>
          <w:i w:val="0"/>
          <w:sz w:val="22"/>
        </w:rPr>
        <w:t>"+ criar prova daqui"</w:t>
      </w:r>
      <w:r>
        <w:rPr>
          <w:rFonts w:ascii="Calibri" w:hAnsi="Calibri"/>
          <w:b w:val="0"/>
          <w:i w:val="0"/>
          <w:sz w:val="22"/>
        </w:rPr>
        <w:t xml:space="preserve"> permite cadastrar uma prova nova diretamente do formulário do fato.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No mapa visual, cada vínculo é desenhado como uma linha entre o cartão do fato e o cartão da prova: </w:t>
      </w:r>
      <w:r>
        <w:rPr>
          <w:rFonts w:ascii="Calibri" w:hAnsi="Calibri"/>
          <w:b/>
          <w:i w:val="0"/>
          <w:sz w:val="22"/>
        </w:rPr>
        <w:t>traço contínuo</w:t>
      </w:r>
      <w:r>
        <w:rPr>
          <w:rFonts w:ascii="Calibri" w:hAnsi="Calibri"/>
          <w:b w:val="0"/>
          <w:i w:val="0"/>
          <w:sz w:val="22"/>
        </w:rPr>
        <w:t xml:space="preserve"> quando a prova é direta e sem pendências; </w:t>
      </w:r>
      <w:r>
        <w:rPr>
          <w:rFonts w:ascii="Calibri" w:hAnsi="Calibri"/>
          <w:b/>
          <w:i w:val="0"/>
          <w:sz w:val="22"/>
        </w:rPr>
        <w:t>traço tracejado</w:t>
      </w:r>
      <w:r>
        <w:rPr>
          <w:rFonts w:ascii="Calibri" w:hAnsi="Calibri"/>
          <w:b w:val="0"/>
          <w:i w:val="0"/>
          <w:sz w:val="22"/>
        </w:rPr>
        <w:t xml:space="preserve"> nos demais casos. Um fato </w:t>
      </w:r>
      <w:r>
        <w:rPr>
          <w:rFonts w:ascii="Calibri" w:hAnsi="Calibri"/>
          <w:b/>
          <w:i w:val="0"/>
          <w:sz w:val="22"/>
        </w:rPr>
        <w:t>sem nenhuma prova vinculada</w:t>
      </w:r>
      <w:r>
        <w:rPr>
          <w:rFonts w:ascii="Calibri" w:hAnsi="Calibri"/>
          <w:b w:val="0"/>
          <w:i w:val="0"/>
          <w:sz w:val="22"/>
        </w:rPr>
        <w:t xml:space="preserve"> recebe uma aresta tracejada vermelha terminada em seta, sinalizando a pendência crítica de lacuna probatória. Provas que não sustentam nenhum fato ("órfãs") aparecem visualmente deslocadas no mapa, como sinal deliberado dessa condição.</w:t>
      </w:r>
    </w:p>
    <w:p>
      <w:pPr>
        <w:pStyle w:val="Heading2"/>
        <w:pBdr>
          <w:left w:val="single" w:sz="18" w:space="6" w:color="BFA040"/>
        </w:pBdr>
      </w:pPr>
      <w:r>
        <w:rPr>
          <w:rFonts w:ascii="Arial Narrow" w:hAnsi="Arial Narrow"/>
          <w:b/>
          <w:color w:val="1E3A5F"/>
          <w:sz w:val="26"/>
        </w:rPr>
        <w:t>3.3 Papel de pessoa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7184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xo-papel-pesso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71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707070"/>
          <w:sz w:val="18"/>
        </w:rPr>
        <w:t>Figura 5 — Seleção de papel do depoente no formulário de prova testemunhal/declaração de informante.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>O catálogo do Nexo Coger define exatamente 5 papéis de pessoa: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551"/>
            <w:shd w:val="clear" w:color="auto" w:fill="1E3A5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Papel</w:t>
            </w:r>
          </w:p>
        </w:tc>
        <w:tc>
          <w:tcPr>
            <w:tcW w:type="dxa" w:w="6236"/>
            <w:shd w:val="clear" w:color="auto" w:fill="1E3A5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Descrição resumida</w:t>
            </w:r>
          </w:p>
        </w:tc>
      </w:tr>
      <w:tr>
        <w:tc>
          <w:tcPr>
            <w:tcW w:type="dxa" w:w="2551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Investigado/Acusado</w:t>
            </w:r>
          </w:p>
        </w:tc>
        <w:tc>
          <w:tcPr>
            <w:tcW w:type="dxa" w:w="6236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Servidor submetido a apuração; não presta compromisso; direito ao silêncio.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Vítima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Não presta compromisso legal; sujeita-se à denunciação caluniosa.</w:t>
            </w:r>
          </w:p>
        </w:tc>
      </w:tr>
      <w:tr>
        <w:tc>
          <w:tcPr>
            <w:tcW w:type="dxa" w:w="2551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Testemunha</w:t>
            </w:r>
          </w:p>
        </w:tc>
        <w:tc>
          <w:tcPr>
            <w:tcW w:type="dxa" w:w="6236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Presta compromisso legal de dizer a verdade (art. 342, CP); dever de depor.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Declarante/Informante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Não presta compromisso; colaboração voluntária, sem responder por falso testemunho.</w:t>
            </w:r>
          </w:p>
        </w:tc>
      </w:tr>
      <w:tr>
        <w:tc>
          <w:tcPr>
            <w:tcW w:type="dxa" w:w="2551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Pessoa em Situação Indefinida</w:t>
            </w:r>
          </w:p>
        </w:tc>
        <w:tc>
          <w:tcPr>
            <w:tcW w:type="dxa" w:w="6236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Envolvimento possível, ainda sem elementos para tratar como investigado.</w:t>
            </w:r>
          </w:p>
        </w:tc>
      </w:tr>
    </w:tbl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O seletor de papel aparece em dois pontos do Nexo Coger: (a) no formulário de prova, quando o </w:t>
      </w:r>
      <w:r>
        <w:rPr>
          <w:rFonts w:ascii="Calibri" w:hAnsi="Calibri"/>
          <w:b/>
          <w:i w:val="0"/>
          <w:sz w:val="22"/>
        </w:rPr>
        <w:t>Tipo de prova</w:t>
      </w:r>
      <w:r>
        <w:rPr>
          <w:rFonts w:ascii="Calibri" w:hAnsi="Calibri"/>
          <w:b w:val="0"/>
          <w:i w:val="0"/>
          <w:sz w:val="22"/>
        </w:rPr>
        <w:t xml:space="preserve"> é "Testemunhal" ou "Declaração de informante" — junto com os campos </w:t>
      </w:r>
      <w:r>
        <w:rPr>
          <w:rFonts w:ascii="Calibri" w:hAnsi="Calibri"/>
          <w:b/>
          <w:i w:val="0"/>
          <w:sz w:val="22"/>
        </w:rPr>
        <w:t>Deponente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alibri" w:hAnsi="Calibri"/>
          <w:b/>
          <w:i w:val="0"/>
          <w:sz w:val="22"/>
        </w:rPr>
        <w:t>Papel do depoente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alibri" w:hAnsi="Calibri"/>
          <w:b/>
          <w:i w:val="0"/>
          <w:sz w:val="22"/>
        </w:rPr>
        <w:t>Compromissada?</w:t>
      </w:r>
      <w:r>
        <w:rPr>
          <w:rFonts w:ascii="Calibri" w:hAnsi="Calibri"/>
          <w:b w:val="0"/>
          <w:i w:val="0"/>
          <w:sz w:val="22"/>
        </w:rPr>
        <w:t xml:space="preserve"> e o trio de campos sobre contradita; e (b) na tela </w:t>
      </w:r>
      <w:r>
        <w:rPr>
          <w:rFonts w:ascii="Calibri" w:hAnsi="Calibri"/>
          <w:b/>
          <w:i w:val="0"/>
          <w:sz w:val="22"/>
        </w:rPr>
        <w:t>"Revisão de pauta"</w:t>
      </w:r>
      <w:r>
        <w:rPr>
          <w:rFonts w:ascii="Calibri" w:hAnsi="Calibri"/>
          <w:b w:val="0"/>
          <w:i w:val="0"/>
          <w:sz w:val="22"/>
        </w:rPr>
        <w:t xml:space="preserve"> (usada para preparar a exportação de pauta para o Oitiva 360 — ver Seção 5), no bloco "Depoente", com os campos </w:t>
      </w:r>
      <w:r>
        <w:rPr>
          <w:rFonts w:ascii="Calibri" w:hAnsi="Calibri"/>
          <w:b/>
          <w:i w:val="0"/>
          <w:sz w:val="22"/>
        </w:rPr>
        <w:t>Nome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alibri" w:hAnsi="Calibri"/>
          <w:b/>
          <w:i w:val="0"/>
          <w:sz w:val="22"/>
        </w:rPr>
        <w:t>Papel (catálogo canônico)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Ao trocar o </w:t>
      </w:r>
      <w:r>
        <w:rPr>
          <w:rFonts w:ascii="Calibri" w:hAnsi="Calibri"/>
          <w:b/>
          <w:i w:val="0"/>
          <w:sz w:val="22"/>
        </w:rPr>
        <w:t>Papel do depoente</w:t>
      </w:r>
      <w:r>
        <w:rPr>
          <w:rFonts w:ascii="Calibri" w:hAnsi="Calibri"/>
          <w:b w:val="0"/>
          <w:i w:val="0"/>
          <w:sz w:val="22"/>
        </w:rPr>
        <w:t xml:space="preserve"> no formulário de prova, o campo </w:t>
      </w:r>
      <w:r>
        <w:rPr>
          <w:rFonts w:ascii="Calibri" w:hAnsi="Calibri"/>
          <w:b/>
          <w:i w:val="0"/>
          <w:sz w:val="22"/>
        </w:rPr>
        <w:t>"Compromissada?"</w:t>
      </w:r>
      <w:r>
        <w:rPr>
          <w:rFonts w:ascii="Calibri" w:hAnsi="Calibri"/>
          <w:b w:val="0"/>
          <w:i w:val="0"/>
          <w:sz w:val="22"/>
        </w:rPr>
        <w:t xml:space="preserve"> é automaticamente ajustado conforme o papel escolhido: só o papel "Testemunha" define o valor inicial como "Sim"; os outros quatro papéis definem "Não". O usuário pode, ainda assim, sobrescrever manualmente esse valor pelo próprio campo — a mudança de papel apenas define o valor inicial, não trava o campo.</w:t>
      </w:r>
    </w:p>
    <w:p>
      <w:pPr>
        <w:spacing w:before="100" w:after="60"/>
        <w:ind w:left="227" w:right="170"/>
        <w:jc w:val="both"/>
        <w:pBdr>
          <w:left w:val="single" w:sz="24" w:space="6" w:color="BFA040"/>
        </w:pBdr>
        <w:shd w:val="clear" w:color="auto" w:fill="FFF8E1"/>
      </w:pPr>
      <w:r>
        <w:rPr>
          <w:rFonts w:ascii="Arial Narrow" w:hAnsi="Arial Narrow"/>
          <w:b/>
          <w:color w:val="BFA040"/>
          <w:sz w:val="18"/>
        </w:rPr>
        <w:t xml:space="preserve">CONFIRA MANUALMENTE  </w:t>
      </w:r>
      <w:r>
        <w:rPr>
          <w:rFonts w:ascii="Calibri" w:hAnsi="Calibri"/>
          <w:b w:val="0"/>
          <w:i w:val="0"/>
          <w:sz w:val="20"/>
        </w:rPr>
        <w:t xml:space="preserve">Ao abrir uma prova </w:t>
      </w:r>
      <w:r>
        <w:rPr>
          <w:rFonts w:ascii="Calibri" w:hAnsi="Calibri"/>
          <w:b/>
          <w:i w:val="0"/>
          <w:sz w:val="20"/>
        </w:rPr>
        <w:t>nova</w:t>
      </w:r>
      <w:r>
        <w:rPr>
          <w:rFonts w:ascii="Calibri" w:hAnsi="Calibri"/>
          <w:b w:val="0"/>
          <w:i w:val="0"/>
          <w:sz w:val="20"/>
        </w:rPr>
        <w:t xml:space="preserve"> do tipo "Declaração de informante" pela primeira vez, o campo "Compromissada?" pode nascer marcado em "Sim", mesmo esse papel não prevendo compromisso no catálogo. Isso se corrige automaticamente se o usuário reselecionar o papel no campo — mas, até lá, </w:t>
      </w:r>
      <w:r>
        <w:rPr>
          <w:rFonts w:ascii="Calibri" w:hAnsi="Calibri"/>
          <w:b/>
          <w:i w:val="0"/>
          <w:sz w:val="20"/>
        </w:rPr>
        <w:t>confira manualmente</w:t>
      </w:r>
      <w:r>
        <w:rPr>
          <w:rFonts w:ascii="Calibri" w:hAnsi="Calibri"/>
          <w:b w:val="0"/>
          <w:i w:val="0"/>
          <w:sz w:val="20"/>
        </w:rPr>
        <w:t xml:space="preserve"> o valor de "Compromissada?" sempre que cadastrar uma declaração de informante nova.</w:t>
      </w:r>
    </w:p>
    <w:p>
      <w:pPr>
        <w:spacing w:after="100" w:line="280" w:lineRule="exact"/>
        <w:jc w:val="both"/>
      </w:pPr>
      <w:r>
        <w:rPr>
          <w:rFonts w:ascii="Calibri" w:hAnsi="Calibri"/>
          <w:b/>
          <w:i w:val="0"/>
          <w:sz w:val="22"/>
        </w:rPr>
        <w:t>Orientação prática deste manual</w:t>
      </w:r>
      <w:r>
        <w:rPr>
          <w:rFonts w:ascii="Calibri" w:hAnsi="Calibri"/>
          <w:b w:val="0"/>
          <w:i w:val="0"/>
          <w:sz w:val="22"/>
        </w:rPr>
        <w:t xml:space="preserve"> (não é texto exibido pela ferramenta): o papel </w:t>
      </w:r>
      <w:r>
        <w:rPr>
          <w:rFonts w:ascii="Calibri" w:hAnsi="Calibri"/>
          <w:b/>
          <w:i w:val="0"/>
          <w:sz w:val="22"/>
        </w:rPr>
        <w:t>"Pessoa em Situação Indefinida"</w:t>
      </w:r>
      <w:r>
        <w:rPr>
          <w:rFonts w:ascii="Calibri" w:hAnsi="Calibri"/>
          <w:b w:val="0"/>
          <w:i w:val="0"/>
          <w:sz w:val="22"/>
        </w:rPr>
        <w:t xml:space="preserve"> destina-se a situações em que os autos indicam um possível envolvimento da pessoa no contexto fático, mas ainda não há elementos suficientes para tratá-la formalmente como investigada — por cautela, a ela também se faculta o direito ao silêncio, por analogia à vedação à autoincriminação, e recomenda-se consultar previamente a defesa sobre o enquadramento adotado antes de qualquer oitiva nessa condição.</w:t>
      </w:r>
    </w:p>
    <w:p>
      <w:pPr>
        <w:pStyle w:val="Heading2"/>
        <w:pBdr>
          <w:left w:val="single" w:sz="18" w:space="6" w:color="BFA040"/>
        </w:pBdr>
      </w:pPr>
      <w:r>
        <w:rPr>
          <w:rFonts w:ascii="Arial Narrow" w:hAnsi="Arial Narrow"/>
          <w:b/>
          <w:color w:val="1E3A5F"/>
          <w:sz w:val="26"/>
        </w:rPr>
        <w:t>3.4 Geração da indiciação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87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xo-indiciac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707070"/>
          <w:sz w:val="18"/>
        </w:rPr>
        <w:t>Figura 6 — Tela de geração da minuta do termo de indiciação.</w:t>
      </w:r>
    </w:p>
    <w:p>
      <w:pPr>
        <w:spacing w:before="100" w:after="60"/>
        <w:ind w:left="227" w:right="170"/>
        <w:jc w:val="both"/>
        <w:pBdr>
          <w:left w:val="single" w:sz="24" w:space="6" w:color="C00000"/>
        </w:pBdr>
        <w:shd w:val="clear" w:color="auto" w:fill="FDE8E8"/>
      </w:pPr>
      <w:r>
        <w:rPr>
          <w:rFonts w:ascii="Arial Narrow" w:hAnsi="Arial Narrow"/>
          <w:b/>
          <w:color w:val="C00000"/>
          <w:sz w:val="18"/>
        </w:rPr>
        <w:t xml:space="preserve">ATO FINAL — USE COM CAUTELA  </w:t>
      </w:r>
      <w:r>
        <w:rPr>
          <w:rFonts w:ascii="Calibri" w:hAnsi="Calibri"/>
          <w:b w:val="0"/>
          <w:i w:val="0"/>
          <w:sz w:val="20"/>
        </w:rPr>
        <w:t xml:space="preserve">A geração da indiciação é um </w:t>
      </w:r>
      <w:r>
        <w:rPr>
          <w:rFonts w:ascii="Calibri" w:hAnsi="Calibri"/>
          <w:b/>
          <w:i w:val="0"/>
          <w:sz w:val="20"/>
        </w:rPr>
        <w:t>ato final</w:t>
      </w:r>
      <w:r>
        <w:rPr>
          <w:rFonts w:ascii="Calibri" w:hAnsi="Calibri"/>
          <w:b w:val="0"/>
          <w:i w:val="0"/>
          <w:sz w:val="20"/>
        </w:rPr>
        <w:t xml:space="preserve"> da instrução — gera o documento formal de indiciação de cada acusado selecionado. Não a use prematuramente, antes que os fatos, provas e enquadramentos estejam efetivamente consolidados.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Antes mesmo de abrir a tela de geração, o Nexo Coger verifica se existem </w:t>
      </w:r>
      <w:r>
        <w:rPr>
          <w:rFonts w:ascii="Calibri" w:hAnsi="Calibri"/>
          <w:b/>
          <w:i w:val="0"/>
          <w:sz w:val="22"/>
        </w:rPr>
        <w:t>pendências críticas</w:t>
      </w:r>
      <w:r>
        <w:rPr>
          <w:rFonts w:ascii="Calibri" w:hAnsi="Calibri"/>
          <w:b w:val="0"/>
          <w:i w:val="0"/>
          <w:sz w:val="22"/>
        </w:rPr>
        <w:t xml:space="preserve"> em qualquer fato, prova ou acusado do processo (não apenas do indiciado que se deseja gerar). Havendo qualquer uma, a geração é bloqueada com o alerta "Há pendências críticas que impedem a indiciação. Veja o painel.". As pendências críticas bloqueantes são:</w:t>
      </w:r>
    </w:p>
    <w:p>
      <w:pPr>
        <w:spacing w:after="60" w:line="270" w:lineRule="exact"/>
        <w:ind w:left="397"/>
        <w:jc w:val="both"/>
      </w:pPr>
      <w:r>
        <w:t xml:space="preserve">— </w:t>
      </w:r>
      <w:r>
        <w:rPr>
          <w:rFonts w:ascii="Calibri" w:hAnsi="Calibri"/>
          <w:b/>
          <w:i w:val="0"/>
          <w:sz w:val="22"/>
        </w:rPr>
        <w:t>P1</w:t>
      </w:r>
      <w:r>
        <w:rPr>
          <w:rFonts w:ascii="Calibri" w:hAnsi="Calibri"/>
          <w:b w:val="0"/>
          <w:i w:val="0"/>
          <w:sz w:val="22"/>
        </w:rPr>
        <w:t xml:space="preserve"> — Fato sem prova vinculada (alegação sem evidência), salvo se houver override de estado probatório justificado.</w:t>
      </w:r>
    </w:p>
    <w:p>
      <w:pPr>
        <w:spacing w:after="60" w:line="270" w:lineRule="exact"/>
        <w:ind w:left="397"/>
        <w:jc w:val="both"/>
      </w:pPr>
      <w:r>
        <w:t xml:space="preserve">— </w:t>
      </w:r>
      <w:r>
        <w:rPr>
          <w:rFonts w:ascii="Calibri" w:hAnsi="Calibri"/>
          <w:b/>
          <w:i w:val="0"/>
          <w:sz w:val="22"/>
        </w:rPr>
        <w:t>P2</w:t>
      </w:r>
      <w:r>
        <w:rPr>
          <w:rFonts w:ascii="Calibri" w:hAnsi="Calibri"/>
          <w:b w:val="0"/>
          <w:i w:val="0"/>
          <w:sz w:val="22"/>
        </w:rPr>
        <w:t xml:space="preserve"> — Fato sem enquadramento legal, crítica a partir da fase de indiciação em elaboração em diante.</w:t>
      </w:r>
    </w:p>
    <w:p>
      <w:pPr>
        <w:spacing w:after="60" w:line="270" w:lineRule="exact"/>
        <w:ind w:left="397"/>
        <w:jc w:val="both"/>
      </w:pPr>
      <w:r>
        <w:t xml:space="preserve">— </w:t>
      </w:r>
      <w:r>
        <w:rPr>
          <w:rFonts w:ascii="Calibri" w:hAnsi="Calibri"/>
          <w:b/>
          <w:i w:val="0"/>
          <w:sz w:val="22"/>
        </w:rPr>
        <w:t>P5</w:t>
      </w:r>
      <w:r>
        <w:rPr>
          <w:rFonts w:ascii="Calibri" w:hAnsi="Calibri"/>
          <w:b w:val="0"/>
          <w:i w:val="0"/>
          <w:sz w:val="22"/>
        </w:rPr>
        <w:t xml:space="preserve"> — Conduta não individualizada — risco de indiciação genérica (nulidade).</w:t>
      </w:r>
    </w:p>
    <w:p>
      <w:pPr>
        <w:spacing w:after="60" w:line="270" w:lineRule="exact"/>
        <w:ind w:left="397"/>
        <w:jc w:val="both"/>
      </w:pPr>
      <w:r>
        <w:t xml:space="preserve">— </w:t>
      </w:r>
      <w:r>
        <w:rPr>
          <w:rFonts w:ascii="Calibri" w:hAnsi="Calibri"/>
          <w:b/>
          <w:i w:val="0"/>
          <w:sz w:val="22"/>
        </w:rPr>
        <w:t>P8</w:t>
      </w:r>
      <w:r>
        <w:rPr>
          <w:rFonts w:ascii="Calibri" w:hAnsi="Calibri"/>
          <w:b w:val="0"/>
          <w:i w:val="0"/>
          <w:sz w:val="22"/>
        </w:rPr>
        <w:t xml:space="preserve"> — Alternatividade violada: enquadramentos doloso e culposo simultâneos no mesmo fato.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Pendências </w:t>
      </w:r>
      <w:r>
        <w:rPr>
          <w:rFonts w:ascii="Calibri" w:hAnsi="Calibri"/>
          <w:b/>
          <w:i w:val="0"/>
          <w:sz w:val="22"/>
        </w:rPr>
        <w:t>frágeis</w:t>
      </w:r>
      <w:r>
        <w:rPr>
          <w:rFonts w:ascii="Calibri" w:hAnsi="Calibri"/>
          <w:b w:val="0"/>
          <w:i w:val="0"/>
          <w:sz w:val="22"/>
        </w:rPr>
        <w:t xml:space="preserve"> (P3, P6a, P6b, P6c, P7) não bloqueiam a geração, mas aparecem como aviso na própria tela: "Pendências frágeis ainda abertas: &lt;códigos&gt;. A minuta pode ser gerada, mas revise-as.".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Passada a checagem, a tela de geração pede: uma </w:t>
      </w:r>
      <w:r>
        <w:rPr>
          <w:rFonts w:ascii="Calibri" w:hAnsi="Calibri"/>
          <w:b/>
          <w:i w:val="0"/>
          <w:sz w:val="22"/>
        </w:rPr>
        <w:t>checkbox por acusado cadastrado</w:t>
      </w:r>
      <w:r>
        <w:rPr>
          <w:rFonts w:ascii="Calibri" w:hAnsi="Calibri"/>
          <w:b w:val="0"/>
          <w:i w:val="0"/>
          <w:sz w:val="22"/>
        </w:rPr>
        <w:t xml:space="preserve"> (todas marcadas por padrão, um documento é gerado por indiciado selecionado) e a </w:t>
      </w:r>
      <w:r>
        <w:rPr>
          <w:rFonts w:ascii="Calibri" w:hAnsi="Calibri"/>
          <w:b/>
          <w:i w:val="0"/>
          <w:sz w:val="22"/>
        </w:rPr>
        <w:t>Data do documento</w:t>
      </w:r>
      <w:r>
        <w:rPr>
          <w:rFonts w:ascii="Calibri" w:hAnsi="Calibri"/>
          <w:b w:val="0"/>
          <w:i w:val="0"/>
          <w:sz w:val="22"/>
        </w:rPr>
        <w:t>, pré-preenchida com a data de hoje, usada no fecho e nas assinaturas.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>Ao clicar em "Gerar minuta", o Nexo Coger roda uma checagem de campos essenciais (`validaMinuta`) e lista tudo o que faltar, sem gerar nada até que esteja completo: número do processo, nome do presidente da comissão, nome e cargo de cada indiciado, existência de ao menos um fato ativo imputado ao indiciado, e — para cada fato ativo dele — descrição e enquadramento preenchidos.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>O documento gerado ("Indiciação") traz, nesta ordem: cabeçalho institucional e dados do processo; tabela de qualificação do servidor; "Dos fatos e das condutas"; "Das provas"; "Do enquadramento legal"; uma tabela-síntese de fatos × provas × enquadramentos; "Das alegações da defesa não acatadas"; e "Do encerramento", com bloco de assinatura em três colunas (Vogal | Presidente | Vogal).</w:t>
      </w:r>
    </w:p>
    <w:p>
      <w:r>
        <w:br w:type="page"/>
      </w:r>
    </w:p>
    <w:p>
      <w:pPr>
        <w:spacing w:after="40"/>
      </w:pPr>
      <w:r>
        <w:rPr>
          <w:rFonts w:ascii="Arial Narrow" w:hAnsi="Arial Narrow"/>
          <w:b/>
          <w:color w:val="BFA040"/>
          <w:sz w:val="18"/>
        </w:rPr>
        <w:t>SEÇÃO 4</w:t>
      </w:r>
    </w:p>
    <w:p>
      <w:pPr>
        <w:pStyle w:val="Heading1"/>
      </w:pPr>
      <w:r>
        <w:rPr>
          <w:rFonts w:ascii="Arial Narrow" w:hAnsi="Arial Narrow"/>
          <w:b/>
          <w:color w:val="1E3A5F"/>
          <w:sz w:val="40"/>
        </w:rPr>
        <w:t>Oitiva 360 (uso isolado)</w:t>
      </w:r>
    </w:p>
    <w:p>
      <w:pPr>
        <w:spacing w:before="120" w:after="120"/>
        <w:pBdr>
          <w:bottom w:val="single" w:sz="8" w:space="1" w:color="BFA040"/>
        </w:pBdr>
      </w:pP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O </w:t>
      </w:r>
      <w:r>
        <w:rPr>
          <w:rFonts w:ascii="Calibri" w:hAnsi="Calibri"/>
          <w:b/>
          <w:i w:val="0"/>
          <w:sz w:val="22"/>
        </w:rPr>
        <w:t>Oitiva 360</w:t>
      </w:r>
      <w:r>
        <w:rPr>
          <w:rFonts w:ascii="Calibri" w:hAnsi="Calibri"/>
          <w:b w:val="0"/>
          <w:i w:val="0"/>
          <w:sz w:val="22"/>
        </w:rPr>
        <w:t xml:space="preserve"> apoia a condução de oitivas e interrogatórios: gera um roteiro de perguntas a partir do papel do depoente e da infração apurada, registra as respostas dadas durante a sessão e produz o termo de redução correspondente.</w:t>
      </w:r>
    </w:p>
    <w:p>
      <w:pPr>
        <w:pStyle w:val="Heading2"/>
        <w:pBdr>
          <w:left w:val="single" w:sz="18" w:space="6" w:color="BFA040"/>
        </w:pBdr>
      </w:pPr>
      <w:r>
        <w:rPr>
          <w:rFonts w:ascii="Arial Narrow" w:hAnsi="Arial Narrow"/>
          <w:b/>
          <w:color w:val="1E3A5F"/>
          <w:sz w:val="26"/>
        </w:rPr>
        <w:t>4.1 Pré-requisito — Matriz de Apuração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0667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itiva-matriz-apurac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06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707070"/>
          <w:sz w:val="18"/>
        </w:rPr>
        <w:t>Figura 7 — Cartão "Matriz de Apuração" — pré-requisito obrigatório antes de adicionar depoentes.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Antes de adicionar qualquer depoente, o Oitiva 360 exige o preenchimento completo do cartão </w:t>
      </w:r>
      <w:r>
        <w:rPr>
          <w:rFonts w:ascii="Calibri" w:hAnsi="Calibri"/>
          <w:b/>
          <w:i w:val="0"/>
          <w:sz w:val="22"/>
        </w:rPr>
        <w:t>"Matriz de Apuração (nível processo — obrigatória)"</w:t>
      </w:r>
      <w:r>
        <w:rPr>
          <w:rFonts w:ascii="Calibri" w:hAnsi="Calibri"/>
          <w:b w:val="0"/>
          <w:i w:val="0"/>
          <w:sz w:val="22"/>
        </w:rPr>
        <w:t>, com 4 campos, todos obrigatórios: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1.  </w:t>
      </w:r>
      <w:r>
        <w:rPr>
          <w:rFonts w:ascii="Calibri" w:hAnsi="Calibri"/>
          <w:b/>
          <w:i w:val="0"/>
          <w:sz w:val="22"/>
        </w:rPr>
        <w:t>Conduta investigada</w:t>
      </w:r>
      <w:r>
        <w:rPr>
          <w:rFonts w:ascii="Calibri" w:hAnsi="Calibri"/>
          <w:b w:val="0"/>
          <w:i w:val="0"/>
          <w:sz w:val="22"/>
        </w:rPr>
        <w:t xml:space="preserve"> — "Qual ação ou omissão está sendo apurada?"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2.  </w:t>
      </w:r>
      <w:r>
        <w:rPr>
          <w:rFonts w:ascii="Calibri" w:hAnsi="Calibri"/>
          <w:b/>
          <w:i w:val="0"/>
          <w:sz w:val="22"/>
        </w:rPr>
        <w:t>Investigado</w:t>
      </w:r>
      <w:r>
        <w:rPr>
          <w:rFonts w:ascii="Calibri" w:hAnsi="Calibri"/>
          <w:b w:val="0"/>
          <w:i w:val="0"/>
          <w:sz w:val="22"/>
        </w:rPr>
        <w:t xml:space="preserve"> — "Quem está, em tese, vinculado à conduta?"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3.  </w:t>
      </w:r>
      <w:r>
        <w:rPr>
          <w:rFonts w:ascii="Calibri" w:hAnsi="Calibri"/>
          <w:b/>
          <w:i w:val="0"/>
          <w:sz w:val="22"/>
        </w:rPr>
        <w:t>Elementos disponíveis</w:t>
      </w:r>
      <w:r>
        <w:rPr>
          <w:rFonts w:ascii="Calibri" w:hAnsi="Calibri"/>
          <w:b w:val="0"/>
          <w:i w:val="0"/>
          <w:sz w:val="22"/>
        </w:rPr>
        <w:t xml:space="preserve"> — "Que provas/informações já constam dos autos?"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4.  </w:t>
      </w:r>
      <w:r>
        <w:rPr>
          <w:rFonts w:ascii="Calibri" w:hAnsi="Calibri"/>
          <w:b/>
          <w:i w:val="0"/>
          <w:sz w:val="22"/>
        </w:rPr>
        <w:t>Hipótese investigativa</w:t>
      </w:r>
      <w:r>
        <w:rPr>
          <w:rFonts w:ascii="Calibri" w:hAnsi="Calibri"/>
          <w:b w:val="0"/>
          <w:i w:val="0"/>
          <w:sz w:val="22"/>
        </w:rPr>
        <w:t xml:space="preserve"> — "Qual a linha de raciocínio que conecta os fatos?"</w:t>
      </w:r>
    </w:p>
    <w:p>
      <w:pPr>
        <w:spacing w:before="100" w:after="60"/>
        <w:ind w:left="227" w:right="170"/>
        <w:jc w:val="both"/>
        <w:pBdr>
          <w:left w:val="single" w:sz="24" w:space="6" w:color="BFA040"/>
        </w:pBdr>
        <w:shd w:val="clear" w:color="auto" w:fill="FFF8E1"/>
      </w:pPr>
      <w:r>
        <w:rPr>
          <w:rFonts w:ascii="Arial Narrow" w:hAnsi="Arial Narrow"/>
          <w:b/>
          <w:color w:val="BFA040"/>
          <w:sz w:val="18"/>
        </w:rPr>
        <w:t xml:space="preserve">MENSAGEM DO OITIVA 360  </w:t>
      </w:r>
      <w:r>
        <w:rPr>
          <w:rFonts w:ascii="Calibri" w:hAnsi="Calibri"/>
          <w:b w:val="0"/>
          <w:i w:val="0"/>
          <w:sz w:val="20"/>
        </w:rPr>
        <w:t>Preencha os quatro campos da Matriz de Apuração acima para habilitar a adição de depoentes — "roteiro sem matriz é roteiro cego".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>Enquanto a matriz não estiver completa, o botão "Adicionar depoente" permanece desabilitado. O próprio código faz uma dupla checagem no clique, por segurança.</w:t>
      </w:r>
    </w:p>
    <w:p>
      <w:pPr>
        <w:pStyle w:val="Heading2"/>
        <w:pBdr>
          <w:left w:val="single" w:sz="18" w:space="6" w:color="BFA040"/>
        </w:pBdr>
      </w:pPr>
      <w:r>
        <w:rPr>
          <w:rFonts w:ascii="Arial Narrow" w:hAnsi="Arial Narrow"/>
          <w:b/>
          <w:color w:val="1E3A5F"/>
          <w:sz w:val="26"/>
        </w:rPr>
        <w:t>4.2 Diálogo "Adicionar depoente"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>O diálogo pede apenas 2 campos, ambos obrigatórios: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1.  </w:t>
      </w:r>
      <w:r>
        <w:rPr>
          <w:rFonts w:ascii="Calibri" w:hAnsi="Calibri"/>
          <w:b/>
          <w:i w:val="0"/>
          <w:sz w:val="22"/>
        </w:rPr>
        <w:t>Identificação</w:t>
      </w:r>
      <w:r>
        <w:rPr>
          <w:rFonts w:ascii="Calibri" w:hAnsi="Calibri"/>
          <w:b w:val="0"/>
          <w:i w:val="0"/>
          <w:sz w:val="22"/>
        </w:rPr>
        <w:t xml:space="preserve"> — texto livre (placeholder: </w:t>
      </w:r>
      <w:r>
        <w:rPr>
          <w:rFonts w:ascii="Calibri" w:hAnsi="Calibri"/>
          <w:b w:val="0"/>
          <w:i/>
          <w:sz w:val="22"/>
        </w:rPr>
        <w:t>Ex.: T-01 ou "Depoente A"</w:t>
      </w:r>
      <w:r>
        <w:rPr>
          <w:rFonts w:ascii="Calibri" w:hAnsi="Calibri"/>
          <w:b w:val="0"/>
          <w:i w:val="0"/>
          <w:sz w:val="22"/>
        </w:rPr>
        <w:t>), com aviso: "Use iniciais ou nome fictício — evite dados pessoais reais (LGPD).".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2.  </w:t>
      </w:r>
      <w:r>
        <w:rPr>
          <w:rFonts w:ascii="Calibri" w:hAnsi="Calibri"/>
          <w:b/>
          <w:i w:val="0"/>
          <w:sz w:val="22"/>
        </w:rPr>
        <w:t>Elementos buscados com este depoente</w:t>
      </w:r>
      <w:r>
        <w:rPr>
          <w:rFonts w:ascii="Calibri" w:hAnsi="Calibri"/>
          <w:b w:val="0"/>
          <w:i w:val="0"/>
          <w:sz w:val="22"/>
        </w:rPr>
        <w:t xml:space="preserve"> — área de texto, com o apoio "Por que ouvir ESTA pessoa? O que ela pode trazer?".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>Se qualquer um dos dois estiver vazio, o Oitiva 360 bloqueia com "Identificação e 'elementos buscados' são obrigatórios para adicionar o depoente.".</w:t>
      </w:r>
    </w:p>
    <w:p>
      <w:pPr>
        <w:pStyle w:val="Heading2"/>
        <w:pBdr>
          <w:left w:val="single" w:sz="18" w:space="6" w:color="BFA040"/>
        </w:pBdr>
      </w:pPr>
      <w:r>
        <w:rPr>
          <w:rFonts w:ascii="Arial Narrow" w:hAnsi="Arial Narrow"/>
          <w:b/>
          <w:color w:val="1E3A5F"/>
          <w:sz w:val="26"/>
        </w:rPr>
        <w:t>4.3 Etapa 1 — Dados do Ato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Todos os campos desta etapa são opcionais (não há validação bloqueante ao avançar). Reúnem os </w:t>
      </w:r>
      <w:r>
        <w:rPr>
          <w:rFonts w:ascii="Calibri" w:hAnsi="Calibri"/>
          <w:b/>
          <w:i w:val="0"/>
          <w:sz w:val="22"/>
        </w:rPr>
        <w:t>dados herdados do processo</w:t>
      </w:r>
      <w:r>
        <w:rPr>
          <w:rFonts w:ascii="Calibri" w:hAnsi="Calibri"/>
          <w:b w:val="0"/>
          <w:i w:val="0"/>
          <w:sz w:val="22"/>
        </w:rPr>
        <w:t xml:space="preserve"> — número do processo, portaria, presidente, secretário(a) e vogais (nome/cargo/matrícula de cada um) — e os </w:t>
      </w:r>
      <w:r>
        <w:rPr>
          <w:rFonts w:ascii="Calibri" w:hAnsi="Calibri"/>
          <w:b/>
          <w:i w:val="0"/>
          <w:sz w:val="22"/>
        </w:rPr>
        <w:t>dados do ato</w:t>
      </w:r>
      <w:r>
        <w:rPr>
          <w:rFonts w:ascii="Calibri" w:hAnsi="Calibri"/>
          <w:b w:val="0"/>
          <w:i w:val="0"/>
          <w:sz w:val="22"/>
        </w:rPr>
        <w:t xml:space="preserve">: data, hora, local; </w:t>
      </w:r>
      <w:r>
        <w:rPr>
          <w:rFonts w:ascii="Calibri" w:hAnsi="Calibri"/>
          <w:b/>
          <w:i w:val="0"/>
          <w:sz w:val="22"/>
        </w:rPr>
        <w:t>Modalidade</w:t>
      </w:r>
      <w:r>
        <w:rPr>
          <w:rFonts w:ascii="Calibri" w:hAnsi="Calibri"/>
          <w:b w:val="0"/>
          <w:i w:val="0"/>
          <w:sz w:val="22"/>
        </w:rPr>
        <w:t xml:space="preserve"> (Presencial ou Videoconferência); checkbox "Há defensor constituído presente?" (que, se marcada, revela nome e OAB do defensor); e um cartão opcional de "Estratégia da equipe" (quem pergunta, quem revisa, formato de abertura e momento de exibição de documentos).</w:t>
      </w:r>
    </w:p>
    <w:p>
      <w:pPr>
        <w:pStyle w:val="Heading2"/>
        <w:pBdr>
          <w:left w:val="single" w:sz="18" w:space="6" w:color="BFA040"/>
        </w:pBdr>
      </w:pPr>
      <w:r>
        <w:rPr>
          <w:rFonts w:ascii="Arial Narrow" w:hAnsi="Arial Narrow"/>
          <w:b/>
          <w:color w:val="1E3A5F"/>
          <w:sz w:val="26"/>
        </w:rPr>
        <w:t>4.4 Etapa 2 — Depoente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Reforça o aviso de LGPD ("Recomendamos usar iniciais ou nome fictício. Esta ferramenta não deve armazenar dados pessoais reais dos envolvidos") e pede novamente </w:t>
      </w:r>
      <w:r>
        <w:rPr>
          <w:rFonts w:ascii="Calibri" w:hAnsi="Calibri"/>
          <w:b/>
          <w:i w:val="0"/>
          <w:sz w:val="22"/>
        </w:rPr>
        <w:t>Identificação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alibri" w:hAnsi="Calibri"/>
          <w:b/>
          <w:i w:val="0"/>
          <w:sz w:val="22"/>
        </w:rPr>
        <w:t>Elementos buscados com este depoente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O </w:t>
      </w:r>
      <w:r>
        <w:rPr>
          <w:rFonts w:ascii="Calibri" w:hAnsi="Calibri"/>
          <w:b/>
          <w:i w:val="0"/>
          <w:sz w:val="22"/>
        </w:rPr>
        <w:t>Papel do depoente</w:t>
      </w:r>
      <w:r>
        <w:rPr>
          <w:rFonts w:ascii="Calibri" w:hAnsi="Calibri"/>
          <w:b w:val="0"/>
          <w:i w:val="0"/>
          <w:sz w:val="22"/>
        </w:rPr>
        <w:t xml:space="preserve"> repete o mesmo catálogo de 5 papéis já apresentado na Seção 3.3: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551"/>
            <w:shd w:val="clear" w:color="auto" w:fill="1E3A5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Papel</w:t>
            </w:r>
          </w:p>
        </w:tc>
        <w:tc>
          <w:tcPr>
            <w:tcW w:type="dxa" w:w="6236"/>
            <w:shd w:val="clear" w:color="auto" w:fill="1E3A5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Descrição resumida</w:t>
            </w:r>
          </w:p>
        </w:tc>
      </w:tr>
      <w:tr>
        <w:tc>
          <w:tcPr>
            <w:tcW w:type="dxa" w:w="2551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Testemunha</w:t>
            </w:r>
          </w:p>
        </w:tc>
        <w:tc>
          <w:tcPr>
            <w:tcW w:type="dxa" w:w="6236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Presta compromisso legal (art. 342, CP); dever de depor.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Declarante/Informante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Não presta compromisso; colaboração voluntária.</w:t>
            </w:r>
          </w:p>
        </w:tc>
      </w:tr>
      <w:tr>
        <w:tc>
          <w:tcPr>
            <w:tcW w:type="dxa" w:w="2551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Pessoa em Situação Indefinida</w:t>
            </w:r>
          </w:p>
        </w:tc>
        <w:tc>
          <w:tcPr>
            <w:tcW w:type="dxa" w:w="6236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Envolvimento possível, sem elementos para tratar como investigada; silêncio facultado por cautela.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Vítima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Não presta compromisso; sujeita-se à denunciação caluniosa.</w:t>
            </w:r>
          </w:p>
        </w:tc>
      </w:tr>
      <w:tr>
        <w:tc>
          <w:tcPr>
            <w:tcW w:type="dxa" w:w="2551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Investigado/Acusado</w:t>
            </w:r>
          </w:p>
        </w:tc>
        <w:tc>
          <w:tcPr>
            <w:tcW w:type="dxa" w:w="6236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Não presta compromisso; direito ao silêncio (Lei 13.869/2019); interrogatório como último ato (art. 159).</w:t>
            </w:r>
          </w:p>
        </w:tc>
      </w:tr>
    </w:tbl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>Selecionar "Testemunha" com a infração "art. 132, IV — enriquecimento ilícito" revela um cartão adicional, "Terceiro interposto", com a checkbox "Este depoente é possível terceiro interposto (familiar/pessoa em cujo nome está bem sob suspeita)".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O campo </w:t>
      </w:r>
      <w:r>
        <w:rPr>
          <w:rFonts w:ascii="Calibri" w:hAnsi="Calibri"/>
          <w:b/>
          <w:i w:val="0"/>
          <w:sz w:val="22"/>
        </w:rPr>
        <w:t>Categoria de infração</w:t>
      </w:r>
      <w:r>
        <w:rPr>
          <w:rFonts w:ascii="Calibri" w:hAnsi="Calibri"/>
          <w:b w:val="0"/>
          <w:i w:val="0"/>
          <w:sz w:val="22"/>
        </w:rPr>
        <w:t xml:space="preserve"> é uma lista de seleção com um campo de busca ao lado (por rótulo ou dispositivo — ex.: "sigilo", "art. 117, IX"), populada com </w:t>
      </w:r>
      <w:r>
        <w:rPr>
          <w:rFonts w:ascii="Calibri" w:hAnsi="Calibri"/>
          <w:b/>
          <w:i w:val="0"/>
          <w:sz w:val="22"/>
        </w:rPr>
        <w:t>52 normas</w:t>
      </w:r>
      <w:r>
        <w:rPr>
          <w:rFonts w:ascii="Calibri" w:hAnsi="Calibri"/>
          <w:b w:val="0"/>
          <w:i w:val="0"/>
          <w:sz w:val="22"/>
        </w:rPr>
        <w:t xml:space="preserve"> agrupadas por origem normativa, na mesma ordem de grupos vista no Nexo Coger: Lei 8.112/90 — Deveres (art. 116); Proibições (art. 117); Demissão (art. 132); Outras (art. 130); LAI (Lei 12.527/2011); e Outras categorias.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Há ainda um cartão opcional "Perfil do depoente", com </w:t>
      </w:r>
      <w:r>
        <w:rPr>
          <w:rFonts w:ascii="Calibri" w:hAnsi="Calibri"/>
          <w:b/>
          <w:i w:val="0"/>
          <w:sz w:val="22"/>
        </w:rPr>
        <w:t>Nível de conhecimento dos fatos</w:t>
      </w:r>
      <w:r>
        <w:rPr>
          <w:rFonts w:ascii="Calibri" w:hAnsi="Calibri"/>
          <w:b w:val="0"/>
          <w:i w:val="0"/>
          <w:sz w:val="22"/>
        </w:rPr>
        <w:t xml:space="preserve"> (Não definido, Presenciou diretamente, Ouviu de participante direto, Teve acesso a documentos/registros, Ouviu dizer) e </w:t>
      </w:r>
      <w:r>
        <w:rPr>
          <w:rFonts w:ascii="Calibri" w:hAnsi="Calibri"/>
          <w:b/>
          <w:i w:val="0"/>
          <w:sz w:val="22"/>
        </w:rPr>
        <w:t>Vínculos com investigado/vítima/administração</w:t>
      </w:r>
      <w:r>
        <w:rPr>
          <w:rFonts w:ascii="Calibri" w:hAnsi="Calibri"/>
          <w:b w:val="0"/>
          <w:i w:val="0"/>
          <w:sz w:val="22"/>
        </w:rPr>
        <w:t xml:space="preserve"> (texto livre).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Para avançar da Etapa 2 para a Etapa 3, são exigidos exatamente </w:t>
      </w:r>
      <w:r>
        <w:rPr>
          <w:rFonts w:ascii="Calibri" w:hAnsi="Calibri"/>
          <w:b/>
          <w:i w:val="0"/>
          <w:sz w:val="22"/>
        </w:rPr>
        <w:t>4 campos</w:t>
      </w:r>
      <w:r>
        <w:rPr>
          <w:rFonts w:ascii="Calibri" w:hAnsi="Calibri"/>
          <w:b w:val="0"/>
          <w:i w:val="0"/>
          <w:sz w:val="22"/>
        </w:rPr>
        <w:t>: Identificação, Elementos buscados, Papel do depoente e Categoria de infração. Faltando algum, o usuário permanece na Etapa 2 e vê a mensagem "Para avançar, preencha: " seguida da lista dos itens faltantes.</w:t>
      </w:r>
    </w:p>
    <w:p>
      <w:pPr>
        <w:pStyle w:val="Heading2"/>
        <w:pBdr>
          <w:left w:val="single" w:sz="18" w:space="6" w:color="BFA040"/>
        </w:pBdr>
      </w:pPr>
      <w:r>
        <w:rPr>
          <w:rFonts w:ascii="Arial Narrow" w:hAnsi="Arial Narrow"/>
          <w:b/>
          <w:color w:val="1E3A5F"/>
          <w:sz w:val="26"/>
        </w:rPr>
        <w:t>4.5 Registro de perguntas e respostas</w:t>
      </w:r>
    </w:p>
    <w:p>
      <w:pPr>
        <w:pStyle w:val="Heading3"/>
      </w:pPr>
      <w:r>
        <w:rPr>
          <w:rFonts w:ascii="Calibri" w:hAnsi="Calibri"/>
          <w:b/>
          <w:color w:val="1E3A5F"/>
          <w:sz w:val="22"/>
        </w:rPr>
        <w:t>Etapa 3 — Montagem do Roteiro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O roteiro é </w:t>
      </w:r>
      <w:r>
        <w:rPr>
          <w:rFonts w:ascii="Calibri" w:hAnsi="Calibri"/>
          <w:b/>
          <w:i w:val="0"/>
          <w:sz w:val="22"/>
        </w:rPr>
        <w:t>gerado automaticamente</w:t>
      </w:r>
      <w:r>
        <w:rPr>
          <w:rFonts w:ascii="Calibri" w:hAnsi="Calibri"/>
          <w:b w:val="0"/>
          <w:i w:val="0"/>
          <w:sz w:val="22"/>
        </w:rPr>
        <w:t xml:space="preserve"> a partir da combinação de papel + infração (e, se aplicável, da marcação de terceiro interposto), organizado em 13 blocos fixos (Preparação e cenário; Acolhimento e identificação dos presentes; Abertura formal; Avisos legais e LGPD; Qualificação, praxe e compromisso/advertências; Abertura para objeções da defesa; Contexto funcional; Materialidade; Autoria e participação; Elemento subjetivo (dolo/culpa); Circunstâncias do art. 128; Palavra à defesa/reperguntas; Fechamento). Nesta etapa o usuário pode adicionar, editar ou remover perguntas — as perguntas de praxe da testemunha são fixas e não podem ser removidas. Um botão "Regenerar roteiro" substitui todas as perguntas atuais (inclusive as adicionadas manualmente) pelas sugestões do banco, mediante confirmação. </w:t>
      </w:r>
      <w:r>
        <w:rPr>
          <w:rFonts w:ascii="Calibri" w:hAnsi="Calibri"/>
          <w:b/>
          <w:i w:val="0"/>
          <w:sz w:val="22"/>
        </w:rPr>
        <w:t>Não há registro de resposta nesta etapa.</w:t>
      </w:r>
    </w:p>
    <w:p>
      <w:pPr>
        <w:pStyle w:val="Heading3"/>
      </w:pPr>
      <w:r>
        <w:rPr>
          <w:rFonts w:ascii="Calibri" w:hAnsi="Calibri"/>
          <w:b/>
          <w:color w:val="1E3A5F"/>
          <w:sz w:val="22"/>
        </w:rPr>
        <w:t>Etapa 4 — Respostas registradas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496572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itiva-rodada-perguntas-respost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9657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707070"/>
          <w:sz w:val="18"/>
        </w:rPr>
        <w:t>Figura 8 — Etapa 4 — registro das respostas dadas pelo depoente, uma pergunta por vez.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Para cada pergunta do roteiro, o Oitiva 360 mostra o texto da pergunta e </w:t>
      </w:r>
      <w:r>
        <w:rPr>
          <w:rFonts w:ascii="Calibri" w:hAnsi="Calibri"/>
          <w:b/>
          <w:i w:val="0"/>
          <w:sz w:val="22"/>
        </w:rPr>
        <w:t>uma única área de texto</w:t>
      </w:r>
      <w:r>
        <w:rPr>
          <w:rFonts w:ascii="Calibri" w:hAnsi="Calibri"/>
          <w:b w:val="0"/>
          <w:i w:val="0"/>
          <w:sz w:val="22"/>
        </w:rPr>
        <w:t xml:space="preserve"> para a resposta, com o placeholder "Resposta dada pelo(a) depoente".</w:t>
      </w:r>
    </w:p>
    <w:p>
      <w:pPr>
        <w:spacing w:before="100" w:after="60"/>
        <w:ind w:left="227" w:right="170"/>
        <w:jc w:val="both"/>
        <w:pBdr>
          <w:left w:val="single" w:sz="24" w:space="6" w:color="2E75B6"/>
        </w:pBdr>
        <w:shd w:val="clear" w:color="auto" w:fill="EBF3FB"/>
      </w:pPr>
      <w:r>
        <w:rPr>
          <w:rFonts w:ascii="Calibri" w:hAnsi="Calibri"/>
          <w:b w:val="0"/>
          <w:i w:val="0"/>
          <w:sz w:val="20"/>
        </w:rPr>
        <w:t>Não existe campo auxiliar de observação nem de marcação de relevância por pergunta — o único controle disponível, por pergunta, é a área de texto da resposta. Se sua rotina de trabalho pressupõe anotar observações à parte, registre-as em outro documento; o Oitiva 360 não oferece esse campo.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>Se o papel do depoente tiver direito ao silêncio e esse direito tiver sido exercido, a seção inteira exibe apenas o texto "Direito ao silêncio exercido — nenhuma pergunta foi dirigida ao(à) depoente nesta sessão.", sem áreas de resposta.</w:t>
      </w:r>
    </w:p>
    <w:p>
      <w:pPr>
        <w:pStyle w:val="Heading2"/>
        <w:pBdr>
          <w:left w:val="single" w:sz="18" w:space="6" w:color="BFA040"/>
        </w:pBdr>
      </w:pPr>
      <w:r>
        <w:rPr>
          <w:rFonts w:ascii="Arial Narrow" w:hAnsi="Arial Narrow"/>
          <w:b/>
          <w:color w:val="1E3A5F"/>
          <w:sz w:val="26"/>
        </w:rPr>
        <w:t>4.6 Geração do termo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7090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itiva-termo-fin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70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707070"/>
          <w:sz w:val="18"/>
        </w:rPr>
        <w:t>Figura 9 — Termo de redução gerado automaticamente ao entrar na Etapa 4.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O termo é </w:t>
      </w:r>
      <w:r>
        <w:rPr>
          <w:rFonts w:ascii="Calibri" w:hAnsi="Calibri"/>
          <w:b/>
          <w:i w:val="0"/>
          <w:sz w:val="22"/>
        </w:rPr>
        <w:t>gerado automaticamente ao entrar na Etapa 4</w:t>
      </w:r>
      <w:r>
        <w:rPr>
          <w:rFonts w:ascii="Calibri" w:hAnsi="Calibri"/>
          <w:b w:val="0"/>
          <w:i w:val="0"/>
          <w:sz w:val="22"/>
        </w:rPr>
        <w:t>, sem nenhum portão formal de bloqueio — não há checagem que impeça a geração por campos vazios. Campos ainda não preenchidos (hora, local, portaria, presidente, vogais, secretário, nome) aparecem no texto gerado como traços de preenchimento ("____"), em vez de impedir a geração.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>A estrutura do termo gerado segue, nesta ordem:</w:t>
      </w:r>
    </w:p>
    <w:p>
      <w:pPr>
        <w:spacing w:after="60" w:line="270" w:lineRule="exact"/>
        <w:ind w:left="397"/>
        <w:jc w:val="both"/>
      </w:pPr>
      <w:r>
        <w:t xml:space="preserve">— </w:t>
      </w:r>
      <w:r>
        <w:rPr>
          <w:rFonts w:ascii="Calibri" w:hAnsi="Calibri"/>
          <w:b w:val="0"/>
          <w:i w:val="0"/>
          <w:sz w:val="22"/>
        </w:rPr>
        <w:t>Cabeçalho — "TERMO DE INTERROGATÓRIO" (acusado), "TERMO DE OITIVA DE TESTEMUNHA" (testemunha) ou "TERMO DE OITIVA" (demais papéis).</w:t>
      </w:r>
    </w:p>
    <w:p>
      <w:pPr>
        <w:spacing w:after="60" w:line="270" w:lineRule="exact"/>
        <w:ind w:left="397"/>
        <w:jc w:val="both"/>
      </w:pPr>
      <w:r>
        <w:t xml:space="preserve">— </w:t>
      </w:r>
      <w:r>
        <w:rPr>
          <w:rFonts w:ascii="Calibri" w:hAnsi="Calibri"/>
          <w:b w:val="0"/>
          <w:i w:val="0"/>
          <w:sz w:val="22"/>
        </w:rPr>
        <w:t>Parágrafo de abertura/qualificação — data por extenso, hora, local, portaria, composição da comissão, nome do depoente e papel.</w:t>
      </w:r>
    </w:p>
    <w:p>
      <w:pPr>
        <w:spacing w:after="60" w:line="270" w:lineRule="exact"/>
        <w:ind w:left="397"/>
        <w:jc w:val="both"/>
      </w:pPr>
      <w:r>
        <w:t xml:space="preserve">— </w:t>
      </w:r>
      <w:r>
        <w:rPr>
          <w:rFonts w:ascii="Calibri" w:hAnsi="Calibri"/>
          <w:b w:val="0"/>
          <w:i w:val="0"/>
          <w:sz w:val="22"/>
        </w:rPr>
        <w:t>Parágrafo de qualificação civil/funcional.</w:t>
      </w:r>
    </w:p>
    <w:p>
      <w:pPr>
        <w:spacing w:after="60" w:line="270" w:lineRule="exact"/>
        <w:ind w:left="397"/>
        <w:jc w:val="both"/>
      </w:pPr>
      <w:r>
        <w:t xml:space="preserve">— </w:t>
      </w:r>
      <w:r>
        <w:rPr>
          <w:rFonts w:ascii="Calibri" w:hAnsi="Calibri"/>
          <w:b w:val="0"/>
          <w:i w:val="0"/>
          <w:sz w:val="22"/>
        </w:rPr>
        <w:t>Parágrafo de compromisso/advertências — varia conforme o papel (compromisso legal para testemunha; silêncio constitucional para acusado; silêncio por cautela para pessoa em situação indefinida; isenção de compromisso com advertência de denunciação caluniosa para vítima; colaboração voluntária para declarante/informante).</w:t>
      </w:r>
    </w:p>
    <w:p>
      <w:pPr>
        <w:spacing w:after="60" w:line="270" w:lineRule="exact"/>
        <w:ind w:left="397"/>
        <w:jc w:val="both"/>
      </w:pPr>
      <w:r>
        <w:t xml:space="preserve">— </w:t>
      </w:r>
      <w:r>
        <w:rPr>
          <w:rFonts w:ascii="Calibri" w:hAnsi="Calibri"/>
          <w:b w:val="0"/>
          <w:i w:val="0"/>
          <w:sz w:val="22"/>
        </w:rPr>
        <w:t>Corpo de perguntas e respostas, na ordem do roteiro.</w:t>
      </w:r>
    </w:p>
    <w:p>
      <w:pPr>
        <w:spacing w:after="60" w:line="270" w:lineRule="exact"/>
        <w:ind w:left="397"/>
        <w:jc w:val="both"/>
      </w:pPr>
      <w:r>
        <w:t xml:space="preserve">— </w:t>
      </w:r>
      <w:r>
        <w:rPr>
          <w:rFonts w:ascii="Calibri" w:hAnsi="Calibri"/>
          <w:b w:val="0"/>
          <w:i w:val="0"/>
          <w:sz w:val="22"/>
        </w:rPr>
        <w:t>Fecho fixo de encerramento e bloco de assinaturas (Presidente, Vogal(is), Secretário(a)).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>O texto do termo pode ser editado diretamente na área de texto do próprio termo (edições manuais ficam salvas); um botão "Regenerar termo" substitui o texto atual (inclusive edições manuais) pelo modelo padrão, mediante confirmação.</w:t>
      </w:r>
    </w:p>
    <w:p>
      <w:pPr>
        <w:pStyle w:val="Heading2"/>
        <w:pBdr>
          <w:left w:val="single" w:sz="18" w:space="6" w:color="BFA040"/>
        </w:pBdr>
      </w:pPr>
      <w:r>
        <w:rPr>
          <w:rFonts w:ascii="Arial Narrow" w:hAnsi="Arial Narrow"/>
          <w:b/>
          <w:color w:val="1E3A5F"/>
          <w:sz w:val="26"/>
        </w:rPr>
        <w:t>4.7 Checklist pré-oitiva e alertas de nulidade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Ainda na Etapa 4, o </w:t>
      </w:r>
      <w:r>
        <w:rPr>
          <w:rFonts w:ascii="Calibri" w:hAnsi="Calibri"/>
          <w:b/>
          <w:i w:val="0"/>
          <w:sz w:val="22"/>
        </w:rPr>
        <w:t>Checklist pré-oitiva</w:t>
      </w:r>
      <w:r>
        <w:rPr>
          <w:rFonts w:ascii="Calibri" w:hAnsi="Calibri"/>
          <w:b w:val="0"/>
          <w:i w:val="0"/>
          <w:sz w:val="22"/>
        </w:rPr>
        <w:t xml:space="preserve"> reúne itens sempre aplicáveis (revisão da matriz, intimação regular, roteiro revisado, documentos separados, ambiente e trajes adequados) mais itens condicionais conforme o papel do depoente (por exemplo, para o papel Acusado: notificação com 3 dias úteis de antecedência, interrogatório como último ato, advertências obrigatórias), a modalidade (videoconferência: teste de conexão, avisos de gravação/LGPD) e a infração (enriquecimento ilícito: documentação patrimonial, identificação de terceiros interpostos).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Os </w:t>
      </w:r>
      <w:r>
        <w:rPr>
          <w:rFonts w:ascii="Calibri" w:hAnsi="Calibri"/>
          <w:b/>
          <w:i w:val="0"/>
          <w:sz w:val="22"/>
        </w:rPr>
        <w:t>Alertas de nulidade</w:t>
      </w:r>
      <w:r>
        <w:rPr>
          <w:rFonts w:ascii="Calibri" w:hAnsi="Calibri"/>
          <w:b w:val="0"/>
          <w:i w:val="0"/>
          <w:sz w:val="22"/>
        </w:rPr>
        <w:t xml:space="preserve"> comparam os itens de checklist obrigatórios para o papel selecionado contra os já marcados: se houver pendentes, lista-os; se todos estiverem confirmados, mostra confirmação positiva; se o papel não tiver exigências específicas, mostra um texto neutro.</w:t>
      </w:r>
    </w:p>
    <w:p>
      <w:r>
        <w:br w:type="page"/>
      </w:r>
    </w:p>
    <w:p>
      <w:pPr>
        <w:spacing w:after="40"/>
      </w:pPr>
      <w:r>
        <w:rPr>
          <w:rFonts w:ascii="Arial Narrow" w:hAnsi="Arial Narrow"/>
          <w:b/>
          <w:color w:val="BFA040"/>
          <w:sz w:val="18"/>
        </w:rPr>
        <w:t>SEÇÃO 5</w:t>
      </w:r>
    </w:p>
    <w:p>
      <w:pPr>
        <w:pStyle w:val="Heading1"/>
      </w:pPr>
      <w:r>
        <w:rPr>
          <w:rFonts w:ascii="Arial Narrow" w:hAnsi="Arial Narrow"/>
          <w:b/>
          <w:color w:val="1E3A5F"/>
          <w:sz w:val="40"/>
        </w:rPr>
        <w:t>Integração entre as três ferramentas</w:t>
      </w:r>
    </w:p>
    <w:p>
      <w:pPr>
        <w:spacing w:before="120" w:after="120"/>
        <w:pBdr>
          <w:bottom w:val="single" w:sz="8" w:space="1" w:color="BFA040"/>
        </w:pBdr>
      </w:pP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Embora Veritas, Nexo Coger e Oitiva 360 funcionem de forma inteiramente independente (Seções 2 a 4 comprovam isso), a suíte prevê um fluxo de integração opcional, por troca de arquivos `.json`, que percorre tipicamente o ciclo: </w:t>
      </w:r>
      <w:r>
        <w:rPr>
          <w:rFonts w:ascii="Calibri" w:hAnsi="Calibri"/>
          <w:b/>
          <w:i w:val="0"/>
          <w:sz w:val="22"/>
        </w:rPr>
        <w:t>Veritas → Nexo Coger → Oitiva 360 → Veritas → Nexo Coger</w:t>
      </w:r>
      <w:r>
        <w:rPr>
          <w:rFonts w:ascii="Calibri" w:hAnsi="Calibri"/>
          <w:b w:val="0"/>
          <w:i w:val="0"/>
          <w:sz w:val="22"/>
        </w:rPr>
        <w:t>. Provas cadastradas no Veritas alimentam o mapa do Nexo Coger; o Nexo Coger exporta uma pauta de pontos a apurar para o Oitiva 360; o Oitiva 360 conduz a oitiva e devolve, de volta, o termo gerado (importável como prova no Veritas) e um retorno de contexto (importável de volta no Nexo Coger).</w:t>
      </w:r>
    </w:p>
    <w:p>
      <w:pPr>
        <w:pStyle w:val="Heading2"/>
        <w:pBdr>
          <w:left w:val="single" w:sz="18" w:space="6" w:color="BFA040"/>
        </w:pBdr>
      </w:pPr>
      <w:r>
        <w:rPr>
          <w:rFonts w:ascii="Arial Narrow" w:hAnsi="Arial Narrow"/>
          <w:b/>
          <w:color w:val="1E3A5F"/>
          <w:sz w:val="26"/>
        </w:rPr>
        <w:t>5.1 Veritas → Nexo Coger: exportação de provas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No Veritas, o botão </w:t>
      </w:r>
      <w:r>
        <w:rPr>
          <w:rFonts w:ascii="Calibri" w:hAnsi="Calibri"/>
          <w:b/>
          <w:i w:val="0"/>
          <w:sz w:val="22"/>
        </w:rPr>
        <w:t>"Exportar provas → Nexo Coger"</w:t>
      </w:r>
      <w:r>
        <w:rPr>
          <w:rFonts w:ascii="Calibri" w:hAnsi="Calibri"/>
          <w:b w:val="0"/>
          <w:i w:val="0"/>
          <w:sz w:val="22"/>
        </w:rPr>
        <w:t xml:space="preserve"> gera um arquivo `nexo-coger-provas-&lt;número do processo&gt;.json` contendo apenas as provas cujo tipo se mapeia para o catálogo canônico de tipos de prova do Nexo Coger. É um contrato distinto e mais restrito do que a exportação isolada "Exportar .json" (Seção 2.3), que exporta o dossiê inteiro.</w:t>
      </w:r>
    </w:p>
    <w:p>
      <w:pPr>
        <w:pStyle w:val="Heading2"/>
        <w:pBdr>
          <w:left w:val="single" w:sz="18" w:space="6" w:color="BFA040"/>
        </w:pBdr>
      </w:pPr>
      <w:r>
        <w:rPr>
          <w:rFonts w:ascii="Arial Narrow" w:hAnsi="Arial Narrow"/>
          <w:b/>
          <w:color w:val="1E3A5F"/>
          <w:sz w:val="26"/>
        </w:rPr>
        <w:t>5.2 Nexo Coger → Oitiva 360: exportação de pauta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>A partir da tela "Revisão de pauta" do Nexo Coger, é possível exportar uma pauta de instrução por depoente, contendo os pontos de instrução confirmados e o papel do depoente. O Nexo Coger bloqueia essa exportação quando o nome do depoente não foi informado ("Informe o nome do depoente.") ou quando não há nenhum ponto de instrução confirmado ("Nenhum ponto de instrução confirmado — nada a exportar."). O Oitiva 360, ao importar essa pauta, exibe um cartão "Pauta do Nexo" com os itens abordados na sessão e evita duplicação: reimportar a mesma pauta atualiza os itens existentes em vez de criar itens duplicados.</w:t>
      </w:r>
    </w:p>
    <w:p>
      <w:pPr>
        <w:pStyle w:val="Heading2"/>
        <w:pBdr>
          <w:left w:val="single" w:sz="18" w:space="6" w:color="BFA040"/>
        </w:pBdr>
      </w:pPr>
      <w:r>
        <w:rPr>
          <w:rFonts w:ascii="Arial Narrow" w:hAnsi="Arial Narrow"/>
          <w:b/>
          <w:color w:val="1E3A5F"/>
          <w:sz w:val="26"/>
        </w:rPr>
        <w:t>5.3 Oitiva 360 → Veritas: exportação do termo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O botão </w:t>
      </w:r>
      <w:r>
        <w:rPr>
          <w:rFonts w:ascii="Calibri" w:hAnsi="Calibri"/>
          <w:b/>
          <w:i w:val="0"/>
          <w:sz w:val="22"/>
        </w:rPr>
        <w:t>"Exportar termo para o Veritas"</w:t>
      </w:r>
      <w:r>
        <w:rPr>
          <w:rFonts w:ascii="Calibri" w:hAnsi="Calibri"/>
          <w:b w:val="0"/>
          <w:i w:val="0"/>
          <w:sz w:val="22"/>
        </w:rPr>
        <w:t>, sempre visível na Etapa 4 do Oitiva 360, gera um arquivo de termo que carrega um `hash_origem` — um hash calculado sobre o texto do termo no momento da exportação, usado pelo Veritas para verificar a integridade do conteúdo na importação.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>Ao importar esse termo, o Veritas aplica três verificações bloqueantes e uma não bloqueante, cujas mensagens exatas são:</w:t>
      </w:r>
    </w:p>
    <w:p>
      <w:pPr>
        <w:spacing w:before="100" w:after="60"/>
        <w:ind w:left="227" w:right="170"/>
        <w:jc w:val="both"/>
        <w:pBdr>
          <w:left w:val="single" w:sz="24" w:space="6" w:color="C00000"/>
        </w:pBdr>
        <w:shd w:val="clear" w:color="auto" w:fill="FDE8E8"/>
      </w:pPr>
      <w:r>
        <w:rPr>
          <w:rFonts w:ascii="Arial Narrow" w:hAnsi="Arial Narrow"/>
          <w:b/>
          <w:color w:val="C00000"/>
          <w:sz w:val="18"/>
        </w:rPr>
        <w:t xml:space="preserve">1. FORMATO INVÁLIDO — BLOQUEIA  </w:t>
      </w:r>
      <w:r>
        <w:rPr>
          <w:rFonts w:ascii="Calibri" w:hAnsi="Calibri"/>
          <w:b w:val="0"/>
          <w:i w:val="0"/>
          <w:sz w:val="20"/>
        </w:rPr>
        <w:t>Arquivo inválido: este arquivo não é um termo exportado pelo Oitiva 360 (esperado "origem":"oitiva-360", "termo.conteudo" e "hash_origem").</w:t>
      </w:r>
    </w:p>
    <w:p>
      <w:pPr>
        <w:spacing w:before="100" w:after="20"/>
        <w:ind w:left="227" w:right="170"/>
        <w:jc w:val="both"/>
        <w:pBdr>
          <w:left w:val="single" w:sz="24" w:space="6" w:color="C00000"/>
        </w:pBdr>
        <w:shd w:val="clear" w:color="auto" w:fill="FDE8E8"/>
      </w:pPr>
      <w:r>
        <w:rPr>
          <w:rFonts w:ascii="Arial Narrow" w:hAnsi="Arial Narrow"/>
          <w:b/>
          <w:color w:val="C00000"/>
          <w:sz w:val="18"/>
        </w:rPr>
        <w:t xml:space="preserve">2. HASH DIVERGENTE — BLOQUEIA  </w:t>
      </w:r>
      <w:r>
        <w:rPr>
          <w:rFonts w:ascii="Calibri" w:hAnsi="Calibri"/>
          <w:b w:val="0"/>
          <w:i w:val="0"/>
          <w:sz w:val="20"/>
        </w:rPr>
        <w:t>Importação bloqueada: o hash do termo não confere.</w:t>
      </w:r>
    </w:p>
    <w:p>
      <w:pPr>
        <w:spacing w:before="0" w:after="20"/>
        <w:ind w:left="227" w:right="170"/>
        <w:jc w:val="both"/>
        <w:pBdr>
          <w:left w:val="single" w:sz="24" w:space="6" w:color="C00000"/>
        </w:pBdr>
        <w:shd w:val="clear" w:color="auto" w:fill="FDE8E8"/>
      </w:pPr>
      <w:r>
        <w:rPr>
          <w:rFonts w:ascii="Calibri" w:hAnsi="Calibri"/>
          <w:b w:val="0"/>
          <w:i w:val="0"/>
          <w:sz w:val="20"/>
        </w:rPr>
        <w:t>Esperado (hash_origem): &lt;hash&gt;</w:t>
      </w:r>
    </w:p>
    <w:p>
      <w:pPr>
        <w:spacing w:before="0" w:after="20"/>
        <w:ind w:left="227" w:right="170"/>
        <w:jc w:val="both"/>
        <w:pBdr>
          <w:left w:val="single" w:sz="24" w:space="6" w:color="C00000"/>
        </w:pBdr>
        <w:shd w:val="clear" w:color="auto" w:fill="FDE8E8"/>
      </w:pPr>
      <w:r>
        <w:rPr>
          <w:rFonts w:ascii="Calibri" w:hAnsi="Calibri"/>
          <w:b w:val="0"/>
          <w:i w:val="0"/>
          <w:sz w:val="20"/>
        </w:rPr>
        <w:t>Calculado sobre o texto recebido: &lt;hash&gt;</w:t>
      </w:r>
    </w:p>
    <w:p>
      <w:pPr>
        <w:spacing w:before="0" w:after="60"/>
        <w:ind w:left="227" w:right="170"/>
        <w:jc w:val="both"/>
        <w:pBdr>
          <w:left w:val="single" w:sz="24" w:space="6" w:color="C00000"/>
        </w:pBdr>
        <w:shd w:val="clear" w:color="auto" w:fill="FDE8E8"/>
      </w:pPr>
      <w:r>
        <w:rPr>
          <w:rFonts w:ascii="Calibri" w:hAnsi="Calibri"/>
          <w:b w:val="0"/>
          <w:i w:val="0"/>
          <w:sz w:val="20"/>
        </w:rPr>
        <w:t>O conteúdo do termo pode ter sido alterado após a exportação do Oitiva 360. Nada foi importado.</w:t>
      </w:r>
    </w:p>
    <w:p>
      <w:pPr>
        <w:spacing w:before="100" w:after="60"/>
        <w:ind w:left="227" w:right="170"/>
        <w:jc w:val="both"/>
        <w:pBdr>
          <w:left w:val="single" w:sz="24" w:space="6" w:color="C00000"/>
        </w:pBdr>
        <w:shd w:val="clear" w:color="auto" w:fill="FDE8E8"/>
      </w:pPr>
      <w:r>
        <w:rPr>
          <w:rFonts w:ascii="Arial Narrow" w:hAnsi="Arial Narrow"/>
          <w:b/>
          <w:color w:val="C00000"/>
          <w:sz w:val="18"/>
        </w:rPr>
        <w:t xml:space="preserve">3. DUPLICADO — BLOQUEIA  </w:t>
      </w:r>
      <w:r>
        <w:rPr>
          <w:rFonts w:ascii="Calibri" w:hAnsi="Calibri"/>
          <w:b w:val="0"/>
          <w:i w:val="0"/>
          <w:sz w:val="20"/>
        </w:rPr>
        <w:t>Importação recusada: já existe uma prova neste dossiê com o mesmo hash_origem (&lt;hash&gt;). Este termo já foi importado antes — reimportação não cria uma segunda prova.</w:t>
      </w:r>
    </w:p>
    <w:p>
      <w:pPr>
        <w:spacing w:before="100" w:after="60"/>
        <w:ind w:left="227" w:right="170"/>
        <w:jc w:val="both"/>
        <w:pBdr>
          <w:left w:val="single" w:sz="24" w:space="6" w:color="BFA040"/>
        </w:pBdr>
        <w:shd w:val="clear" w:color="auto" w:fill="FFF8E1"/>
      </w:pPr>
      <w:r>
        <w:rPr>
          <w:rFonts w:ascii="Arial Narrow" w:hAnsi="Arial Narrow"/>
          <w:b/>
          <w:color w:val="BFA040"/>
          <w:sz w:val="18"/>
        </w:rPr>
        <w:t xml:space="preserve">4. VERSÃO DE CATÁLOGO DIVERGENTE — PEDE CONFIRMAÇÃO, NÃO BLOQUEIA  </w:t>
      </w:r>
      <w:r>
        <w:rPr>
          <w:rFonts w:ascii="Calibri" w:hAnsi="Calibri"/>
          <w:b w:val="0"/>
          <w:i w:val="0"/>
          <w:sz w:val="20"/>
        </w:rPr>
        <w:t>Este termo foi exportado com catalogo_schema_version &lt;X&gt;, diferente da versão do catálogo em uso neste Veritas (&lt;Y&gt;). O hash já foi conferido e confere — o aviso é só sobre o vocabulário do catálogo. Deseja continuar?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Um termo importado com sucesso ganha automaticamente a categoria </w:t>
      </w:r>
      <w:r>
        <w:rPr>
          <w:rFonts w:ascii="Calibri" w:hAnsi="Calibri"/>
          <w:b/>
          <w:i w:val="0"/>
          <w:sz w:val="22"/>
        </w:rPr>
        <w:t>"Termo de oitiva"</w:t>
      </w:r>
      <w:r>
        <w:rPr>
          <w:rFonts w:ascii="Calibri" w:hAnsi="Calibri"/>
          <w:b w:val="0"/>
          <w:i w:val="0"/>
          <w:sz w:val="22"/>
        </w:rPr>
        <w:t xml:space="preserve"> no Veritas e aparece na tela de detalhe do item com um selo "Revisado" ou "Pendente de revisão", e um botão "Marcar como revisado". O ícone ⏳ no topo da tela do Veritas mostra a contagem de termos pendentes de revisão.</w:t>
      </w:r>
    </w:p>
    <w:p>
      <w:pPr>
        <w:pStyle w:val="Heading2"/>
        <w:pBdr>
          <w:left w:val="single" w:sz="18" w:space="6" w:color="BFA040"/>
        </w:pBdr>
      </w:pPr>
      <w:r>
        <w:rPr>
          <w:rFonts w:ascii="Arial Narrow" w:hAnsi="Arial Narrow"/>
          <w:b/>
          <w:color w:val="1E3A5F"/>
          <w:sz w:val="26"/>
        </w:rPr>
        <w:t>5.4 Oitiva 360 → Nexo Coger: retorno de contexto do acusado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 xml:space="preserve">Quando a sessão de oitiva aborda itens da pauta importada do Nexo Coger, o Oitiva 360 disponibiliza o botão </w:t>
      </w:r>
      <w:r>
        <w:rPr>
          <w:rFonts w:ascii="Calibri" w:hAnsi="Calibri"/>
          <w:b/>
          <w:i w:val="0"/>
          <w:sz w:val="22"/>
        </w:rPr>
        <w:t>"Exportar retorno (contexto do acusado)"</w:t>
      </w:r>
      <w:r>
        <w:rPr>
          <w:rFonts w:ascii="Calibri" w:hAnsi="Calibri"/>
          <w:b w:val="0"/>
          <w:i w:val="0"/>
          <w:sz w:val="22"/>
        </w:rPr>
        <w:t>, que devolve ao Nexo Coger um resumo da resposta obtida para cada ponto de instrução abordado. Esse botão só aparece quando há itens de pauta efetivamente abordados na sessão — não existe no fluxo manual sem pauta importada.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>Quando esse retorno é importado no Nexo Coger, os fatos e provas que ele alimenta recebem um selo indicando a origem — "origem: oitiva" — no mapa fato-prova-norma, sinalizando que aquele elemento nasceu de uma sessão de oitiva e não de cadastro manual direto. Este manual não aprofunda o funcionamento exato desse selo por não haver documentação de código mais detalhada disponível no levantamento realizado.</w:t>
      </w:r>
    </w:p>
    <w:p>
      <w:pPr>
        <w:pStyle w:val="Heading2"/>
        <w:pBdr>
          <w:left w:val="single" w:sz="18" w:space="6" w:color="BFA040"/>
        </w:pBdr>
      </w:pPr>
      <w:r>
        <w:rPr>
          <w:rFonts w:ascii="Arial Narrow" w:hAnsi="Arial Narrow"/>
          <w:b/>
          <w:color w:val="1E3A5F"/>
          <w:sz w:val="26"/>
        </w:rPr>
        <w:t>5.5 Badges de pendência e status</w:t>
      </w:r>
    </w:p>
    <w:p>
      <w:pPr>
        <w:spacing w:after="100" w:line="280" w:lineRule="exact"/>
        <w:jc w:val="both"/>
      </w:pPr>
      <w:r>
        <w:rPr>
          <w:rFonts w:ascii="Calibri" w:hAnsi="Calibri"/>
          <w:b w:val="0"/>
          <w:i w:val="0"/>
          <w:sz w:val="22"/>
        </w:rPr>
        <w:t>Cada ferramenta usa seu próprio conjunto de selos (badges) para sinalizar o estado de itens importados ou pendentes de revisão: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val="clear" w:color="auto" w:fill="1E3A5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Ferramenta</w:t>
            </w:r>
          </w:p>
        </w:tc>
        <w:tc>
          <w:tcPr>
            <w:tcW w:type="dxa" w:w="6520"/>
            <w:shd w:val="clear" w:color="auto" w:fill="1E3A5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Badges</w:t>
            </w:r>
          </w:p>
        </w:tc>
      </w:tr>
      <w:tr>
        <w:tc>
          <w:tcPr>
            <w:tcW w:type="dxa" w:w="2268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Veritas</w:t>
            </w:r>
          </w:p>
        </w:tc>
        <w:tc>
          <w:tcPr>
            <w:tcW w:type="dxa" w:w="6520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termo: pendente_revisao / revisado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Nexo Coger</w:t>
            </w:r>
          </w:p>
        </w:tc>
        <w:tc>
          <w:tcPr>
            <w:tcW w:type="dxa" w:w="65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prova: pendente / vinculada — retorno: pendente_revisao / revisado</w:t>
            </w:r>
          </w:p>
        </w:tc>
      </w:tr>
      <w:tr>
        <w:tc>
          <w:tcPr>
            <w:tcW w:type="dxa" w:w="2268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Oitiva 360</w:t>
            </w:r>
          </w:p>
        </w:tc>
        <w:tc>
          <w:tcPr>
            <w:tcW w:type="dxa" w:w="6520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pauta: pendente / em_andamento / concluida</w:t>
            </w:r>
          </w:p>
        </w:tc>
      </w:tr>
    </w:tbl>
    <w:p>
      <w:pPr>
        <w:spacing w:before="100" w:after="60"/>
        <w:ind w:left="227" w:right="170"/>
        <w:jc w:val="both"/>
        <w:pBdr>
          <w:left w:val="single" w:sz="24" w:space="6" w:color="1A6E1A"/>
        </w:pBdr>
        <w:shd w:val="clear" w:color="auto" w:fill="E8F5E9"/>
      </w:pPr>
      <w:r>
        <w:rPr>
          <w:rFonts w:ascii="Arial Narrow" w:hAnsi="Arial Narrow"/>
          <w:b/>
          <w:color w:val="1A6E1A"/>
          <w:sz w:val="18"/>
        </w:rPr>
        <w:t xml:space="preserve">INTEGRAÇÃO É OPCIONAL  </w:t>
      </w:r>
      <w:r>
        <w:rPr>
          <w:rFonts w:ascii="Calibri" w:hAnsi="Calibri"/>
          <w:b w:val="0"/>
          <w:i w:val="0"/>
          <w:sz w:val="20"/>
        </w:rPr>
        <w:t xml:space="preserve">A integração entre Veritas, Nexo Coger e Oitiva 360 é </w:t>
      </w:r>
      <w:r>
        <w:rPr>
          <w:rFonts w:ascii="Calibri" w:hAnsi="Calibri"/>
          <w:b/>
          <w:i w:val="0"/>
          <w:sz w:val="20"/>
        </w:rPr>
        <w:t>opcional e aditiva</w:t>
      </w:r>
      <w:r>
        <w:rPr>
          <w:rFonts w:ascii="Calibri" w:hAnsi="Calibri"/>
          <w:b w:val="0"/>
          <w:i w:val="0"/>
          <w:sz w:val="20"/>
        </w:rPr>
        <w:t>. Cada ferramenta já funciona de forma completa sozinha, como demonstrado nas Seções 2, 3 e 4 — a troca de arquivos `.json` apenas poupa redigitação de dados quando as três são usadas em conjunto no mesmo processo.</w:t>
      </w:r>
    </w:p>
    <w:p>
      <w:r>
        <w:br w:type="page"/>
      </w:r>
    </w:p>
    <w:p>
      <w:pPr>
        <w:pStyle w:val="Heading2"/>
        <w:pBdr>
          <w:left w:val="single" w:sz="18" w:space="6" w:color="BFA040"/>
        </w:pBdr>
      </w:pPr>
      <w:r>
        <w:rPr>
          <w:rFonts w:ascii="Arial Narrow" w:hAnsi="Arial Narrow"/>
          <w:b/>
          <w:color w:val="1E3A5F"/>
          <w:sz w:val="26"/>
        </w:rPr>
        <w:t>Glossário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438"/>
            <w:shd w:val="clear" w:color="auto" w:fill="1E3A5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Termo</w:t>
            </w:r>
          </w:p>
        </w:tc>
        <w:tc>
          <w:tcPr>
            <w:tcW w:type="dxa" w:w="6350"/>
            <w:shd w:val="clear" w:color="auto" w:fill="1E3A5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Definição</w:t>
            </w:r>
          </w:p>
        </w:tc>
      </w:tr>
      <w:tr>
        <w:tc>
          <w:tcPr>
            <w:tcW w:type="dxa" w:w="2438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Cadeia de custódia</w:t>
            </w:r>
          </w:p>
        </w:tc>
        <w:tc>
          <w:tcPr>
            <w:tcW w:type="dxa" w:w="6350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Registro contínuo de quem coletou, recebeu, transferiu ou custodiou uma prova, do momento em que ela surge até seu uso na decisão.</w:t>
            </w:r>
          </w:p>
        </w:tc>
      </w:tr>
      <w:tr>
        <w:tc>
          <w:tcPr>
            <w:tcW w:type="dxa" w:w="243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Proveniência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Origem declarada de um elemento de prova — como e de onde ele chegou ao processo (gerado internamente, recebido de outro órgão, ou extraído de sistema).</w:t>
            </w:r>
          </w:p>
        </w:tc>
      </w:tr>
      <w:tr>
        <w:tc>
          <w:tcPr>
            <w:tcW w:type="dxa" w:w="2438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Hash</w:t>
            </w:r>
          </w:p>
        </w:tc>
        <w:tc>
          <w:tcPr>
            <w:tcW w:type="dxa" w:w="6350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Uma "impressão digital" numérica calculada a partir do conteúdo de um arquivo; se o arquivo muda, o hash muda — usado para verificar se um arquivo permanece idêntico ao original.</w:t>
            </w:r>
          </w:p>
        </w:tc>
      </w:tr>
      <w:tr>
        <w:tc>
          <w:tcPr>
            <w:tcW w:type="dxa" w:w="243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Nexo fático-probatório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A ligação demonstrável entre um fato apurado e as provas que o sustentam.</w:t>
            </w:r>
          </w:p>
        </w:tc>
      </w:tr>
      <w:tr>
        <w:tc>
          <w:tcPr>
            <w:tcW w:type="dxa" w:w="2438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Enquadramento legal</w:t>
            </w:r>
          </w:p>
        </w:tc>
        <w:tc>
          <w:tcPr>
            <w:tcW w:type="dxa" w:w="6350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O dispositivo normativo (dever, proibição, hipótese de demissão etc.) em que uma conduta apurada se amolda.</w:t>
            </w:r>
          </w:p>
        </w:tc>
      </w:tr>
      <w:tr>
        <w:tc>
          <w:tcPr>
            <w:tcW w:type="dxa" w:w="243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Elemento subjetivo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O grau de intenção ou de falta de cuidado do agente em relação à conduta — dolo direto, dolo eventual, negligência, imprudência ou imperícia.</w:t>
            </w:r>
          </w:p>
        </w:tc>
      </w:tr>
      <w:tr>
        <w:tc>
          <w:tcPr>
            <w:tcW w:type="dxa" w:w="2438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Estado probatório</w:t>
            </w:r>
          </w:p>
        </w:tc>
        <w:tc>
          <w:tcPr>
            <w:tcW w:type="dxa" w:w="6350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Avaliação de quão bem sustentado um fato está pelas provas reunidas até o momento: suficiente, indícios, ou ausente.</w:t>
            </w:r>
          </w:p>
        </w:tc>
      </w:tr>
      <w:tr>
        <w:tc>
          <w:tcPr>
            <w:tcW w:type="dxa" w:w="243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Pendência crítica/frágil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Sinalização automática de um problema no mapa fato-prova-norma; crítica bloqueia a geração da indiciação, frágil apenas alerta.</w:t>
            </w:r>
          </w:p>
        </w:tc>
      </w:tr>
      <w:tr>
        <w:tc>
          <w:tcPr>
            <w:tcW w:type="dxa" w:w="2438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Indiciação</w:t>
            </w:r>
          </w:p>
        </w:tc>
        <w:tc>
          <w:tcPr>
            <w:tcW w:type="dxa" w:w="6350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Ato formal que atribui a um servidor a autoria de fato(s) apurado(s), com enquadramento legal, dando início à fase de defesa escrita.</w:t>
            </w:r>
          </w:p>
        </w:tc>
      </w:tr>
      <w:tr>
        <w:tc>
          <w:tcPr>
            <w:tcW w:type="dxa" w:w="243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Pauta de instrução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Lista de pontos a apurar em uma oitiva, tipicamente originada do campo "Elementos buscados" do Nexo Coger.</w:t>
            </w:r>
          </w:p>
        </w:tc>
      </w:tr>
      <w:tr>
        <w:tc>
          <w:tcPr>
            <w:tcW w:type="dxa" w:w="2438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Roteiro de oitiva</w:t>
            </w:r>
          </w:p>
        </w:tc>
        <w:tc>
          <w:tcPr>
            <w:tcW w:type="dxa" w:w="6350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Sequência de perguntas organizadas por blocos, gerada a partir do papel do depoente e da infração apurada.</w:t>
            </w:r>
          </w:p>
        </w:tc>
      </w:tr>
      <w:tr>
        <w:tc>
          <w:tcPr>
            <w:tcW w:type="dxa" w:w="243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Termo de oitiva/interrogatório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Documento formal que registra o ato de oitiva ou interrogatório, com qualificação, compromisso/advertências e as perguntas e respostas.</w:t>
            </w:r>
          </w:p>
        </w:tc>
      </w:tr>
      <w:tr>
        <w:tc>
          <w:tcPr>
            <w:tcW w:type="dxa" w:w="2438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Papel de pessoa</w:t>
            </w:r>
          </w:p>
        </w:tc>
        <w:tc>
          <w:tcPr>
            <w:tcW w:type="dxa" w:w="6350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Classificação da posição de uma pessoa no processo — Investigado/Acusado, Vítima, Testemunha, Declarante/Informante ou Pessoa em Situação Indefinida — que determina compromisso, direito ao silêncio e tratamento processual.</w:t>
            </w:r>
          </w:p>
        </w:tc>
      </w:tr>
      <w:tr>
        <w:tc>
          <w:tcPr>
            <w:tcW w:type="dxa" w:w="243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Matriz de Apuração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Bloco de 4 campos (conduta, investigado, elementos disponíveis, hipótese investigativa) exigido antes de conduzir qualquer oitiva no Oitiva 360.</w:t>
            </w:r>
          </w:p>
        </w:tc>
      </w:tr>
      <w:tr>
        <w:tc>
          <w:tcPr>
            <w:tcW w:type="dxa" w:w="2438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Badge de pendência</w:t>
            </w:r>
          </w:p>
        </w:tc>
        <w:tc>
          <w:tcPr>
            <w:tcW w:type="dxa" w:w="6350"/>
            <w:shd w:val="clear" w:color="auto" w:fill="F5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  <w:r>
              <w:rPr>
                <w:rFonts w:ascii="Calibri" w:hAnsi="Calibri"/>
                <w:sz w:val="19"/>
              </w:rPr>
              <w:t>Selo visual que sinaliza o estado de um item importado ou pendente de ação (ex.: pendente de revisão, vinculada, concluída).</w:t>
            </w:r>
          </w:p>
        </w:tc>
      </w:tr>
    </w:tbl>
    <w:p>
      <w:r>
        <w:br w:type="page"/>
      </w:r>
    </w:p>
    <w:p>
      <w:pPr>
        <w:pStyle w:val="Heading2"/>
        <w:pBdr>
          <w:left w:val="single" w:sz="18" w:space="6" w:color="BFA040"/>
        </w:pBdr>
      </w:pPr>
      <w:r>
        <w:rPr>
          <w:rFonts w:ascii="Arial Narrow" w:hAnsi="Arial Narrow"/>
          <w:b/>
          <w:color w:val="1E3A5F"/>
          <w:sz w:val="26"/>
        </w:rPr>
        <w:t>Perguntas frequentes</w:t>
      </w:r>
    </w:p>
    <w:p>
      <w:pPr>
        <w:pStyle w:val="Heading3"/>
      </w:pPr>
      <w:r>
        <w:rPr>
          <w:rFonts w:ascii="Calibri" w:hAnsi="Calibri"/>
          <w:b/>
          <w:color w:val="1E3A5F"/>
          <w:sz w:val="22"/>
        </w:rPr>
        <w:t>Veritas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1.  </w:t>
      </w:r>
      <w:r>
        <w:rPr>
          <w:rFonts w:ascii="Calibri" w:hAnsi="Calibri"/>
          <w:b/>
          <w:i w:val="0"/>
          <w:sz w:val="22"/>
        </w:rPr>
        <w:t>O que fazer se o hash não confere ao importar uma prova (termo de oitiva)?</w:t>
      </w:r>
      <w:r>
        <w:rPr>
          <w:rFonts w:ascii="Calibri" w:hAnsi="Calibri"/>
          <w:b w:val="0"/>
          <w:i w:val="0"/>
          <w:sz w:val="22"/>
        </w:rPr>
        <w:t xml:space="preserve"> O Veritas bloqueia totalmente a importação e não grava nada — a mensagem exibida mostra o hash esperado e o hash calculado sobre o conteúdo recebido. Isso indica que o conteúdo do termo pode ter sido alterado após a exportação do Oitiva 360; não há como contornar esse bloqueio pela interface — é necessário obter uma nova exportação íntegra do termo.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2.  </w:t>
      </w:r>
      <w:r>
        <w:rPr>
          <w:rFonts w:ascii="Calibri" w:hAnsi="Calibri"/>
          <w:b/>
          <w:i w:val="0"/>
          <w:sz w:val="22"/>
        </w:rPr>
        <w:t>Posso editar a proveniência depois de salvar um item?</w:t>
      </w:r>
      <w:r>
        <w:rPr>
          <w:rFonts w:ascii="Calibri" w:hAnsi="Calibri"/>
          <w:b w:val="0"/>
          <w:i w:val="0"/>
          <w:sz w:val="22"/>
        </w:rPr>
        <w:t xml:space="preserve"> Não. Todo o bloco de proveniência (tipo e subcampos) fica travado, somente leitura, assim que o item é salvo. O mesmo vale para o elemento físico (exceto a condição do lacre, alterável apenas via evento de "Conferência do lacre"), para "conteúdo integral"/justificativa, e para o status do item.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3.  </w:t>
      </w:r>
      <w:r>
        <w:rPr>
          <w:rFonts w:ascii="Calibri" w:hAnsi="Calibri"/>
          <w:b/>
          <w:i w:val="0"/>
          <w:sz w:val="22"/>
        </w:rPr>
        <w:t>Qual a diferença entre "Exportar .json" e "Exportar provas → Nexo Coger"?</w:t>
      </w:r>
      <w:r>
        <w:rPr>
          <w:rFonts w:ascii="Calibri" w:hAnsi="Calibri"/>
          <w:b w:val="0"/>
          <w:i w:val="0"/>
          <w:sz w:val="22"/>
        </w:rPr>
        <w:t xml:space="preserve"> "Exportar .json" gera o dossiê inteiro, para backup geral. "Exportar provas → Nexo Coger" gera um arquivo menor, apenas com as provas convertidas para o catálogo canônico do Nexo Coger — é o contrato de integração específico entre as duas ferramentas.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4.  </w:t>
      </w:r>
      <w:r>
        <w:rPr>
          <w:rFonts w:ascii="Calibri" w:hAnsi="Calibri"/>
          <w:b/>
          <w:i w:val="0"/>
          <w:sz w:val="22"/>
        </w:rPr>
        <w:t>O carimbo de data/hora do Veritas vale como prova de quando o arquivo foi coletado?</w:t>
      </w:r>
      <w:r>
        <w:rPr>
          <w:rFonts w:ascii="Calibri" w:hAnsi="Calibri"/>
          <w:b w:val="0"/>
          <w:i w:val="0"/>
          <w:sz w:val="22"/>
        </w:rPr>
        <w:t xml:space="preserve"> Não com força de selo de tempo certificado — é apenas o relógio do computador do usuário no momento em que o arquivo foi anexado. Tem valor para mostrar consistência interna, não para provar o instante exato de forma inatacável.</w:t>
      </w:r>
    </w:p>
    <w:p>
      <w:pPr>
        <w:pStyle w:val="Heading3"/>
      </w:pPr>
      <w:r>
        <w:rPr>
          <w:rFonts w:ascii="Calibri" w:hAnsi="Calibri"/>
          <w:b/>
          <w:color w:val="1E3A5F"/>
          <w:sz w:val="22"/>
        </w:rPr>
        <w:t>Nexo Coger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1.  </w:t>
      </w:r>
      <w:r>
        <w:rPr>
          <w:rFonts w:ascii="Calibri" w:hAnsi="Calibri"/>
          <w:b/>
          <w:i w:val="0"/>
          <w:sz w:val="22"/>
        </w:rPr>
        <w:t>Por que o papel "Pessoa em Situação Indefinida" não aparece separado, com instruções de uso, na tela?</w:t>
      </w:r>
      <w:r>
        <w:rPr>
          <w:rFonts w:ascii="Calibri" w:hAnsi="Calibri"/>
          <w:b w:val="0"/>
          <w:i w:val="0"/>
          <w:sz w:val="22"/>
        </w:rPr>
        <w:t xml:space="preserve"> O Nexo Coger não exibe nenhum texto de orientação sobre quando usar esse papel — apenas o rótulo curto aparece no seletor. A explicação jurídica completa só existe no catálogo de dados, e este manual a reproduz na Seção 3.3, junto de uma orientação prática de uso.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2.  </w:t>
      </w:r>
      <w:r>
        <w:rPr>
          <w:rFonts w:ascii="Calibri" w:hAnsi="Calibri"/>
          <w:b/>
          <w:i w:val="0"/>
          <w:sz w:val="22"/>
        </w:rPr>
        <w:t>O que acontece se eu gerar a indiciação e depois perceber um erro?</w:t>
      </w:r>
      <w:r>
        <w:rPr>
          <w:rFonts w:ascii="Calibri" w:hAnsi="Calibri"/>
          <w:b w:val="0"/>
          <w:i w:val="0"/>
          <w:sz w:val="22"/>
        </w:rPr>
        <w:t xml:space="preserve"> A geração da indiciação é tratada como um ato final da instrução; o Nexo Coger não oferece uma função de "desfazer" a geração. Corrija os dados do fato/prova/enquadramento no mapa e gere uma nova minuta quando necessário — por isso este manual recomenda revisar cuidadosamente pendências frágeis e o checklist de campos essenciais antes de gerar.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3.  </w:t>
      </w:r>
      <w:r>
        <w:rPr>
          <w:rFonts w:ascii="Calibri" w:hAnsi="Calibri"/>
          <w:b/>
          <w:i w:val="0"/>
          <w:sz w:val="22"/>
        </w:rPr>
        <w:t>Um fato arquivado precisa de enquadramento legal e provas completas?</w:t>
      </w:r>
      <w:r>
        <w:rPr>
          <w:rFonts w:ascii="Calibri" w:hAnsi="Calibri"/>
          <w:b w:val="0"/>
          <w:i w:val="0"/>
          <w:sz w:val="22"/>
        </w:rPr>
        <w:t xml:space="preserve"> Não. Um fato marcado como "Arquivado" só exige a Justificativa do arquivamento; não gera pendências e não entra na minuta de indiciação.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4.  </w:t>
      </w:r>
      <w:r>
        <w:rPr>
          <w:rFonts w:ascii="Calibri" w:hAnsi="Calibri"/>
          <w:b/>
          <w:i w:val="0"/>
          <w:sz w:val="22"/>
        </w:rPr>
        <w:t>O que fazer quando o elemento subjetivo escolhido conflita com o exigido pela norma?</w:t>
      </w:r>
      <w:r>
        <w:rPr>
          <w:rFonts w:ascii="Calibri" w:hAnsi="Calibri"/>
          <w:b w:val="0"/>
          <w:i w:val="0"/>
          <w:sz w:val="22"/>
        </w:rPr>
        <w:t xml:space="preserve"> O Nexo Coger apenas avisa (não bloqueia o salvamento) quando o elemento subjetivo escolhido diverge do que a norma exige — por exemplo, marcar conduta culposa em norma que exige dolo. Revise o enquadramento ou ajuste a fundamentação antes de prosseguir para a indiciação.</w:t>
      </w:r>
    </w:p>
    <w:p>
      <w:pPr>
        <w:pStyle w:val="Heading3"/>
      </w:pPr>
      <w:r>
        <w:rPr>
          <w:rFonts w:ascii="Calibri" w:hAnsi="Calibri"/>
          <w:b/>
          <w:color w:val="1E3A5F"/>
          <w:sz w:val="22"/>
        </w:rPr>
        <w:t>Oitiva 360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1.  </w:t>
      </w:r>
      <w:r>
        <w:rPr>
          <w:rFonts w:ascii="Calibri" w:hAnsi="Calibri"/>
          <w:b/>
          <w:i w:val="0"/>
          <w:sz w:val="22"/>
        </w:rPr>
        <w:t>Preciso preencher a Matriz de Apuração toda vez?</w:t>
      </w:r>
      <w:r>
        <w:rPr>
          <w:rFonts w:ascii="Calibri" w:hAnsi="Calibri"/>
          <w:b w:val="0"/>
          <w:i w:val="0"/>
          <w:sz w:val="22"/>
        </w:rPr>
        <w:t xml:space="preserve"> Sim, ela é obrigatória em nível de processo — os 4 campos (conduta, investigado, elementos disponíveis, hipótese investigativa) precisam estar preenchidos antes que o botão "Adicionar depoente" seja habilitado. Uma vez preenchida, vale para todos os depoentes daquele processo.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2.  </w:t>
      </w:r>
      <w:r>
        <w:rPr>
          <w:rFonts w:ascii="Calibri" w:hAnsi="Calibri"/>
          <w:b/>
          <w:i w:val="0"/>
          <w:sz w:val="22"/>
        </w:rPr>
        <w:t>Existe campo de observação separado da resposta, na Etapa 4?</w:t>
      </w:r>
      <w:r>
        <w:rPr>
          <w:rFonts w:ascii="Calibri" w:hAnsi="Calibri"/>
          <w:b w:val="0"/>
          <w:i w:val="0"/>
          <w:sz w:val="22"/>
        </w:rPr>
        <w:t xml:space="preserve"> Não. Cada pergunta do roteiro tem apenas uma única área de texto para a resposta do depoente — não há campo auxiliar de observação nem de marcação de relevância.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3.  </w:t>
      </w:r>
      <w:r>
        <w:rPr>
          <w:rFonts w:ascii="Calibri" w:hAnsi="Calibri"/>
          <w:b/>
          <w:i w:val="0"/>
          <w:sz w:val="22"/>
        </w:rPr>
        <w:t>O termo é gerado automaticamente ou preciso clicar em algo?</w:t>
      </w:r>
      <w:r>
        <w:rPr>
          <w:rFonts w:ascii="Calibri" w:hAnsi="Calibri"/>
          <w:b w:val="0"/>
          <w:i w:val="0"/>
          <w:sz w:val="22"/>
        </w:rPr>
        <w:t xml:space="preserve"> É gerado automaticamente ao entrar na Etapa 4, sem bloqueio por campos vazios — campos ainda não preenchidos aparecem como "____" no texto. É possível editar o texto manualmente ou regenerá-lo a partir dos dados atuais do ato (com confirmação, pois substitui edições manuais).</w:t>
      </w:r>
    </w:p>
    <w:p>
      <w:pPr>
        <w:spacing w:after="100" w:line="264" w:lineRule="exact"/>
        <w:ind w:left="454"/>
        <w:jc w:val="both"/>
      </w:pPr>
      <w:r>
        <w:rPr>
          <w:rFonts w:ascii="Calibri" w:hAnsi="Calibri"/>
          <w:b/>
          <w:color w:val="1E3A5F"/>
          <w:sz w:val="22"/>
        </w:rPr>
        <w:t xml:space="preserve">4.  </w:t>
      </w:r>
      <w:r>
        <w:rPr>
          <w:rFonts w:ascii="Calibri" w:hAnsi="Calibri"/>
          <w:b/>
          <w:i w:val="0"/>
          <w:sz w:val="22"/>
        </w:rPr>
        <w:t>Por que não vejo o botão "Exportar retorno (contexto do acusado)"?</w:t>
      </w:r>
      <w:r>
        <w:rPr>
          <w:rFonts w:ascii="Calibri" w:hAnsi="Calibri"/>
          <w:b w:val="0"/>
          <w:i w:val="0"/>
          <w:sz w:val="22"/>
        </w:rPr>
        <w:t xml:space="preserve"> Esse botão só aparece quando a sessão aborda itens de uma pauta importada do Nexo Coger. No fluxo manual, sem pauta importada, ele não é exibido — apenas o botão "Exportar termo para o Veritas" fica sempre visível na Etapa 4.</w:t>
      </w:r>
    </w:p>
    <w:p>
      <w:pPr>
        <w:spacing w:before="120" w:after="120"/>
        <w:pBdr>
          <w:bottom w:val="single" w:sz="4" w:space="1" w:color="BFA040"/>
        </w:pBdr>
      </w:pPr>
    </w:p>
    <w:p>
      <w:pPr>
        <w:jc w:val="center"/>
      </w:pPr>
      <w:r>
        <w:rPr>
          <w:rFonts w:ascii="Calibri" w:hAnsi="Calibri"/>
          <w:i/>
          <w:color w:val="707070"/>
          <w:sz w:val="18"/>
        </w:rPr>
        <w:t>Este manual documenta o comportamento observado no código-fonte das três ferramentas em 2026. Todos os exemplos, números de processo e dados de identificação usados nas capturas de tela são fictícios, produzidos para fins exclusivamente ilustrativos. As três ferramentas — Veritas, Nexo Coger e Oitiva 360 — são aplicações offline/locais, sem servidor, cujo armazenamento depende do navegador do usuário e de exportação manual de arquivos .json para backup e integração.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240"/>
      <w:outlineLvl w:val="0"/>
    </w:pPr>
    <w:rPr>
      <w:rFonts w:asciiTheme="majorHAnsi" w:eastAsiaTheme="majorEastAsia" w:hAnsiTheme="majorHAnsi" w:cstheme="majorBidi" w:ascii="Arial Narrow" w:hAnsi="Arial Narrow"/>
      <w:b/>
      <w:bCs/>
      <w:color w:val="1E3A5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rial Narrow" w:hAnsi="Arial Narrow"/>
      <w:b/>
      <w:bCs/>
      <w:color w:val="1E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