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center"/>
        <w:rPr>
          <w:u w:val="single"/>
        </w:rPr>
      </w:pPr>
      <w:r>
        <w:rPr>
          <w:u w:val="single"/>
        </w:rPr>
        <w:t>Exemplo Prático de Aplicação e Saída Esperada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/>
        <w:t>Resumo Executivo</w:t>
      </w:r>
    </w:p>
    <w:p>
      <w:pPr>
        <w:pStyle w:val="Blocodecitao"/>
        <w:bidi w:val="0"/>
        <w:jc w:val="start"/>
        <w:rPr/>
      </w:pPr>
      <w:r>
        <w:rPr/>
        <w:t>Os relatos dos clientes concentram-se em tentativas de phishing via canais móveis e invasões por trojans de sobreposição de tela bancária. A correlação dos dados demonstra que clientes protegidos por antivírus de alta taxa de detecção reduzem em até 85% as tentativas bem-sucedidas de fraude, confirmando que parcerias com fornecedores de segurança representam um alto retorno sobre a mitigação de perdas financeiras.</w:t>
      </w:r>
    </w:p>
    <w:p>
      <w:pPr>
        <w:pStyle w:val="Heading3"/>
        <w:bidi w:val="0"/>
        <w:jc w:val="start"/>
        <w:rPr/>
      </w:pPr>
      <w:r>
        <w:rPr/>
        <w:t>2. Tabela Analítica de Feedbacks e Mitigação</w:t>
      </w:r>
    </w:p>
    <w:p>
      <w:pPr>
        <w:pStyle w:val="BodyText"/>
        <w:bidi w:val="0"/>
        <w:jc w:val="start"/>
        <w:rPr/>
      </w:pPr>
      <w:r>
        <w:rPr/>
      </w:r>
    </w:p>
    <w:tbl>
      <w:tblPr>
        <w:tblW w:w="10851" w:type="dxa"/>
        <w:jc w:val="start"/>
        <w:tblInd w:w="-634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475"/>
        <w:gridCol w:w="1200"/>
        <w:gridCol w:w="1100"/>
        <w:gridCol w:w="2350"/>
        <w:gridCol w:w="1475"/>
        <w:gridCol w:w="1538"/>
        <w:gridCol w:w="1713"/>
      </w:tblGrid>
      <w:tr>
        <w:trPr>
          <w:tblHeader w:val="true"/>
          <w:trHeight w:val="963" w:hRule="atLeast"/>
        </w:trPr>
        <w:tc>
          <w:tcPr>
            <w:tcW w:w="14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Style w:val="Strong"/>
                <w:rFonts w:ascii="Google Sans Text;sans-serif" w:hAnsi="Google Sans Text;sans-serif"/>
                <w:b/>
                <w:bCs/>
                <w:color w:val="1F1F1F"/>
                <w:sz w:val="14"/>
                <w:szCs w:val="14"/>
                <w:shd w:fill="auto" w:val="clear"/>
              </w:rPr>
              <w:t>Tema</w:t>
            </w:r>
          </w:p>
        </w:tc>
        <w:tc>
          <w:tcPr>
            <w:tcW w:w="12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Style w:val="Strong"/>
                <w:rFonts w:ascii="Google Sans Text;sans-serif" w:hAnsi="Google Sans Text;sans-serif"/>
                <w:b/>
                <w:bCs/>
                <w:color w:val="1F1F1F"/>
                <w:sz w:val="14"/>
                <w:szCs w:val="14"/>
                <w:shd w:fill="auto" w:val="clear"/>
              </w:rPr>
              <w:t>Sentimento</w:t>
            </w:r>
          </w:p>
        </w:tc>
        <w:tc>
          <w:tcPr>
            <w:tcW w:w="11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Style w:val="Strong"/>
                <w:rFonts w:ascii="Google Sans Text;sans-serif" w:hAnsi="Google Sans Text;sans-serif"/>
                <w:b/>
                <w:bCs/>
                <w:color w:val="1F1F1F"/>
                <w:sz w:val="14"/>
                <w:szCs w:val="14"/>
                <w:shd w:fill="auto" w:val="clear"/>
              </w:rPr>
              <w:t>Urgência</w:t>
            </w:r>
          </w:p>
        </w:tc>
        <w:tc>
          <w:tcPr>
            <w:tcW w:w="23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Style w:val="Strong"/>
                <w:rFonts w:ascii="Google Sans Text;sans-serif" w:hAnsi="Google Sans Text;sans-serif"/>
                <w:b/>
                <w:bCs/>
                <w:color w:val="1F1F1F"/>
                <w:sz w:val="14"/>
                <w:szCs w:val="14"/>
                <w:shd w:fill="auto" w:val="clear"/>
              </w:rPr>
              <w:t>Evidência (Comentário)</w:t>
            </w:r>
          </w:p>
        </w:tc>
        <w:tc>
          <w:tcPr>
            <w:tcW w:w="14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Style w:val="Strong"/>
                <w:rFonts w:ascii="Google Sans Text;sans-serif" w:hAnsi="Google Sans Text;sans-serif"/>
                <w:b/>
                <w:bCs/>
                <w:color w:val="1F1F1F"/>
                <w:sz w:val="14"/>
                <w:szCs w:val="14"/>
                <w:shd w:fill="auto" w:val="clear"/>
              </w:rPr>
              <w:t>Ameaça Relacionada</w:t>
            </w:r>
          </w:p>
        </w:tc>
        <w:tc>
          <w:tcPr>
            <w:tcW w:w="153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Style w:val="Strong"/>
                <w:rFonts w:ascii="Google Sans Text;sans-serif" w:hAnsi="Google Sans Text;sans-serif"/>
                <w:b/>
                <w:bCs/>
                <w:color w:val="1F1F1F"/>
                <w:sz w:val="14"/>
                <w:szCs w:val="14"/>
                <w:shd w:fill="auto" w:val="clear"/>
              </w:rPr>
              <w:t>Mitigação / Antivírus</w:t>
            </w:r>
          </w:p>
        </w:tc>
        <w:tc>
          <w:tcPr>
            <w:tcW w:w="171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Style w:val="Strong"/>
                <w:rFonts w:ascii="Google Sans Text;sans-serif" w:hAnsi="Google Sans Text;sans-serif"/>
                <w:b/>
                <w:bCs/>
                <w:color w:val="1F1F1F"/>
                <w:sz w:val="14"/>
                <w:szCs w:val="14"/>
                <w:shd w:fill="auto" w:val="clear"/>
              </w:rPr>
              <w:t>Ação Sugerida</w:t>
            </w:r>
          </w:p>
        </w:tc>
      </w:tr>
      <w:tr>
        <w:trPr/>
        <w:tc>
          <w:tcPr>
            <w:tcW w:w="14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b/>
                <w:color w:val="1F1F1F"/>
                <w:sz w:val="14"/>
                <w:szCs w:val="14"/>
              </w:rPr>
              <w:t>Invasão Mobile</w:t>
            </w:r>
          </w:p>
        </w:tc>
        <w:tc>
          <w:tcPr>
            <w:tcW w:w="12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color w:val="1F1F1F"/>
                <w:sz w:val="14"/>
                <w:szCs w:val="14"/>
              </w:rPr>
              <w:t>Negativo</w:t>
            </w:r>
          </w:p>
        </w:tc>
        <w:tc>
          <w:tcPr>
            <w:tcW w:w="11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b/>
                <w:color w:val="1F1F1F"/>
                <w:sz w:val="14"/>
                <w:szCs w:val="14"/>
              </w:rPr>
              <w:t>Crítica</w:t>
            </w:r>
          </w:p>
        </w:tc>
        <w:tc>
          <w:tcPr>
            <w:tcW w:w="23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i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i/>
                <w:color w:val="1F1F1F"/>
                <w:sz w:val="14"/>
                <w:szCs w:val="14"/>
              </w:rPr>
              <w:t>"Meu app abriu uma tela estranha pedindo senha e sumiu R$ 1.200 no Pix."</w:t>
            </w:r>
          </w:p>
        </w:tc>
        <w:tc>
          <w:tcPr>
            <w:tcW w:w="14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color w:val="1F1F1F"/>
                <w:sz w:val="14"/>
                <w:szCs w:val="14"/>
              </w:rPr>
              <w:t>Trojan Bancário / Overlay</w:t>
            </w:r>
          </w:p>
        </w:tc>
        <w:tc>
          <w:tcPr>
            <w:tcW w:w="153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color w:val="1F1F1F"/>
                <w:sz w:val="14"/>
                <w:szCs w:val="14"/>
              </w:rPr>
              <w:t>Bitdefender / Kaspersky (Detecção heurística)</w:t>
            </w:r>
          </w:p>
        </w:tc>
        <w:tc>
          <w:tcPr>
            <w:tcW w:w="171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color w:val="1F1F1F"/>
                <w:sz w:val="14"/>
                <w:szCs w:val="14"/>
              </w:rPr>
              <w:t>Bloqueio preventivo de acessibilidade suspeita no app e alerta de segurança.</w:t>
            </w:r>
          </w:p>
        </w:tc>
      </w:tr>
      <w:tr>
        <w:trPr/>
        <w:tc>
          <w:tcPr>
            <w:tcW w:w="14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b/>
                <w:color w:val="1F1F1F"/>
                <w:sz w:val="14"/>
                <w:szCs w:val="14"/>
              </w:rPr>
              <w:t>Falso Positivo</w:t>
            </w:r>
          </w:p>
        </w:tc>
        <w:tc>
          <w:tcPr>
            <w:tcW w:w="12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color w:val="1F1F1F"/>
                <w:sz w:val="14"/>
                <w:szCs w:val="14"/>
              </w:rPr>
              <w:t>Negativo</w:t>
            </w:r>
          </w:p>
        </w:tc>
        <w:tc>
          <w:tcPr>
            <w:tcW w:w="11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b/>
                <w:color w:val="1F1F1F"/>
                <w:sz w:val="14"/>
                <w:szCs w:val="14"/>
              </w:rPr>
              <w:t>Média</w:t>
            </w:r>
          </w:p>
        </w:tc>
        <w:tc>
          <w:tcPr>
            <w:tcW w:w="23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i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i/>
                <w:color w:val="1F1F1F"/>
                <w:sz w:val="14"/>
                <w:szCs w:val="14"/>
              </w:rPr>
              <w:t>"O antivírus bloqueou a atualização do Internet Banking no meu PC."</w:t>
            </w:r>
          </w:p>
        </w:tc>
        <w:tc>
          <w:tcPr>
            <w:tcW w:w="14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color w:val="1F1F1F"/>
                <w:sz w:val="14"/>
                <w:szCs w:val="14"/>
              </w:rPr>
              <w:t>Falso Positivo / Assinatura</w:t>
            </w:r>
          </w:p>
        </w:tc>
        <w:tc>
          <w:tcPr>
            <w:tcW w:w="153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color w:val="1F1F1F"/>
                <w:sz w:val="14"/>
                <w:szCs w:val="14"/>
              </w:rPr>
              <w:t>Microsoft Defender / Norton</w:t>
            </w:r>
          </w:p>
        </w:tc>
        <w:tc>
          <w:tcPr>
            <w:tcW w:w="171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color w:val="1F1F1F"/>
                <w:sz w:val="14"/>
                <w:szCs w:val="14"/>
              </w:rPr>
              <w:t>Homologar binários bancários nas listas de permissão dos principais antivírus.</w:t>
            </w:r>
          </w:p>
        </w:tc>
      </w:tr>
      <w:tr>
        <w:trPr/>
        <w:tc>
          <w:tcPr>
            <w:tcW w:w="14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b/>
                <w:color w:val="1F1F1F"/>
                <w:sz w:val="14"/>
                <w:szCs w:val="14"/>
              </w:rPr>
              <w:t>Dúvida / Conscientização</w:t>
            </w:r>
          </w:p>
        </w:tc>
        <w:tc>
          <w:tcPr>
            <w:tcW w:w="12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color w:val="1F1F1F"/>
                <w:sz w:val="14"/>
                <w:szCs w:val="14"/>
              </w:rPr>
              <w:t>Neutro</w:t>
            </w:r>
          </w:p>
        </w:tc>
        <w:tc>
          <w:tcPr>
            <w:tcW w:w="11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b/>
                <w:color w:val="1F1F1F"/>
                <w:sz w:val="14"/>
                <w:szCs w:val="14"/>
              </w:rPr>
              <w:t>Baixa</w:t>
            </w:r>
          </w:p>
        </w:tc>
        <w:tc>
          <w:tcPr>
            <w:tcW w:w="23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i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i/>
                <w:color w:val="1F1F1F"/>
                <w:sz w:val="14"/>
                <w:szCs w:val="14"/>
              </w:rPr>
              <w:t>"Recebi um SMS sobre compra suspeita, como sei se o link é seguro?"</w:t>
            </w:r>
          </w:p>
        </w:tc>
        <w:tc>
          <w:tcPr>
            <w:tcW w:w="14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color w:val="1F1F1F"/>
                <w:sz w:val="14"/>
                <w:szCs w:val="14"/>
              </w:rPr>
              <w:t>Phishing / Smishing</w:t>
            </w:r>
          </w:p>
        </w:tc>
        <w:tc>
          <w:tcPr>
            <w:tcW w:w="153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color w:val="1F1F1F"/>
                <w:sz w:val="14"/>
                <w:szCs w:val="14"/>
              </w:rPr>
              <w:t>Recursos de Web Protection e Anti-Phishing</w:t>
            </w:r>
          </w:p>
        </w:tc>
        <w:tc>
          <w:tcPr>
            <w:tcW w:w="171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color w:val="1F1F1F"/>
                <w:sz w:val="14"/>
                <w:szCs w:val="14"/>
              </w:rPr>
              <w:t>Envio de pílulas educativas in-app sobre links oficiais e canais seguros.</w:t>
            </w:r>
          </w:p>
        </w:tc>
      </w:tr>
      <w:tr>
        <w:trPr>
          <w:trHeight w:val="1218" w:hRule="atLeast"/>
        </w:trPr>
        <w:tc>
          <w:tcPr>
            <w:tcW w:w="14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b/>
                <w:color w:val="1F1F1F"/>
                <w:sz w:val="14"/>
                <w:szCs w:val="14"/>
              </w:rPr>
              <w:t>Prevenção Efetiva</w:t>
            </w:r>
          </w:p>
        </w:tc>
        <w:tc>
          <w:tcPr>
            <w:tcW w:w="12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color w:val="1F1F1F"/>
                <w:sz w:val="14"/>
                <w:szCs w:val="14"/>
              </w:rPr>
              <w:t>Positivo</w:t>
            </w:r>
          </w:p>
        </w:tc>
        <w:tc>
          <w:tcPr>
            <w:tcW w:w="11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b/>
                <w:color w:val="1F1F1F"/>
                <w:sz w:val="14"/>
                <w:szCs w:val="14"/>
              </w:rPr>
              <w:t>Baixa</w:t>
            </w:r>
          </w:p>
        </w:tc>
        <w:tc>
          <w:tcPr>
            <w:tcW w:w="23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i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i/>
                <w:color w:val="1F1F1F"/>
                <w:sz w:val="14"/>
                <w:szCs w:val="14"/>
              </w:rPr>
              <w:t>"O antivírus alertou sobre um arquivo malicioso antes de eu logar na conta."</w:t>
            </w:r>
          </w:p>
        </w:tc>
        <w:tc>
          <w:tcPr>
            <w:tcW w:w="14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color w:val="1F1F1F"/>
                <w:sz w:val="14"/>
                <w:szCs w:val="14"/>
              </w:rPr>
              <w:t>Keylogger / Malware ladrão</w:t>
            </w:r>
          </w:p>
        </w:tc>
        <w:tc>
          <w:tcPr>
            <w:tcW w:w="153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color w:val="1F1F1F"/>
                <w:sz w:val="14"/>
                <w:szCs w:val="14"/>
              </w:rPr>
              <w:t>ESET / Avast Premium</w:t>
            </w:r>
          </w:p>
        </w:tc>
        <w:tc>
          <w:tcPr>
            <w:tcW w:w="171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  <w:sz w:val="14"/>
                <w:szCs w:val="14"/>
              </w:rPr>
            </w:pPr>
            <w:r>
              <w:rPr>
                <w:rFonts w:ascii="Google Sans Text;sans-serif" w:hAnsi="Google Sans Text;sans-serif"/>
                <w:color w:val="1F1F1F"/>
                <w:sz w:val="14"/>
                <w:szCs w:val="14"/>
              </w:rPr>
              <w:t>Promover campanhas de incentivo à instalação de antivírus homologados.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Top 3 Prioridades Estratégicas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Parceria Estratégica para Distribuição de Proteção Endpoint:</w:t>
      </w:r>
      <w:r>
        <w:rPr/>
        <w:t xml:space="preserve"> Oferecer licenças subsidiadas de antivírus com alta taxa de bloqueio heurístico para correntistas ativos em Internet Banking.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Reforço no SDK de Detecção do App Bancário:</w:t>
      </w:r>
      <w:r>
        <w:rPr/>
        <w:t xml:space="preserve"> Implementar detecção nativa de sobreposição de tela (</w:t>
      </w:r>
      <w:r>
        <w:rPr>
          <w:i/>
        </w:rPr>
        <w:t>overlay attack</w:t>
      </w:r>
      <w:r>
        <w:rPr/>
        <w:t>) e ferramentas de acesso remoto não autorizadas.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>
          <w:b/>
        </w:rPr>
        <w:t>Comunicação Ativa Anti-Phishing:</w:t>
      </w:r>
      <w:r>
        <w:rPr/>
        <w:t xml:space="preserve"> Centralizar notificações de transações exclusivamente dentro do aplicativo seguro, reduzindo a dependência de links via SMS/E-mail.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oogle Sans Text">
    <w:altName w:val="sans-serif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LibreOffice/26.2.5.2$Windows_X86_64 LibreOffice_project/cd7284b4cbbfeb507e630c1aac019f4157393acb</Application>
  <AppVersion>15.0000</AppVersion>
  <Pages>1</Pages>
  <Words>309</Words>
  <Characters>1838</Characters>
  <CharactersWithSpaces>2101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2026-08-17T10:33:02Z</dcterms:created>
  <dc:creator/>
  <dc:description/>
  <dc:language>pt-BR</dc:language>
  <cp:lastModifiedBy/>
  <dcterms:modified xsi:type="dcterms:W3CDTF">2026-08-17T10:41:23Z</dcterms:modified>
  <cp:revision>1</cp:revision>
  <dc:subject/>
  <dc:title/>
</cp:coreProperties>
</file>