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C9789"/>
          <w:sz w:val="22"/>
        </w:rPr>
        <w:t>TECHNICAL REPORT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081F30"/>
          <w:sz w:val="60"/>
        </w:rPr>
        <w:t>VECTRA-X</w:t>
      </w:r>
    </w:p>
    <w:p>
      <w:pPr>
        <w:spacing w:after="360"/>
        <w:jc w:val="center"/>
      </w:pPr>
      <w:r>
        <w:rPr>
          <w:rFonts w:ascii="Calibri" w:hAnsi="Calibri"/>
          <w:b w:val="0"/>
          <w:i w:val="0"/>
          <w:color w:val="255D7D"/>
          <w:sz w:val="32"/>
        </w:rPr>
        <w:t>Uncertainty-Aware Triage Intelligence for Vector-Borne Disease Response in Resource-Limited Humanitarian Settings</w:t>
      </w:r>
    </w:p>
    <w:p>
      <w:pPr>
        <w:jc w:val="center"/>
      </w:pPr>
      <w:r>
        <w:rPr>
          <w:rFonts w:ascii="Calibri" w:hAnsi="Calibri"/>
          <w:b w:val="0"/>
          <w:i/>
          <w:color w:val="596771"/>
          <w:sz w:val="21"/>
        </w:rPr>
        <w:t>FIT Competition 2026 | Track IV: AI-based Vector-Borne Disease Prediction</w:t>
        <w:br/>
        <w:t>Evidence generated from a self-contained notebook and the official CSV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55D7D"/>
          <w:sz w:val="32"/>
        </w:rPr>
        <w:t>Executive Summary</w:t>
      </w:r>
    </w:p>
    <w:p>
      <w:pPr>
        <w:spacing w:after="160" w:line="300" w:lineRule="auto"/>
      </w:pPr>
      <w:r>
        <w:rPr>
          <w:rFonts w:ascii="Calibri" w:hAnsi="Calibri"/>
          <w:b w:val="0"/>
          <w:i w:val="0"/>
          <w:sz w:val="22"/>
        </w:rPr>
        <w:t>VECTRA-X reframes vector-borne disease prediction as an operational triage problem. The system preserves co-infection, separates pre-lab and lab-aware information, exposes target leakage, communicates uncertainty, and converts model outputs into transparent review and resource-prioritization queues.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5F2"/>
          </w:tcPr>
          <w:p>
            <w:r>
              <w:rPr>
                <w:rFonts w:ascii="Calibri" w:hAnsi="Calibri"/>
                <w:b/>
                <w:i w:val="0"/>
                <w:color w:val="081F30"/>
                <w:sz w:val="21"/>
              </w:rPr>
              <w:t>Primary finding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Extra Trees ranked first by training-only OOF macro PR-AUC. On the untouched holdout, calibrated PRE_LAB performance reached macro F1 0.535, micro F1 0.851, and macro PR-AUC 0.582. These aggregate scores conceal major rare-label false-negative risk.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BECEB"/>
          </w:tcPr>
          <w:p>
            <w:r>
              <w:rPr>
                <w:rFonts w:ascii="Calibri" w:hAnsi="Calibri"/>
                <w:b/>
                <w:i w:val="0"/>
                <w:color w:val="081F30"/>
                <w:sz w:val="21"/>
              </w:rPr>
              <w:t>Safety limitation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Yellow fever recall was 0/3 and typhoid recall was 1/7. VECTRA-X is therefore a competition decision-support prototype, not a diagnostic system, and requires prospective multi-center validation.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55D7D"/>
          <w:sz w:val="32"/>
        </w:rPr>
        <w:t>1. Humanitarian Problem and Intended Use</w:t>
      </w:r>
    </w:p>
    <w:p>
      <w:pPr>
        <w:spacing w:after="160" w:line="300" w:lineRule="auto"/>
      </w:pPr>
      <w:r>
        <w:rPr>
          <w:rFonts w:ascii="Calibri" w:hAnsi="Calibri"/>
          <w:b w:val="0"/>
          <w:i w:val="0"/>
          <w:sz w:val="22"/>
        </w:rPr>
        <w:t>During outbreaks, frontline teams must prioritize patients while laboratory tests, beds, and qualified staff are limited. A prediction alone does not answer who should be reviewed first, when the model is uncertain, or how capacity constraints change the queue.</w:t>
      </w:r>
    </w:p>
    <w:p>
      <w:pPr>
        <w:spacing w:after="160" w:line="300" w:lineRule="auto"/>
      </w:pPr>
      <w:r>
        <w:rPr>
          <w:rFonts w:ascii="Calibri" w:hAnsi="Calibri"/>
          <w:b w:val="0"/>
          <w:i w:val="0"/>
          <w:sz w:val="22"/>
        </w:rPr>
        <w:t>VECTRA-X supports triage prioritization and confirmatory-test allocation. Its intended users are health workers and humanitarian response coordinators. It does not recommend treatment or replace clinician assessment.</w:t>
      </w:r>
    </w:p>
    <w:p>
      <w:pPr>
        <w:pStyle w:val="Heading1"/>
      </w:pPr>
      <w:r>
        <w:rPr>
          <w:rFonts w:ascii="Calibri" w:hAnsi="Calibri"/>
          <w:b/>
          <w:i w:val="0"/>
          <w:color w:val="255D7D"/>
          <w:sz w:val="32"/>
        </w:rPr>
        <w:t>2. Related Work and Research Gap</w:t>
      </w:r>
    </w:p>
    <w:p>
      <w:pPr>
        <w:spacing w:after="160" w:line="300" w:lineRule="auto"/>
      </w:pPr>
      <w:r>
        <w:rPr>
          <w:rFonts w:ascii="Calibri" w:hAnsi="Calibri"/>
          <w:b w:val="0"/>
          <w:i w:val="0"/>
          <w:sz w:val="22"/>
        </w:rPr>
        <w:t>Clinical prediction studies for febrile and vector-borne illness often focus on one disease or force mutually exclusive classes. This is poorly matched to a cohort in which 158 of 300 patients have more than one active label.</w:t>
      </w:r>
    </w:p>
    <w:p>
      <w:pPr>
        <w:spacing w:after="160" w:line="300" w:lineRule="auto"/>
      </w:pPr>
      <w:r>
        <w:rPr>
          <w:rFonts w:ascii="Calibri" w:hAnsi="Calibri"/>
          <w:b w:val="0"/>
          <w:i w:val="0"/>
          <w:sz w:val="22"/>
        </w:rPr>
        <w:t>The research gap addressed here is stage-aware, leakage-audited, multi-label triage with uncertainty and operational prioritization. The methodology draws on multi-label stratification, probability calibration, conformal prediction, decision-curve analysis, TRIPOD+AI reporting, and WHO guidance on responsible AI for health.</w:t>
      </w:r>
    </w:p>
    <w:p>
      <w:pPr>
        <w:pStyle w:val="Heading1"/>
      </w:pPr>
      <w:r>
        <w:rPr>
          <w:rFonts w:ascii="Calibri" w:hAnsi="Calibri"/>
          <w:b/>
          <w:i w:val="0"/>
          <w:color w:val="255D7D"/>
          <w:sz w:val="32"/>
        </w:rPr>
        <w:t>3. Data and Problem Formulation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54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Property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Observed value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Methodological consequence</w:t>
            </w:r>
          </w:p>
        </w:tc>
      </w:tr>
      <w:tr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Patients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300</w:t>
            </w:r>
          </w:p>
        </w:tc>
        <w:tc>
          <w:tcPr>
            <w:tcW w:type="dxa" w:w="5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Use uncertainty intervals and repeated validation</w:t>
            </w:r>
          </w:p>
        </w:tc>
      </w:tr>
      <w:tr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Raw variables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109</w:t>
            </w:r>
          </w:p>
        </w:tc>
        <w:tc>
          <w:tcPr>
            <w:tcW w:type="dxa" w:w="5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Audit schema, missingness, and feature timing</w:t>
            </w:r>
          </w:p>
        </w:tc>
      </w:tr>
      <w:tr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Health centers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5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Run leave-one-center-out stress tests</w:t>
            </w:r>
          </w:p>
        </w:tc>
      </w:tr>
      <w:tr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Multi-label patients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158</w:t>
            </w:r>
          </w:p>
        </w:tc>
        <w:tc>
          <w:tcPr>
            <w:tcW w:type="dxa" w:w="5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Use multi-label rather than multi-class learning</w:t>
            </w:r>
          </w:p>
        </w:tc>
      </w:tr>
      <w:tr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Active labels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5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Report macro and per-label metrics</w:t>
            </w:r>
          </w:p>
        </w:tc>
      </w:tr>
      <w:tr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Dataset checksum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365344fe8ce55328...</w:t>
            </w:r>
          </w:p>
        </w:tc>
        <w:tc>
          <w:tcPr>
            <w:tcW w:type="dxa" w:w="5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Trace evidence to the submitted CSV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55D7D"/>
          <w:sz w:val="32"/>
        </w:rPr>
        <w:t>4. Leakage-Safe Methodology</w:t>
      </w:r>
    </w:p>
    <w:p>
      <w:pPr>
        <w:spacing w:after="160" w:line="300" w:lineRule="auto"/>
      </w:pPr>
      <w:r>
        <w:rPr>
          <w:rFonts w:ascii="Calibri" w:hAnsi="Calibri"/>
          <w:b w:val="0"/>
          <w:i w:val="0"/>
          <w:sz w:val="22"/>
        </w:rPr>
        <w:t>The outer multi-label stratified holdout is created immediately after target extraction. Data-driven schema decisions, category discovery, missing-indicator selection, imputation, model selection, threshold optimization, calibration, and conformal thresholds use training data only.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i w:val="0"/>
          <w:sz w:val="22"/>
        </w:rPr>
        <w:t>PRE_LAB uses demographics, symptoms, history, and available vital signs.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i w:val="0"/>
          <w:sz w:val="22"/>
        </w:rPr>
        <w:t>LAB_AWARE adds ordered laboratory and rapid-test information.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i w:val="0"/>
          <w:sz w:val="22"/>
        </w:rPr>
        <w:t>FULL includes target-restatement risks and is reported only as a leakage demonstration.</w:t>
      </w:r>
    </w:p>
    <w:p>
      <w:pPr>
        <w:spacing w:after="160" w:line="300" w:lineRule="auto"/>
      </w:pPr>
      <w:r>
        <w:rPr>
          <w:rFonts w:ascii="Calibri" w:hAnsi="Calibri"/>
          <w:b w:val="0"/>
          <w:i w:val="0"/>
          <w:sz w:val="22"/>
        </w:rPr>
        <w:t>All notebook results are recomputed from the official CSV. The submitted notebook does not read project modules, configuration files, processed data, saved models, or prior artifacts.</w:t>
      </w:r>
    </w:p>
    <w:p>
      <w:pPr>
        <w:pStyle w:val="Heading1"/>
      </w:pPr>
      <w:r>
        <w:rPr>
          <w:rFonts w:ascii="Calibri" w:hAnsi="Calibri"/>
          <w:b/>
          <w:i w:val="0"/>
          <w:color w:val="255D7D"/>
          <w:sz w:val="32"/>
        </w:rPr>
        <w:t>5. Model Comparison and Selection Rationale</w:t>
      </w:r>
    </w:p>
    <w:p>
      <w:r>
        <w:drawing>
          <wp:inline xmlns:a="http://schemas.openxmlformats.org/drawingml/2006/main" xmlns:pic="http://schemas.openxmlformats.org/drawingml/2006/picture">
            <wp:extent cx="5806440" cy="3159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9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96771"/>
          <w:sz w:val="18"/>
        </w:rPr>
        <w:t>Figure 1. Training-only OOF model ranking by macro PR-AUC.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050"/>
        <w:gridCol w:w="800"/>
        <w:gridCol w:w="3000"/>
        <w:gridCol w:w="306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Model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OOF PR-AUC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Runtime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Why included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Main limitation</w:t>
            </w:r>
          </w:p>
        </w:tc>
      </w:tr>
      <w:tr>
        <w:tc>
          <w:tcPr>
            <w:tcW w:type="dxa" w:w="145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Extra Trees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0.566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22.4s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Strong small-tabular benchmark, low variance</w:t>
            </w:r>
          </w:p>
        </w:tc>
        <w:tc>
          <w:tcPr>
            <w:tcW w:type="dxa" w:w="3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Feature effects are less direct</w:t>
            </w:r>
          </w:p>
        </w:tc>
      </w:tr>
      <w:tr>
        <w:tc>
          <w:tcPr>
            <w:tcW w:type="dxa" w:w="145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Random Forest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0.541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21.6s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Robust nonlinear bagging</w:t>
            </w:r>
          </w:p>
        </w:tc>
        <w:tc>
          <w:tcPr>
            <w:tcW w:type="dxa" w:w="3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Larger and less calibrated</w:t>
            </w:r>
          </w:p>
        </w:tc>
      </w:tr>
      <w:tr>
        <w:tc>
          <w:tcPr>
            <w:tcW w:type="dxa" w:w="145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XGBoost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0.533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5.2s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Strong tabular ranking performance</w:t>
            </w:r>
          </w:p>
        </w:tc>
        <w:tc>
          <w:tcPr>
            <w:tcW w:type="dxa" w:w="3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External dependency and tuning sensitivity</w:t>
            </w:r>
          </w:p>
        </w:tc>
      </w:tr>
      <w:tr>
        <w:tc>
          <w:tcPr>
            <w:tcW w:type="dxa" w:w="145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HistGradientBoosting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0.529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14.6s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Efficient regularized boosting</w:t>
            </w:r>
          </w:p>
        </w:tc>
        <w:tc>
          <w:tcPr>
            <w:tcW w:type="dxa" w:w="3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Binary relevance required</w:t>
            </w:r>
          </w:p>
        </w:tc>
      </w:tr>
      <w:tr>
        <w:tc>
          <w:tcPr>
            <w:tcW w:type="dxa" w:w="145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LightGBM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0.521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4.7s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Fast boosting with flexible leaves</w:t>
            </w:r>
          </w:p>
        </w:tc>
        <w:tc>
          <w:tcPr>
            <w:tcW w:type="dxa" w:w="3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Can overfit tiny rare-label samples</w:t>
            </w:r>
          </w:p>
        </w:tc>
      </w:tr>
      <w:tr>
        <w:tc>
          <w:tcPr>
            <w:tcW w:type="dxa" w:w="145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Logistic Regression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0.516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0.7s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Stable, interpretable linear baseline</w:t>
            </w:r>
          </w:p>
        </w:tc>
        <w:tc>
          <w:tcPr>
            <w:tcW w:type="dxa" w:w="3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Misses nonlinear interactions</w:t>
            </w:r>
          </w:p>
        </w:tc>
      </w:tr>
      <w:tr>
        <w:tc>
          <w:tcPr>
            <w:tcW w:type="dxa" w:w="145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Classifier Chain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0.516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0.6s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Models label dependence</w:t>
            </w:r>
          </w:p>
        </w:tc>
        <w:tc>
          <w:tcPr>
            <w:tcW w:type="dxa" w:w="3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Order-sensitive and less stable for rare labels</w:t>
            </w:r>
          </w:p>
        </w:tc>
      </w:tr>
      <w:tr>
        <w:tc>
          <w:tcPr>
            <w:tcW w:type="dxa" w:w="145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Dummy / Prevalence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0.307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0.5s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Base-rate reference</w:t>
            </w:r>
          </w:p>
        </w:tc>
        <w:tc>
          <w:tcPr>
            <w:tcW w:type="dxa" w:w="3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No patient discrimination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Calibri" w:hAnsi="Calibri"/>
          <w:b w:val="0"/>
          <w:i w:val="0"/>
          <w:sz w:val="22"/>
        </w:rPr>
        <w:t>Macro PR-AUC is the initial selection metric because label prevalence is highly imbalanced and the metric evaluates ranking without fixing a threshold. Final triage suitability also considers recall, false negatives, calibration, stability, number-needed-to-review, and resource demand.</w:t>
      </w:r>
    </w:p>
    <w:p>
      <w:pPr>
        <w:pStyle w:val="Heading1"/>
      </w:pPr>
      <w:r>
        <w:rPr>
          <w:rFonts w:ascii="Calibri" w:hAnsi="Calibri"/>
          <w:b/>
          <w:i w:val="0"/>
          <w:color w:val="255D7D"/>
          <w:sz w:val="32"/>
        </w:rPr>
        <w:t>6. Held-Out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765"/>
        <w:gridCol w:w="1765"/>
        <w:gridCol w:w="1765"/>
        <w:gridCol w:w="1765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Track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Macro F1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Micro F1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Macro recall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Macro PR-AUC</w:t>
            </w:r>
          </w:p>
        </w:tc>
      </w:tr>
      <w:tr>
        <w:tc>
          <w:tcPr>
            <w:tcW w:type="dxa" w:w="23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PRE_LAB</w:t>
            </w:r>
          </w:p>
        </w:tc>
        <w:tc>
          <w:tcPr>
            <w:tcW w:type="dxa" w:w="17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0.591</w:t>
            </w:r>
          </w:p>
        </w:tc>
        <w:tc>
          <w:tcPr>
            <w:tcW w:type="dxa" w:w="17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0.782</w:t>
            </w:r>
          </w:p>
        </w:tc>
        <w:tc>
          <w:tcPr>
            <w:tcW w:type="dxa" w:w="17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0.792</w:t>
            </w:r>
          </w:p>
        </w:tc>
        <w:tc>
          <w:tcPr>
            <w:tcW w:type="dxa" w:w="17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0.589</w:t>
            </w:r>
          </w:p>
        </w:tc>
      </w:tr>
      <w:tr>
        <w:tc>
          <w:tcPr>
            <w:tcW w:type="dxa" w:w="23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LAB_AWARE</w:t>
            </w:r>
          </w:p>
        </w:tc>
        <w:tc>
          <w:tcPr>
            <w:tcW w:type="dxa" w:w="17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0.613</w:t>
            </w:r>
          </w:p>
        </w:tc>
        <w:tc>
          <w:tcPr>
            <w:tcW w:type="dxa" w:w="17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0.815</w:t>
            </w:r>
          </w:p>
        </w:tc>
        <w:tc>
          <w:tcPr>
            <w:tcW w:type="dxa" w:w="17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0.740</w:t>
            </w:r>
          </w:p>
        </w:tc>
        <w:tc>
          <w:tcPr>
            <w:tcW w:type="dxa" w:w="17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0.595</w:t>
            </w:r>
          </w:p>
        </w:tc>
      </w:tr>
      <w:tr>
        <w:tc>
          <w:tcPr>
            <w:tcW w:type="dxa" w:w="23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FULL</w:t>
            </w:r>
          </w:p>
        </w:tc>
        <w:tc>
          <w:tcPr>
            <w:tcW w:type="dxa" w:w="17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0.662</w:t>
            </w:r>
          </w:p>
        </w:tc>
        <w:tc>
          <w:tcPr>
            <w:tcW w:type="dxa" w:w="17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0.843</w:t>
            </w:r>
          </w:p>
        </w:tc>
        <w:tc>
          <w:tcPr>
            <w:tcW w:type="dxa" w:w="17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0.754</w:t>
            </w:r>
          </w:p>
        </w:tc>
        <w:tc>
          <w:tcPr>
            <w:tcW w:type="dxa" w:w="17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0.682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Calibri" w:hAnsi="Calibri"/>
          <w:b w:val="0"/>
          <w:i w:val="0"/>
          <w:sz w:val="22"/>
        </w:rPr>
        <w:t>The FULL track is highest, but its gain is not operationally valid because it contains post-diagnosis or target-restatement information. LAB_AWARE is a confirmation-support context. PRE_LAB remains the honest early-triage track.</w:t>
      </w:r>
    </w:p>
    <w:p>
      <w:r>
        <w:drawing>
          <wp:inline xmlns:a="http://schemas.openxmlformats.org/drawingml/2006/main" xmlns:pic="http://schemas.openxmlformats.org/drawingml/2006/picture">
            <wp:extent cx="5806440" cy="3076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label_rec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76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96771"/>
          <w:sz w:val="18"/>
        </w:rPr>
        <w:t>Figure 2. Held-out recall with positive support counts.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100"/>
        <w:gridCol w:w="1465"/>
        <w:gridCol w:w="1465"/>
        <w:gridCol w:w="1465"/>
        <w:gridCol w:w="1465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Label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Support</w:t>
            </w:r>
          </w:p>
        </w:tc>
        <w:tc>
          <w:tcPr>
            <w:tcW w:type="dxa" w:w="1465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Precision</w:t>
            </w:r>
          </w:p>
        </w:tc>
        <w:tc>
          <w:tcPr>
            <w:tcW w:type="dxa" w:w="1465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Recall</w:t>
            </w:r>
          </w:p>
        </w:tc>
        <w:tc>
          <w:tcPr>
            <w:tcW w:type="dxa" w:w="1465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F1</w:t>
            </w:r>
          </w:p>
        </w:tc>
        <w:tc>
          <w:tcPr>
            <w:tcW w:type="dxa" w:w="1465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FNR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malaria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67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0.870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1.000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0.931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0.000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dengue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0.471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0.571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0.516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0.429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yellow_fever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0.000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0.000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0.000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1.000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typhoid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1.000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0.143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0.250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0.857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other_diseases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25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1.000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0.960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0.980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0.040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55D7D"/>
          <w:sz w:val="32"/>
        </w:rPr>
        <w:t>7. Metric Rationale for Real-World Triage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600"/>
        <w:gridCol w:w="41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Question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Metric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Why it matters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Can the model rank rare diseases?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Macro PR-AUC</w:t>
            </w:r>
          </w:p>
        </w:tc>
        <w:tc>
          <w:tcPr>
            <w:tcW w:type="dxa" w:w="4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Resists dominance by common labels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Which diseases are missed?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Per-label recall and FNR</w:t>
            </w:r>
          </w:p>
        </w:tc>
        <w:tc>
          <w:tcPr>
            <w:tcW w:type="dxa" w:w="4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Makes false negatives visible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How much review work is created?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Precision and number-needed-to-review</w:t>
            </w:r>
          </w:p>
        </w:tc>
        <w:tc>
          <w:tcPr>
            <w:tcW w:type="dxa" w:w="4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Connects flags to staff burden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Can probability guide priority?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Brier score and calibration error</w:t>
            </w:r>
          </w:p>
        </w:tc>
        <w:tc>
          <w:tcPr>
            <w:tcW w:type="dxa" w:w="4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Tests probability trust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Is testing policy useful?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Decision-curve net benefit</w:t>
            </w:r>
          </w:p>
        </w:tc>
        <w:tc>
          <w:tcPr>
            <w:tcW w:type="dxa" w:w="4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Compares model, test-all, and test-none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Will evidence transfer?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Repeated CV, bootstrap CI, center transfer</w:t>
            </w:r>
          </w:p>
        </w:tc>
        <w:tc>
          <w:tcPr>
            <w:tcW w:type="dxa" w:w="4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Exposes sampling and facility instability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Calibri" w:hAnsi="Calibri"/>
          <w:b w:val="0"/>
          <w:i w:val="0"/>
          <w:sz w:val="22"/>
        </w:rPr>
        <w:t>No single metric is treated as a clinical utility score. The recommended candidate is reviewed as a Pareto trade-off across discrimination, safety, probability trust, stability, and operational burden.</w:t>
      </w:r>
    </w:p>
    <w:p>
      <w:pPr>
        <w:pStyle w:val="Heading1"/>
      </w:pPr>
      <w:r>
        <w:rPr>
          <w:rFonts w:ascii="Calibri" w:hAnsi="Calibri"/>
          <w:b/>
          <w:i w:val="0"/>
          <w:color w:val="255D7D"/>
          <w:sz w:val="32"/>
        </w:rPr>
        <w:t>8. Calibration, Uncertainty, and Caution Sets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000"/>
        <w:gridCol w:w="1540"/>
        <w:gridCol w:w="1540"/>
        <w:gridCol w:w="1540"/>
        <w:gridCol w:w="154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Label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Support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Brier raw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Brier calibrated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ECE raw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ECE calibrated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malaria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67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0.109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0.114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0.064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0.075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dengue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0.130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0.126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0.087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0.081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yellow_fever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0.036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0.037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0.049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0.000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typhoid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0.104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0.078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0.105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0.049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other_diseases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0.049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0.015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0.161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0.010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Calibri" w:hAnsi="Calibri"/>
          <w:b w:val="0"/>
          <w:i w:val="0"/>
          <w:sz w:val="22"/>
        </w:rPr>
        <w:t>Calibration is label-dependent and may worsen some estimates. Predictive entropy, top-two margin, and maximum probability form an uncertainty gate. Label-wise positive-class conformal sets are presented as a caution mechanism, not as a joint multi-label coverage guarantee.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800"/>
        <w:gridCol w:w="2100"/>
        <w:gridCol w:w="2160"/>
      </w:tblGrid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Label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Test positives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Coverage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Inclusions</w:t>
            </w:r>
          </w:p>
        </w:tc>
      </w:tr>
      <w:tr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malaria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67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1.000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77</w:t>
            </w:r>
          </w:p>
        </w:tc>
      </w:tr>
      <w:tr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dengue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14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0.929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yellow_fever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1.000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77</w:t>
            </w:r>
          </w:p>
        </w:tc>
      </w:tr>
      <w:tr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typhoid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0.286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other_diseases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25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0.960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24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55D7D"/>
          <w:sz w:val="32"/>
        </w:rPr>
        <w:t>9. Explainability, Fairness, and Robustness</w:t>
      </w:r>
    </w:p>
    <w:p>
      <w:pPr>
        <w:spacing w:after="160" w:line="300" w:lineRule="auto"/>
      </w:pPr>
      <w:r>
        <w:rPr>
          <w:rFonts w:ascii="Calibri" w:hAnsi="Calibri"/>
          <w:b w:val="0"/>
          <w:i w:val="0"/>
          <w:sz w:val="22"/>
        </w:rPr>
        <w:t>Permutation importance explains model behavior globally. It does not establish medical causality. Subgroup metrics are warning diagnostics because support is small. Center transfer is a stronger stress test of deployment risk.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100"/>
        <w:gridCol w:w="1300"/>
        <w:gridCol w:w="1750"/>
        <w:gridCol w:w="1750"/>
        <w:gridCol w:w="17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Test Center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N Test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Macro F1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Recall Dengue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Recall Yellow Fever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Recall Typhoid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CMA de DO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147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0.350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0.000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0.000</w:t>
            </w:r>
          </w:p>
        </w:tc>
        <w:tc>
          <w:tcPr>
            <w:tcW w:type="dxa" w:w="17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0.000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CMA de DAFRA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153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0.368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0.000</w:t>
            </w:r>
          </w:p>
        </w:tc>
        <w:tc>
          <w:tcPr>
            <w:tcW w:type="dxa" w:w="17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0.000</w:t>
            </w:r>
          </w:p>
        </w:tc>
        <w:tc>
          <w:tcPr>
            <w:tcW w:type="dxa" w:w="17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0.000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BECEB"/>
          </w:tcPr>
          <w:p>
            <w:r>
              <w:rPr>
                <w:rFonts w:ascii="Calibri" w:hAnsi="Calibri"/>
                <w:b/>
                <w:i w:val="0"/>
                <w:color w:val="081F30"/>
                <w:sz w:val="21"/>
              </w:rPr>
              <w:t>Generalization warning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Performance across facilities is materially weaker for rare labels. A future deployment would require facility-specific validation, recalibration, drift monitoring, and a human override pathway.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55D7D"/>
          <w:sz w:val="32"/>
        </w:rPr>
        <w:t>10. Triage and Resource Workflow</w:t>
      </w:r>
    </w:p>
    <w:p>
      <w:pPr>
        <w:spacing w:after="160" w:line="300" w:lineRule="auto"/>
      </w:pPr>
      <w:r>
        <w:rPr>
          <w:rFonts w:ascii="Calibri" w:hAnsi="Calibri"/>
          <w:b w:val="0"/>
          <w:i w:val="0"/>
          <w:sz w:val="22"/>
        </w:rPr>
        <w:t>The prototype separates four outputs: disease predictions, uncertainty, triage priority, and recommended human action. Tiers are Routine, Clinical Review, Confirmatory Test Priority, and Urgent Response.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950"/>
        <w:gridCol w:w="1950"/>
        <w:gridCol w:w="1960"/>
      </w:tblGrid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Resource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Demand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Capacity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Unserved</w:t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rapid_tests</w:t>
            </w:r>
          </w:p>
        </w:tc>
        <w:tc>
          <w:tcPr>
            <w:tcW w:type="dxa" w:w="19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33</w:t>
            </w:r>
          </w:p>
        </w:tc>
        <w:tc>
          <w:tcPr>
            <w:tcW w:type="dxa" w:w="19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50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beds</w:t>
            </w:r>
          </w:p>
        </w:tc>
        <w:tc>
          <w:tcPr>
            <w:tcW w:type="dxa" w:w="19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  <w:tc>
          <w:tcPr>
            <w:tcW w:type="dxa" w:w="19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staff_review_slots</w:t>
            </w:r>
          </w:p>
        </w:tc>
        <w:tc>
          <w:tcPr>
            <w:tcW w:type="dxa" w:w="19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49</w:t>
            </w:r>
          </w:p>
        </w:tc>
        <w:tc>
          <w:tcPr>
            <w:tcW w:type="dxa" w:w="19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80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1650"/>
        <w:gridCol w:w="1900"/>
        <w:gridCol w:w="2300"/>
        <w:gridCol w:w="1660"/>
      </w:tblGrid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Policy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Total flags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True-positive flags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Number needed to review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Flags per patient</w:t>
            </w:r>
          </w:p>
        </w:tc>
      </w:tr>
      <w:tr>
        <w:tc>
          <w:tcPr>
            <w:tcW w:type="dxa" w:w="185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performance</w:t>
            </w:r>
          </w:p>
        </w:tc>
        <w:tc>
          <w:tcPr>
            <w:tcW w:type="dxa" w:w="16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119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100</w:t>
            </w:r>
          </w:p>
        </w:tc>
        <w:tc>
          <w:tcPr>
            <w:tcW w:type="dxa" w:w="2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1.19</w:t>
            </w:r>
          </w:p>
        </w:tc>
        <w:tc>
          <w:tcPr>
            <w:tcW w:type="dxa" w:w="16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1.55</w:t>
            </w:r>
          </w:p>
        </w:tc>
      </w:tr>
      <w:tr>
        <w:tc>
          <w:tcPr>
            <w:tcW w:type="dxa" w:w="185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safety</w:t>
            </w:r>
          </w:p>
        </w:tc>
        <w:tc>
          <w:tcPr>
            <w:tcW w:type="dxa" w:w="16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122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100</w:t>
            </w:r>
          </w:p>
        </w:tc>
        <w:tc>
          <w:tcPr>
            <w:tcW w:type="dxa" w:w="2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1.22</w:t>
            </w:r>
          </w:p>
        </w:tc>
        <w:tc>
          <w:tcPr>
            <w:tcW w:type="dxa" w:w="16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1.58</w:t>
            </w:r>
          </w:p>
        </w:tc>
      </w:tr>
      <w:tr>
        <w:tc>
          <w:tcPr>
            <w:tcW w:type="dxa" w:w="185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operational</w:t>
            </w:r>
          </w:p>
        </w:tc>
        <w:tc>
          <w:tcPr>
            <w:tcW w:type="dxa" w:w="16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106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93</w:t>
            </w:r>
          </w:p>
        </w:tc>
        <w:tc>
          <w:tcPr>
            <w:tcW w:type="dxa" w:w="2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1.14</w:t>
            </w:r>
          </w:p>
        </w:tc>
        <w:tc>
          <w:tcPr>
            <w:tcW w:type="dxa" w:w="16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1.38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Calibri" w:hAnsi="Calibri"/>
          <w:b w:val="0"/>
          <w:i w:val="0"/>
          <w:sz w:val="22"/>
        </w:rPr>
        <w:t>These are workflow simulations, not observed clinical outcomes. Their purpose is to make the sensitivity-workload trade-off visible to decision makers.</w:t>
      </w:r>
    </w:p>
    <w:p>
      <w:pPr>
        <w:pStyle w:val="Heading1"/>
      </w:pPr>
      <w:r>
        <w:rPr>
          <w:rFonts w:ascii="Calibri" w:hAnsi="Calibri"/>
          <w:b/>
          <w:i w:val="0"/>
          <w:color w:val="255D7D"/>
          <w:sz w:val="32"/>
        </w:rPr>
        <w:t>11. Ethics, Privacy, and Limitations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i w:val="0"/>
          <w:sz w:val="22"/>
        </w:rPr>
        <w:t>VECTRA-X does not replace clinician assessment or provide treatment recommendations.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i w:val="0"/>
          <w:sz w:val="22"/>
        </w:rPr>
        <w:t>Rare-label estimates are unstable, especially yellow fever and typhoid.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i w:val="0"/>
          <w:sz w:val="22"/>
        </w:rPr>
        <w:t>Public dashboard exports use generated case IDs and exclude UUIDs and truth labels.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i w:val="0"/>
          <w:sz w:val="22"/>
        </w:rPr>
        <w:t>Fairness estimates are warning diagnostics, not evidence of equity.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i w:val="0"/>
          <w:sz w:val="22"/>
        </w:rPr>
        <w:t>Conformal coverage is label-wise and approximate under small calibration samples.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b w:val="0"/>
          <w:i w:val="0"/>
          <w:sz w:val="22"/>
        </w:rPr>
        <w:t>Triage weights and resource policies require clinician and humanitarian-operations co-design.</w:t>
      </w:r>
    </w:p>
    <w:p>
      <w:pPr>
        <w:pStyle w:val="Heading1"/>
      </w:pPr>
      <w:r>
        <w:rPr>
          <w:rFonts w:ascii="Calibri" w:hAnsi="Calibri"/>
          <w:b/>
          <w:i w:val="0"/>
          <w:color w:val="255D7D"/>
          <w:sz w:val="32"/>
        </w:rPr>
        <w:t>12. Conclusion and Recommendations</w:t>
      </w:r>
    </w:p>
    <w:p>
      <w:pPr>
        <w:spacing w:after="160" w:line="300" w:lineRule="auto"/>
      </w:pPr>
      <w:r>
        <w:rPr>
          <w:rFonts w:ascii="Calibri" w:hAnsi="Calibri"/>
          <w:b w:val="0"/>
          <w:i w:val="0"/>
          <w:sz w:val="22"/>
        </w:rPr>
        <w:t>VECTRA-X demonstrates a defensible humanitarian workflow around an honest pre-lab model. Its strongest contribution is not an aggregate score; it is the combination of multi-label framing, leakage control, uncertainty-aware human review, and transparent resource prioritization.</w:t>
      </w:r>
    </w:p>
    <w:p>
      <w:pPr>
        <w:spacing w:after="160" w:line="300" w:lineRule="auto"/>
      </w:pPr>
      <w:r>
        <w:rPr>
          <w:rFonts w:ascii="Calibri" w:hAnsi="Calibri"/>
          <w:b w:val="0"/>
          <w:i w:val="0"/>
          <w:sz w:val="22"/>
        </w:rPr>
        <w:t>Before operational use, the next steps are prospective temporal and multi-center validation, larger rare-label cohorts, facility recalibration, clinician usability testing, and outcome-based resource optimization.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/>
          <w:b/>
          <w:i w:val="0"/>
          <w:color w:val="255D7D"/>
          <w:sz w:val="32"/>
        </w:rPr>
        <w:t>Appendix A. Confidence Intervals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Metric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Estimate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95% CI low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95% CI high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shd w:fill="EAF1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81F30"/>
                <w:sz w:val="18"/>
              </w:rPr>
              <w:t>Bootstrap draws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macro_f1</w:t>
            </w:r>
          </w:p>
        </w:tc>
        <w:tc>
          <w:tcPr>
            <w:tcW w:type="dxa" w:w="16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0.535</w:t>
            </w:r>
          </w:p>
        </w:tc>
        <w:tc>
          <w:tcPr>
            <w:tcW w:type="dxa" w:w="16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0.446</w:t>
            </w:r>
          </w:p>
        </w:tc>
        <w:tc>
          <w:tcPr>
            <w:tcW w:type="dxa" w:w="16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0.626</w:t>
            </w:r>
          </w:p>
        </w:tc>
        <w:tc>
          <w:tcPr>
            <w:tcW w:type="dxa" w:w="16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500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micro_f1</w:t>
            </w:r>
          </w:p>
        </w:tc>
        <w:tc>
          <w:tcPr>
            <w:tcW w:type="dxa" w:w="16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0.851</w:t>
            </w:r>
          </w:p>
        </w:tc>
        <w:tc>
          <w:tcPr>
            <w:tcW w:type="dxa" w:w="16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0.794</w:t>
            </w:r>
          </w:p>
        </w:tc>
        <w:tc>
          <w:tcPr>
            <w:tcW w:type="dxa" w:w="16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0.904</w:t>
            </w:r>
          </w:p>
        </w:tc>
        <w:tc>
          <w:tcPr>
            <w:tcW w:type="dxa" w:w="16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500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macro_recall</w:t>
            </w:r>
          </w:p>
        </w:tc>
        <w:tc>
          <w:tcPr>
            <w:tcW w:type="dxa" w:w="16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0.535</w:t>
            </w:r>
          </w:p>
        </w:tc>
        <w:tc>
          <w:tcPr>
            <w:tcW w:type="dxa" w:w="16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0.460</w:t>
            </w:r>
          </w:p>
        </w:tc>
        <w:tc>
          <w:tcPr>
            <w:tcW w:type="dxa" w:w="16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0.622</w:t>
            </w:r>
          </w:p>
        </w:tc>
        <w:tc>
          <w:tcPr>
            <w:tcW w:type="dxa" w:w="16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500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macro_pr_auc</w:t>
            </w:r>
          </w:p>
        </w:tc>
        <w:tc>
          <w:tcPr>
            <w:tcW w:type="dxa" w:w="16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0.582</w:t>
            </w:r>
          </w:p>
        </w:tc>
        <w:tc>
          <w:tcPr>
            <w:tcW w:type="dxa" w:w="16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0.518</w:t>
            </w:r>
          </w:p>
        </w:tc>
        <w:tc>
          <w:tcPr>
            <w:tcW w:type="dxa" w:w="16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0.728</w:t>
            </w:r>
          </w:p>
        </w:tc>
        <w:tc>
          <w:tcPr>
            <w:tcW w:type="dxa" w:w="16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500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55D7D"/>
          <w:sz w:val="32"/>
        </w:rPr>
        <w:t>Appendix B. Reproducibility</w:t>
      </w:r>
    </w:p>
    <w:p>
      <w:pPr>
        <w:spacing w:after="160" w:line="300" w:lineRule="auto"/>
      </w:pPr>
      <w:r>
        <w:rPr>
          <w:rFonts w:ascii="Calibri" w:hAnsi="Calibri"/>
          <w:b w:val="0"/>
          <w:i w:val="0"/>
          <w:sz w:val="22"/>
        </w:rPr>
        <w:t>The executed notebook used Python 3.12.6, random state 42, and CSV SHA-256 365344fe8ce553288f952c6d32771cdde2b7c633006538ddb1d6c82de325efb1. It was verified in a clean folder containing only the notebook and CSV.</w:t>
      </w:r>
    </w:p>
    <w:p>
      <w:pPr>
        <w:spacing w:after="160" w:line="300" w:lineRule="auto"/>
      </w:pPr>
      <w:r>
        <w:rPr>
          <w:rFonts w:ascii="Calibri" w:hAnsi="Calibri"/>
          <w:b w:val="0"/>
          <w:i w:val="0"/>
          <w:sz w:val="22"/>
        </w:rPr>
        <w:t>The notebook exports fresh model comparison, held-out metrics, per-label metrics, confidence intervals, calibration, conformal, fairness, center transfer, resource trade-offs, privacy-safe patient records, and an execution manifest.</w:t>
      </w:r>
    </w:p>
    <w:p>
      <w:pPr>
        <w:pStyle w:val="Heading1"/>
      </w:pPr>
      <w:r>
        <w:rPr>
          <w:rFonts w:ascii="Calibri" w:hAnsi="Calibri"/>
          <w:b/>
          <w:i w:val="0"/>
          <w:color w:val="255D7D"/>
          <w:sz w:val="32"/>
        </w:rPr>
        <w:t>References</w:t>
      </w:r>
    </w:p>
    <w:p>
      <w:pPr>
        <w:spacing w:after="80"/>
        <w:ind w:left="360" w:hanging="360"/>
      </w:pPr>
      <w:r>
        <w:rPr>
          <w:rFonts w:ascii="Calibri" w:hAnsi="Calibri"/>
          <w:b w:val="0"/>
          <w:i w:val="0"/>
          <w:sz w:val="19"/>
        </w:rPr>
        <w:t>1. World Health Organization. Global vector control response 2017-2030. 2017.</w:t>
      </w:r>
    </w:p>
    <w:p>
      <w:pPr>
        <w:spacing w:after="80"/>
        <w:ind w:left="360" w:hanging="360"/>
      </w:pPr>
      <w:r>
        <w:rPr>
          <w:rFonts w:ascii="Calibri" w:hAnsi="Calibri"/>
          <w:b w:val="0"/>
          <w:i w:val="0"/>
          <w:sz w:val="19"/>
        </w:rPr>
        <w:t>2. World Health Organization. Ethics and governance of artificial intelligence for health. 2021.</w:t>
      </w:r>
    </w:p>
    <w:p>
      <w:pPr>
        <w:spacing w:after="80"/>
        <w:ind w:left="360" w:hanging="360"/>
      </w:pPr>
      <w:r>
        <w:rPr>
          <w:rFonts w:ascii="Calibri" w:hAnsi="Calibri"/>
          <w:b w:val="0"/>
          <w:i w:val="0"/>
          <w:sz w:val="19"/>
        </w:rPr>
        <w:t>3. World Health Organization. Dengue: guidelines for diagnosis, treatment, prevention and control. 2009.</w:t>
      </w:r>
    </w:p>
    <w:p>
      <w:pPr>
        <w:spacing w:after="80"/>
        <w:ind w:left="360" w:hanging="360"/>
      </w:pPr>
      <w:r>
        <w:rPr>
          <w:rFonts w:ascii="Calibri" w:hAnsi="Calibri"/>
          <w:b w:val="0"/>
          <w:i w:val="0"/>
          <w:sz w:val="19"/>
        </w:rPr>
        <w:t>4. World Health Organization. WHO guidelines for malaria. Continuously updated.</w:t>
      </w:r>
    </w:p>
    <w:p>
      <w:pPr>
        <w:spacing w:after="80"/>
        <w:ind w:left="360" w:hanging="360"/>
      </w:pPr>
      <w:r>
        <w:rPr>
          <w:rFonts w:ascii="Calibri" w:hAnsi="Calibri"/>
          <w:b w:val="0"/>
          <w:i w:val="0"/>
          <w:sz w:val="19"/>
        </w:rPr>
        <w:t>5. Sechidis K, Tsoumakas G, Vlahavas I. On the stratification of multi-label data. ECML PKDD, 2011.</w:t>
      </w:r>
    </w:p>
    <w:p>
      <w:pPr>
        <w:spacing w:after="80"/>
        <w:ind w:left="360" w:hanging="360"/>
      </w:pPr>
      <w:r>
        <w:rPr>
          <w:rFonts w:ascii="Calibri" w:hAnsi="Calibri"/>
          <w:b w:val="0"/>
          <w:i w:val="0"/>
          <w:sz w:val="19"/>
        </w:rPr>
        <w:t>6. Read J, Pfahringer B, Holmes G, Frank E. Classifier chains for multi-label classification. Machine Learning, 2011.</w:t>
      </w:r>
    </w:p>
    <w:p>
      <w:pPr>
        <w:spacing w:after="80"/>
        <w:ind w:left="360" w:hanging="360"/>
      </w:pPr>
      <w:r>
        <w:rPr>
          <w:rFonts w:ascii="Calibri" w:hAnsi="Calibri"/>
          <w:b w:val="0"/>
          <w:i w:val="0"/>
          <w:sz w:val="19"/>
        </w:rPr>
        <w:t>7. Niculescu-Mizil A, Caruana R. Predicting good probabilities with supervised learning. ICML, 2005.</w:t>
      </w:r>
    </w:p>
    <w:p>
      <w:pPr>
        <w:spacing w:after="80"/>
        <w:ind w:left="360" w:hanging="360"/>
      </w:pPr>
      <w:r>
        <w:rPr>
          <w:rFonts w:ascii="Calibri" w:hAnsi="Calibri"/>
          <w:b w:val="0"/>
          <w:i w:val="0"/>
          <w:sz w:val="19"/>
        </w:rPr>
        <w:t>8. Vovk V, Gammerman A, Shafer G. Algorithmic Learning in a Random World. Springer, 2005.</w:t>
      </w:r>
    </w:p>
    <w:p>
      <w:pPr>
        <w:spacing w:after="80"/>
        <w:ind w:left="360" w:hanging="360"/>
      </w:pPr>
      <w:r>
        <w:rPr>
          <w:rFonts w:ascii="Calibri" w:hAnsi="Calibri"/>
          <w:b w:val="0"/>
          <w:i w:val="0"/>
          <w:sz w:val="19"/>
        </w:rPr>
        <w:t>9. Angelopoulos AN, Bates S. Conformal prediction: a gentle introduction. Foundations and Trends in Machine Learning, 2023.</w:t>
      </w:r>
    </w:p>
    <w:p>
      <w:pPr>
        <w:spacing w:after="80"/>
        <w:ind w:left="360" w:hanging="360"/>
      </w:pPr>
      <w:r>
        <w:rPr>
          <w:rFonts w:ascii="Calibri" w:hAnsi="Calibri"/>
          <w:b w:val="0"/>
          <w:i w:val="0"/>
          <w:sz w:val="19"/>
        </w:rPr>
        <w:t>10. Vickers AJ, Elkin EB. Decision curve analysis. Medical Decision Making, 2006.</w:t>
      </w:r>
    </w:p>
    <w:p>
      <w:pPr>
        <w:spacing w:after="80"/>
        <w:ind w:left="360" w:hanging="360"/>
      </w:pPr>
      <w:r>
        <w:rPr>
          <w:rFonts w:ascii="Calibri" w:hAnsi="Calibri"/>
          <w:b w:val="0"/>
          <w:i w:val="0"/>
          <w:sz w:val="19"/>
        </w:rPr>
        <w:t>11. Collins GS et al. TRIPOD+AI statement. BMJ, 2024.</w:t>
      </w:r>
    </w:p>
    <w:p>
      <w:pPr>
        <w:spacing w:after="80"/>
        <w:ind w:left="360" w:hanging="360"/>
      </w:pPr>
      <w:r>
        <w:rPr>
          <w:rFonts w:ascii="Calibri" w:hAnsi="Calibri"/>
          <w:b w:val="0"/>
          <w:i w:val="0"/>
          <w:sz w:val="19"/>
        </w:rPr>
        <w:t>12. Wolff RF et al. PROBAST. Annals of Internal Medicine, 2019.</w:t>
      </w:r>
    </w:p>
    <w:p>
      <w:pPr>
        <w:spacing w:after="80"/>
        <w:ind w:left="360" w:hanging="360"/>
      </w:pPr>
      <w:r>
        <w:rPr>
          <w:rFonts w:ascii="Calibri" w:hAnsi="Calibri"/>
          <w:b w:val="0"/>
          <w:i w:val="0"/>
          <w:sz w:val="19"/>
        </w:rPr>
        <w:t>13. Lundberg SM, Lee SI. A unified approach to interpreting model predictions. NeurIPS, 2017.</w:t>
      </w:r>
    </w:p>
    <w:p>
      <w:pPr>
        <w:spacing w:after="80"/>
        <w:ind w:left="360" w:hanging="360"/>
      </w:pPr>
      <w:r>
        <w:rPr>
          <w:rFonts w:ascii="Calibri" w:hAnsi="Calibri"/>
          <w:b w:val="0"/>
          <w:i w:val="0"/>
          <w:sz w:val="19"/>
        </w:rPr>
        <w:t>14. Chen T, Guestrin C. XGBoost. KDD, 2016.</w:t>
      </w:r>
    </w:p>
    <w:p>
      <w:pPr>
        <w:spacing w:after="80"/>
        <w:ind w:left="360" w:hanging="360"/>
      </w:pPr>
      <w:r>
        <w:rPr>
          <w:rFonts w:ascii="Calibri" w:hAnsi="Calibri"/>
          <w:b w:val="0"/>
          <w:i w:val="0"/>
          <w:sz w:val="19"/>
        </w:rPr>
        <w:t>15. Ke G et al. LightGBM. NeurIPS, 2017.</w:t>
      </w:r>
    </w:p>
    <w:p>
      <w:pPr>
        <w:spacing w:after="80"/>
        <w:ind w:left="360" w:hanging="360"/>
      </w:pPr>
      <w:r>
        <w:rPr>
          <w:rFonts w:ascii="Calibri" w:hAnsi="Calibri"/>
          <w:b w:val="0"/>
          <w:i w:val="0"/>
          <w:sz w:val="19"/>
        </w:rPr>
        <w:t>16. Obermeyer Z et al. Dissecting racial bias in a population health algorithm. Science, 2019.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96771"/>
        <w:sz w:val="17"/>
      </w:rPr>
      <w:t>Decision-support prototype | Requires prospective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i w:val="0"/>
        <w:color w:val="596771"/>
        <w:sz w:val="18"/>
      </w:rPr>
      <w:t>VECTRA-X | FIT Competition 2026, Track IV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55D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55D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81F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VECTRA-X Technical Report</dc:title>
  <dc:subject>FIT Competition 2026 Track IV</dc:subject>
  <dc:creator>VECTRA-X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