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as pessoas ouvem?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audição ocorre por meio de três partes do ouvido: externo, médio e interno. O ouvido externo capta os sons através do pavilhão auricular e do canal auditivo, onde a cera protege contra impurezas. No ouvido médio, a membrana timpânica e três pequenos ossos (martelo, bigorna e estribo) transmitem as vibrações sonoras para o ouvido interno. A cóclea, localizada no ouvido interno, converte esses sons em impulsos elétricos que são enviados ao cérebro para interpretação. Problemas em qualquer uma dessas partes podem causar diferentes graus de perda auditiva.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causas da surdez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muitos casos, a causa da perda auditiva não é identificada, especialmente quando há complicações durante a gestação ou parto, ou doenças maternas próximas ao nascimento. Cerca de 50% dos casos de surdez têm origem desconhecida, enquanto as causas mais comuns identificadas incluem doenças hereditárias, rubéola materna e meningite.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Como detectar a perda auditiva em uma criança?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diagnóstico e a história de cada indivíduo, como o momento da perda auditiva e o grau de comprometimento, ajudam na compreensão da deficiência. O tipo de atendimento reabilitacional recebido, como métodos orais ou com sinais/gestos, além do apoio familiar, é fundamental para a integração da pessoa surda na sociedade.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perda auditiva severa ou profunda é mais fácil de detectar do que a leve ou moderada, por isso é essencial que familiares e pediatras fiquem atentos aos sinais desde as primeiras semanas de vida. Se o bebê for muito quieto, não reagir a sons altos ou não se acalmar com a voz da mãe, pode ser um indicativo de problema auditivo, e o pediatra deve ser consultado para avaliar a necessidade de encaminhamento a um especialista.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a perda auditiva é identificada precocemente, o profissional de saúde orienta os pais sobre como lidar com a situação. Esse suporte inicial é fundamental para que a família possa acolher a criança da melhor forma e aprender a enfrentar os desafios da surdez com mais preparo.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diagnóstico da perda auditiva e a definição do seu grau, o médico deve encaminhar a criança para um tratamento fonoaudiológico integrado. Esse tratamento será conduzido por um fonoaudiólogo, com o apoio de uma equipe especializada conforme a necessidade do caso. Em algumas situações, o profissional pode recomendar o uso de um aparelho auditivo para melhorar a capacidade auditiva da criança e auxiliar no seu desenvolvimento comunicativo.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Línguas de sinais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língua de sinais, também chamada de língua gestual, é um sistema de comunicação baseado em gestos e sinais, utilizado principalmente por pessoas surdas. Ao contrário do que muitos pensam, ela não é apenas uma coleção de gestos ou mímicas, mas uma língua natural com gramática e léxico próprios. Assim como as línguas faladas, cada comunidade de surdos desenvolveu sua própria língua de sinais ao longo do tempo, resultando em diferentes variantes ao redor do mundo, como: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80"/>
        <w:tblGridChange w:id="0">
          <w:tblGrid>
            <w:gridCol w:w="51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09600" cy="609600"/>
                  <wp:effectExtent b="0" l="0" r="0" t="0"/>
                  <wp:docPr descr="Libras" id="8" name="image3.png"/>
                  <a:graphic>
                    <a:graphicData uri="http://schemas.openxmlformats.org/drawingml/2006/picture">
                      <pic:pic>
                        <pic:nvPicPr>
                          <pic:cNvPr descr="Libras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Libras = Língua Brasileira de Sinais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LGP" id="2" name="image6.png"/>
                  <a:graphic>
                    <a:graphicData uri="http://schemas.openxmlformats.org/drawingml/2006/picture">
                      <pic:pic>
                        <pic:nvPicPr>
                          <pic:cNvPr descr="LGP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LGP = Língua Gestual Portuguesa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SLN" id="4" name="image7.png"/>
                  <a:graphic>
                    <a:graphicData uri="http://schemas.openxmlformats.org/drawingml/2006/picture">
                      <pic:pic>
                        <pic:nvPicPr>
                          <pic:cNvPr descr="SLN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SLN = Sign Language of Netherlands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ASL" id="6" name="image1.png"/>
                  <a:graphic>
                    <a:graphicData uri="http://schemas.openxmlformats.org/drawingml/2006/picture">
                      <pic:pic>
                        <pic:nvPicPr>
                          <pic:cNvPr descr="ASL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ASL = American Sign Language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LSA" id="1" name="image2.png"/>
                  <a:graphic>
                    <a:graphicData uri="http://schemas.openxmlformats.org/drawingml/2006/picture">
                      <pic:pic>
                        <pic:nvPicPr>
                          <pic:cNvPr descr="LS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LSA = Lengua de Señas Argentina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BSL" id="9" name="image8.png"/>
                  <a:graphic>
                    <a:graphicData uri="http://schemas.openxmlformats.org/drawingml/2006/picture">
                      <pic:pic>
                        <pic:nvPicPr>
                          <pic:cNvPr descr="BSL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BSL = British Sign Language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LSCH" id="5" name="image4.png"/>
                  <a:graphic>
                    <a:graphicData uri="http://schemas.openxmlformats.org/drawingml/2006/picture">
                      <pic:pic>
                        <pic:nvPicPr>
                          <pic:cNvPr descr="LSCH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LSCH = Lengua de Señas Chilena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609600" cy="609600"/>
                  <wp:effectExtent b="0" l="0" r="0" t="0"/>
                  <wp:docPr descr="LSF" id="7" name="image9.png"/>
                  <a:graphic>
                    <a:graphicData uri="http://schemas.openxmlformats.org/drawingml/2006/picture">
                      <pic:pic>
                        <pic:nvPicPr>
                          <pic:cNvPr descr="LSF"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LSF = Langue des Signes Française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sistema linguístico é reconhecido e estudado por linguistas, pois permite que os surdos se comuniquem de forma completa e eficaz, expressando qualquer assunto de seu interesse ou conhecimento.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  <w:t xml:space="preserve">LIBRAS -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Língua Brasileira de Sinais.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Libras é a sigla para Língua Brasileira de Sinais, uma língua de modalidade gestual-visual que permite a comunicação por meio de gestos, expressões faciais e corporais. Reconhecida como meio legal de comunicação e expressão desde 24 de abril de 2002, pela Lei nº 10.436, a Libras desempenha um papel crucial na interação com pessoas surdas, sendo uma ferramenta essencial para a inclusão social.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8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REDONDO, Maria; CARVALHO, Josefina. </w:t>
      </w:r>
      <w:r w:rsidDel="00000000" w:rsidR="00000000" w:rsidRPr="00000000">
        <w:rPr>
          <w:b w:val="1"/>
          <w:rtl w:val="0"/>
        </w:rPr>
        <w:t xml:space="preserve">Deficiência auditiva. </w:t>
      </w:r>
      <w:r w:rsidDel="00000000" w:rsidR="00000000" w:rsidRPr="00000000">
        <w:rPr>
          <w:rtl w:val="0"/>
        </w:rPr>
        <w:t xml:space="preserve">Disponível em: </w:t>
      </w:r>
      <w:r w:rsidDel="00000000" w:rsidR="00000000" w:rsidRPr="00000000">
        <w:rPr>
          <w:rtl w:val="0"/>
        </w:rPr>
        <w:t xml:space="preserve">http://portal.mec.gov.br/seed/arquivos/pdf/deficienciaauditiva.pdf</w:t>
      </w:r>
      <w:r w:rsidDel="00000000" w:rsidR="00000000" w:rsidRPr="00000000">
        <w:rPr>
          <w:rtl w:val="0"/>
        </w:rPr>
        <w:t xml:space="preserve">. Acesso em: 07/03/2025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