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Liberation Sans" w:hAnsi="Liberation Sans" w:eastAsia="Liberation Sans"/>
          <w:b w:val="0"/>
          <w:i w:val="0"/>
          <w:color w:val="A15C38"/>
          <w:sz w:val="20"/>
        </w:rPr>
        <w:t>622.760 Informationssicherheitsmanagement  ·  Gruppe 1</w:t>
      </w:r>
    </w:p>
    <w:p>
      <w:pPr>
        <w:spacing w:after="40"/>
      </w:pPr>
      <w:r>
        <w:rPr>
          <w:rFonts w:ascii="Liberation Sans" w:hAnsi="Liberation Sans" w:eastAsia="Liberation Sans"/>
          <w:b/>
          <w:i w:val="0"/>
          <w:color w:val="1C1917"/>
          <w:sz w:val="40"/>
        </w:rPr>
        <w:t>Erklärung zur Gruppenarbeit 1</w:t>
      </w:r>
    </w:p>
    <w:p>
      <w:pPr>
        <w:spacing w:after="200"/>
      </w:pPr>
      <w:r>
        <w:rPr>
          <w:rFonts w:ascii="Liberation Sans" w:hAnsi="Liberation Sans" w:eastAsia="Liberation Sans"/>
          <w:b w:val="0"/>
          <w:i w:val="0"/>
          <w:color w:val="5E6A64"/>
          <w:sz w:val="22"/>
        </w:rPr>
        <w:t>Pelvina Reha GmbH  ·  Bleier, Bugelnig, Lugger, Mele, Schmickl</w:t>
      </w:r>
    </w:p>
    <w:p>
      <w:pPr>
        <w:spacing w:before="280" w:after="80"/>
      </w:pPr>
      <w:r>
        <w:rPr>
          <w:rFonts w:ascii="Liberation Sans" w:hAnsi="Liberation Sans" w:eastAsia="Liberation Sans"/>
          <w:b/>
          <w:i w:val="0"/>
          <w:color w:val="1B3A32"/>
          <w:sz w:val="28"/>
        </w:rPr>
        <w:t>Was abzugeben ist</w:t>
      </w:r>
    </w:p>
    <w:p>
      <w:r>
        <w:rPr>
          <w:rFonts w:ascii="Liberation Serif" w:hAnsi="Liberation Serif" w:eastAsia="Liberation Serif"/>
          <w:b w:val="0"/>
          <w:i w:val="0"/>
          <w:sz w:val="22"/>
        </w:rPr>
        <w:t>Die Angabe will zwei Teile, jeweils höchstens zwei Folien. Zuerst das Unternehmen und das Geschäftsfeld, dann eine Informationssicherheitsstrategie in Grundzügen. Rahmen: KMU, Österreich, GmbH, ein Kernbereich. Gruppe 1 ist auf Medizin festgelegt, Privatklinik oder Reha. Abgabe in Moodle bis Dienstag, 3. November 2026, 23:59. Die Datei liegt bereit, hochgeladen ist noch nichts.</w:t>
      </w:r>
    </w:p>
    <w:p>
      <w:pPr>
        <w:spacing w:before="280" w:after="80"/>
      </w:pPr>
      <w:r>
        <w:rPr>
          <w:rFonts w:ascii="Liberation Sans" w:hAnsi="Liberation Sans" w:eastAsia="Liberation Sans"/>
          <w:b/>
          <w:i w:val="0"/>
          <w:color w:val="1B3A32"/>
          <w:sz w:val="28"/>
        </w:rPr>
        <w:t>Warum diese Klinik</w:t>
      </w:r>
    </w:p>
    <w:p>
      <w:r>
        <w:rPr>
          <w:rFonts w:ascii="Liberation Serif" w:hAnsi="Liberation Serif" w:eastAsia="Liberation Serif"/>
          <w:b w:val="0"/>
          <w:i w:val="0"/>
          <w:sz w:val="22"/>
        </w:rPr>
        <w:t>Pelvina Reha GmbH sitzt in Klagenfurt, ein Standort, 46 Leute, 22 Betten plus Ambulanz. Der Kern ist die Reha nach Prostata- und Beckenoperationen und die Behandlung von Funktionsstörungen. Die Produkte, die wir dafür genommen haben, sind keine Ladenware. Es sind drei Medizinprodukte mit CE-Kennzeichnung: Vakuumerektionssysteme, Beckenbodenstimulatoren und extrakorporale Stoßwelle. Die kommen in der Therapie zum Einsatz und werden für die Heimphase verliehen, nach Schulung. Kein zweites Geschäft mit Konsumartikeln, sonst hätten wir den einen Kernbereich aufgegeben, den die Angabe verlangt.</w:t>
      </w:r>
    </w:p>
    <w:p>
      <w:r>
        <w:rPr>
          <w:rFonts w:ascii="Liberation Serif" w:hAnsi="Liberation Serif" w:eastAsia="Liberation Serif"/>
          <w:b w:val="0"/>
          <w:i w:val="0"/>
          <w:sz w:val="22"/>
        </w:rPr>
        <w:t>Das Unternehmen ist fiktiv. Namen von Ärztinnen oder eine konkrete Adresse haben wir weggelassen, damit niemand eine echte Ordination in Klagenfurt darin wiedererkennt.</w:t>
      </w:r>
    </w:p>
    <w:p>
      <w:pPr>
        <w:spacing w:before="280" w:after="80"/>
      </w:pPr>
      <w:r>
        <w:rPr>
          <w:rFonts w:ascii="Liberation Sans" w:hAnsi="Liberation Sans" w:eastAsia="Liberation Sans"/>
          <w:b/>
          <w:i w:val="0"/>
          <w:color w:val="1B3A32"/>
          <w:sz w:val="28"/>
        </w:rPr>
        <w:t>Warum das zur Sicherheitsstrategie passt</w:t>
      </w:r>
    </w:p>
    <w:p>
      <w:r>
        <w:rPr>
          <w:rFonts w:ascii="Liberation Serif" w:hAnsi="Liberation Serif" w:eastAsia="Liberation Serif"/>
          <w:b w:val="0"/>
          <w:i w:val="0"/>
          <w:sz w:val="22"/>
        </w:rPr>
        <w:t>Die Akte enthält eine Sexualanamnese. Das ist eine Gesundheitskategorie nach Art. 9 DSGVO. Bei dem Thema reicht ein Leak, damit Zuweiser aufhören, Patienten zu schicken. Dazu kommen die Geräteparameter. Eine falsche Einstellung ist kein IT-Fehler, sondern ein Behandlungsfehler. Deshalb hängt die Strategie an Vertraulichkeit und Integrität, und an der Verfügbarkeit des Klinikinformationssystems an Therapietagen. Website und Patienten-WLAN dürfen ausfallen. Die Akte nicht.</w:t>
      </w:r>
    </w:p>
    <w:p>
      <w:r>
        <w:rPr>
          <w:rFonts w:ascii="Liberation Serif" w:hAnsi="Liberation Serif" w:eastAsia="Liberation Serif"/>
          <w:b w:val="0"/>
          <w:i w:val="0"/>
          <w:sz w:val="22"/>
        </w:rPr>
        <w:t>In Teil 2 der Vorlesung ist die Sicherheitsstrategie das Muster von Entscheidungen, das die Sicherheitsziele festlegt und daraus Richtlinien und Pläne macht. Der Zielzustand kommt aus Geschäfts- und Sicherheitsattributen. Genau das steht auf Folie 3: Diskretion und korrekte Geräteparameter sind das Geschäft, nicht ein Zusatzziel der IT.</w:t>
      </w:r>
    </w:p>
    <w:p>
      <w:pPr>
        <w:spacing w:before="280" w:after="80"/>
      </w:pPr>
      <w:r>
        <w:rPr>
          <w:rFonts w:ascii="Liberation Sans" w:hAnsi="Liberation Sans" w:eastAsia="Liberation Sans"/>
          <w:b/>
          <w:i w:val="0"/>
          <w:color w:val="1B3A32"/>
          <w:sz w:val="28"/>
        </w:rPr>
        <w:t>Folie 1, Unternehmen</w:t>
      </w:r>
    </w:p>
    <w:p>
      <w:r>
        <w:rPr>
          <w:rFonts w:ascii="Liberation Serif" w:hAnsi="Liberation Serif" w:eastAsia="Liberation Serif"/>
          <w:b w:val="0"/>
          <w:i w:val="0"/>
          <w:sz w:val="22"/>
        </w:rPr>
        <w:t>Rechtsform, Größe, Kernbereich, Zuweisung. Dazu Vision und Mission, analog zum Beispiel in der Angabe, nur ohne Poster-Layout. Der Satz zum Einstieg in der Präsentation: fiktive Rehaklinik in Klagenfurt, GmbH, ein Standort, Therapie mit drei Medizinprodukten. Vision und Mission vorlesen, nicht die Gerätenamen erklären, außer jemand fragt.</w:t>
      </w:r>
    </w:p>
    <w:p>
      <w:pPr>
        <w:spacing w:before="280" w:after="80"/>
      </w:pPr>
      <w:r>
        <w:rPr>
          <w:rFonts w:ascii="Liberation Sans" w:hAnsi="Liberation Sans" w:eastAsia="Liberation Sans"/>
          <w:b/>
          <w:i w:val="0"/>
          <w:color w:val="1B3A32"/>
          <w:sz w:val="28"/>
        </w:rPr>
        <w:t>Folie 2, Geschäftsstrategie</w:t>
      </w:r>
    </w:p>
    <w:p>
      <w:r>
        <w:rPr>
          <w:rFonts w:ascii="Liberation Serif" w:hAnsi="Liberation Serif" w:eastAsia="Liberation Serif"/>
          <w:b w:val="0"/>
          <w:i w:val="0"/>
          <w:sz w:val="22"/>
        </w:rPr>
        <w:t>Drei Einnahmen: Tagessätze der Kassen-Reha (ÖGK, SVS, BVAEB), Wahlarzt-Ambulanz, Geräteverleih nach Schulung. Der Hauptumsatz sind die Betten. Die rechte Spalte ist kein Werteplakat. Diskretion, nur CE-Produkte, ein Standort, Geräteeinstellung als Teil der Behandlung. Der Kasten unten ist die Überleitung: ohne Akte und ohne laufendes KIS stehen 22 Betten.</w:t>
      </w:r>
    </w:p>
    <w:p>
      <w:pPr>
        <w:spacing w:before="280" w:after="80"/>
      </w:pPr>
      <w:r>
        <w:rPr>
          <w:rFonts w:ascii="Liberation Sans" w:hAnsi="Liberation Sans" w:eastAsia="Liberation Sans"/>
          <w:b/>
          <w:i w:val="0"/>
          <w:color w:val="1B3A32"/>
          <w:sz w:val="28"/>
        </w:rPr>
        <w:t>Folie 3, Zielzustand</w:t>
      </w:r>
    </w:p>
    <w:p>
      <w:r>
        <w:rPr>
          <w:rFonts w:ascii="Liberation Serif" w:hAnsi="Liberation Serif" w:eastAsia="Liberation Serif"/>
          <w:b w:val="0"/>
          <w:i w:val="0"/>
          <w:sz w:val="22"/>
        </w:rPr>
        <w:t>Drei strategische Ziele, an den Schutzzielen aus Teil 0 festgemacht, aber am Geschäft und nicht an der Definition. Vertraulichkeit der Sexualanamnese, Integrität von Therapieplan und Geräteparameter, Verfügbarkeit von KIS und Therapiegeräten in den Therapiezeiten. Risikobereitschaft niedrig bei Akte, Anamnese, Parametern und Abrechnung, mittel bei Website, Gäste-WLAN und Druckern.</w:t>
      </w:r>
    </w:p>
    <w:p>
      <w:r>
        <w:rPr>
          <w:rFonts w:ascii="Liberation Serif" w:hAnsi="Liberation Serif" w:eastAsia="Liberation Serif"/>
          <w:b w:val="0"/>
          <w:i w:val="0"/>
          <w:sz w:val="22"/>
        </w:rPr>
        <w:t>Governance bewusst klein gehalten. 46 Leute haben keinen CISO in Vollzeit. Die Geschäftsführung trägt die Strategie, die QM-Leitung ist IS-Beauftragte nebenher, Asset Owner sind Medizin, Pflege und Verwaltung. Das entspricht der Vorlesung: die Strategie kommt von der Geschäftsleitung, nicht aus der Technik.</w:t>
      </w:r>
    </w:p>
    <w:p>
      <w:pPr>
        <w:spacing w:before="280" w:after="80"/>
      </w:pPr>
      <w:r>
        <w:rPr>
          <w:rFonts w:ascii="Liberation Sans" w:hAnsi="Liberation Sans" w:eastAsia="Liberation Sans"/>
          <w:b/>
          <w:i w:val="0"/>
          <w:color w:val="1B3A32"/>
          <w:sz w:val="28"/>
        </w:rPr>
        <w:t>Folie 4, Aktionsplan und Messung</w:t>
      </w:r>
    </w:p>
    <w:p>
      <w:r>
        <w:rPr>
          <w:rFonts w:ascii="Liberation Serif" w:hAnsi="Liberation Serif" w:eastAsia="Liberation Serif"/>
          <w:b w:val="0"/>
          <w:i w:val="0"/>
          <w:sz w:val="22"/>
        </w:rPr>
        <w:t>Die Vorlesung will vor der Strategie eigentlich Ziele, Informationsbestände, Bewertung, Klassifikation und Asset Owner. Klassifikation und Bewertung sind spätere Gruppenarbeiten. Deshalb stehen die Owner schon da, die Klassifikation nicht. Der Plan beginnt mit einer Gap-Analyse gegen den Zielzustand, nicht mit einem Maßnahmenkatalog.</w:t>
      </w:r>
    </w:p>
    <w:p>
      <w:r>
        <w:rPr>
          <w:rFonts w:ascii="Liberation Serif" w:hAnsi="Liberation Serif" w:eastAsia="Liberation Serif"/>
          <w:b w:val="0"/>
          <w:i w:val="0"/>
          <w:sz w:val="22"/>
        </w:rPr>
        <w:t>Danach eine Policy (Zugriff nur bei Behandlungserfordernis, keine Befunde in privaten Messengern), drei Netze (Klinik, Patienten-WLAN, Geräte), Schulung vor dem ersten Zugriff, Verträge mit KIS-Betreiber und Geräteherstellern inklusive Exit. Den Exit nur ansprechen, wenn jemand nach Outsourcing fragt. Die Vorlesung verlangt eine Ausstiegsmöglichkeit, wenn eine geschäftskritische Funktion draußen liegt. Das KIS liegt draußen, die Behandlung nicht.</w:t>
      </w:r>
    </w:p>
    <w:p>
      <w:r>
        <w:rPr>
          <w:rFonts w:ascii="Liberation Serif" w:hAnsi="Liberation Serif" w:eastAsia="Liberation Serif"/>
          <w:b w:val="0"/>
          <w:i w:val="0"/>
          <w:sz w:val="22"/>
        </w:rPr>
        <w:t>KGI ist das Jahresergebnis für die Geschäftsführung: kein meldepflichtiger Vorfall mit Sexualgesundheitsdaten, kein ungeplanter KIS-Ausfall über vier Stunden an einem Therapietag. CSF sind die Bedingungen dafür: benannte Owner, geschultes Personal, getrennte Netze. KPI ist der laufende Puls: Anteil der Zugriffe mit dokumentierter Rolle, Stunden bis ein ausgeschiedenes Konto gesperrt ist, Schulungen gegen Soll. In der Präsentation die KPIs nicht vorlesen. Sagen, woran die Geschäftsführung in einem Jahr sieht, ob die Strategie gehalten hat.</w:t>
      </w:r>
    </w:p>
    <w:p>
      <w:pPr>
        <w:spacing w:before="280" w:after="80"/>
      </w:pPr>
      <w:r>
        <w:rPr>
          <w:rFonts w:ascii="Liberation Sans" w:hAnsi="Liberation Sans" w:eastAsia="Liberation Sans"/>
          <w:b/>
          <w:i w:val="0"/>
          <w:color w:val="1B3A32"/>
          <w:sz w:val="28"/>
        </w:rPr>
        <w:t>Was bewusst nicht drin ist</w:t>
      </w:r>
    </w:p>
    <w:p>
      <w:r>
        <w:rPr>
          <w:rFonts w:ascii="Liberation Serif" w:hAnsi="Liberation Serif" w:eastAsia="Liberation Serif"/>
          <w:b w:val="0"/>
          <w:i w:val="0"/>
          <w:sz w:val="22"/>
        </w:rPr>
        <w:t>Risk Assessment, Klassifikation, BIA und der Incident-Prozess sind die nächsten Gruppenarbeiten. Die hier reinzuschreiben hätte die Zwei-Folien-Grenze gesprengt und die Aufgaben vermischt. Policies, Standards und Verfahren sind in der Vorlesung die Ebenen unter der Strategie. Auf der Folie steht nur die Policy in einem Satz und der Netz-Standard in einem Satz. Die Verfahrensanweisung zum Kontosperren wäre schon operativ und gehört nicht in diese Abgabe.</w:t>
      </w:r>
    </w:p>
    <w:p>
      <w:pPr>
        <w:spacing w:before="280" w:after="80"/>
      </w:pPr>
      <w:r>
        <w:rPr>
          <w:rFonts w:ascii="Liberation Sans" w:hAnsi="Liberation Sans" w:eastAsia="Liberation Sans"/>
          <w:b/>
          <w:i w:val="0"/>
          <w:color w:val="1B3A32"/>
          <w:sz w:val="28"/>
        </w:rPr>
        <w:t>Quellen aus der LV</w:t>
      </w:r>
    </w:p>
    <w:p>
      <w:r>
        <w:rPr>
          <w:rFonts w:ascii="Liberation Serif" w:hAnsi="Liberation Serif" w:eastAsia="Liberation Serif"/>
          <w:b w:val="0"/>
          <w:i w:val="0"/>
          <w:sz w:val="22"/>
        </w:rPr>
        <w:t>Gruppenarbeiten.pdf, Folie Gruppenarbeit 1 und das Beispiel Geschäftsstrategie. Teil 0, Schutzziele Vertraulichkeit, Integrität, Verfügbarkeit. Teil 2, Abschnitte Strategie, Vision, strategische Ziele, KGI, CSF, KPI, Governance-Ergebnisse, Aktionsplan, Third-party und Exit. Art. 9 DSGVO nur als Einordnung der Sexualanamnese, nicht als eigene Rechtsausarbeitung.</w:t>
      </w:r>
    </w:p>
    <w:p>
      <w:pPr>
        <w:spacing w:before="280" w:after="80"/>
      </w:pPr>
      <w:r>
        <w:rPr>
          <w:rFonts w:ascii="Liberation Sans" w:hAnsi="Liberation Sans" w:eastAsia="Liberation Sans"/>
          <w:b/>
          <w:i w:val="0"/>
          <w:color w:val="1B3A32"/>
          <w:sz w:val="28"/>
        </w:rPr>
        <w:t>Annahmen</w:t>
      </w:r>
    </w:p>
    <w:p>
      <w:r>
        <w:rPr>
          <w:rFonts w:ascii="Liberation Serif" w:hAnsi="Liberation Serif" w:eastAsia="Liberation Serif"/>
          <w:b w:val="0"/>
          <w:i w:val="0"/>
          <w:sz w:val="22"/>
        </w:rPr>
        <w:t>Kassen-Reha über ÖGK, SVS und BVAEB ist für eine Privatklinik mit Reha-Vertrag in Österreich üblich. Ob Pelvina so einen Vertrag hätte, ist erfunden und für die Strategie egal. Mitarbeiterzahl, Betten und die vier Stunden als Ausfallgrenze sind gesetzte Größen, keine erhobenen Werte. Die Gruppe kann die Zahlen in der Präsentation als Annahmen benennen, falls Harald nachfragt.</w:t>
      </w:r>
    </w:p>
    <w:p>
      <w:pPr>
        <w:spacing w:before="320"/>
      </w:pPr>
      <w:r>
        <w:rPr>
          <w:rFonts w:ascii="Liberation Sans" w:hAnsi="Liberation Sans" w:eastAsia="Liberation Sans"/>
          <w:b w:val="0"/>
          <w:i/>
          <w:color w:val="5E6A64"/>
          <w:sz w:val="20"/>
        </w:rPr>
        <w:t>Noch nicht in Moodle. Hochladen erst, wenn die Gruppe die Folien so will.</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Liberation Serif" w:hAnsi="Liberation Serif"/>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