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color w:val="1F4E78"/>
          <w:sz w:val="44"/>
          <w:szCs w:val="44"/>
        </w:rPr>
        <w:t xml:space="preserve">Apex Retail Group: Advanced Power BI Project</w:t>
      </w:r>
    </w:p>
    <w:p>
      <w:pPr>
        <w:spacing w:after="120"/>
      </w:pPr>
      <w:r>
        <w:rPr>
          <w:i/>
          <w:iCs/>
          <w:color w:val="444444"/>
          <w:sz w:val="28"/>
          <w:szCs w:val="28"/>
        </w:rPr>
        <w:t xml:space="preserve">Written Submission, DACP Module 5</w:t>
      </w:r>
    </w:p>
    <w:p>
      <w:pPr>
        <w:spacing w:after="600"/>
      </w:pPr>
      <w:r>
        <w:rPr>
          <w:b/>
          <w:bCs/>
          <w:color w:val="1F4E78"/>
          <w:sz w:val="26"/>
          <w:szCs w:val="26"/>
        </w:rPr>
        <w:t xml:space="preserve">Raphael Ehis Akhigbe</w:t>
      </w:r>
    </w:p>
    <w:p>
      <w:pPr>
        <w:pStyle w:val="Heading1"/>
        <w:pBdr>
          <w:bottom w:val="single" w:color="1F4E78" w:sz="6" w:space="6"/>
        </w:pBdr>
        <w:spacing w:after="280" w:before="600"/>
      </w:pPr>
      <w:r>
        <w:rPr>
          <w:b/>
          <w:bCs/>
          <w:color w:val="1F4E78"/>
          <w:sz w:val="32"/>
          <w:szCs w:val="32"/>
        </w:rPr>
        <w:t xml:space="preserve">Section A: Problem Framing</w:t>
      </w:r>
    </w:p>
    <w:p>
      <w:pPr>
        <w:pStyle w:val="Heading2"/>
        <w:spacing w:after="200" w:before="400"/>
      </w:pPr>
      <w:r>
        <w:rPr>
          <w:b/>
          <w:bCs/>
          <w:color w:val="2E75B6"/>
          <w:sz w:val="26"/>
          <w:szCs w:val="26"/>
        </w:rPr>
        <w:t xml:space="preserve">1. Define 'underperforming store' precisely, in three different ways</w:t>
      </w:r>
    </w:p>
    <w:p>
      <w:pPr>
        <w:spacing w:after="240" w:line="360" w:lineRule="auto"/>
      </w:pPr>
      <w:r>
        <w:rPr>
          <w:b/>
          <w:bCs/>
          <w:sz w:val="24"/>
          <w:szCs w:val="24"/>
        </w:rPr>
        <w:t xml:space="preserve">Definition 1, revenue below regional average.</w:t>
      </w:r>
      <w:r>
        <w:rPr>
          <w:sz w:val="24"/>
          <w:szCs w:val="24"/>
        </w:rPr>
        <w:t xml:space="preserve">  A store is underperforming if its Total Revenue sits below the average revenue of its regional peers. This requires the Total Revenue measure and a Region Avg Revenue measure, built with CALCULATE and ALLEXCEPT(Stores, Stores[region]) so the region filter is held while the individual store filter is removed, plus a vs Region Avg % measure. This definition serves the Commercial Director, who explicitly wants regional context rather than a flat company-wide comparison.</w:t>
      </w:r>
    </w:p>
    <w:p>
      <w:pPr>
        <w:spacing w:after="240" w:line="360" w:lineRule="auto"/>
      </w:pPr>
      <w:r>
        <w:rPr>
          <w:b/>
          <w:bCs/>
          <w:sz w:val="24"/>
          <w:szCs w:val="24"/>
        </w:rPr>
        <w:t xml:space="preserve">Definition 2, bottom quartile on regional margin rank.</w:t>
      </w:r>
      <w:r>
        <w:rPr>
          <w:sz w:val="24"/>
          <w:szCs w:val="24"/>
        </w:rPr>
        <w:t xml:space="preserve">  A store is underperforming if it ranks in the bottom 25% of its region on gross margin, not just revenue. This requires Store Margin Rank (Region), built with RANKX and ALLEXCEPT(Stores, Stores[region]), together with an Is Bottom Quartile (Region) flag using a CEILING-based quartile threshold. This is the definition used to inform store-closure recommendations, since it is robust to a single bad month and captures structural rather than seasonal underperformance, so it serves the Commercial Director and Finance Director jointly.</w:t>
      </w:r>
    </w:p>
    <w:p>
      <w:pPr>
        <w:spacing w:after="240" w:line="360" w:lineRule="auto"/>
      </w:pPr>
      <w:r>
        <w:rPr>
          <w:b/>
          <w:bCs/>
          <w:sz w:val="24"/>
          <w:szCs w:val="24"/>
        </w:rPr>
        <w:t xml:space="preserve">Definition 3, persistent miss against target.</w:t>
      </w:r>
      <w:r>
        <w:rPr>
          <w:sz w:val="24"/>
          <w:szCs w:val="24"/>
        </w:rPr>
        <w:t xml:space="preserve">  A store is underperforming if it is consistently behind its own Revenue Target, regardless of how it compares to peers. This requires the Revenue Target and Variance to Target % measures, viewed over multiple consecutive periods rather than a single snapshot. It serves Regional Managers, whose day-to-day operational conversations are plan-driven rather than peer-comparison-driven, since a store can be a strong regional performer and still be missing its own target.</w:t>
      </w:r>
    </w:p>
    <w:p>
      <w:pPr>
        <w:pStyle w:val="Heading2"/>
        <w:spacing w:after="200" w:before="400"/>
      </w:pPr>
      <w:r>
        <w:rPr>
          <w:b/>
          <w:bCs/>
          <w:color w:val="2E75B6"/>
          <w:sz w:val="26"/>
          <w:szCs w:val="26"/>
        </w:rPr>
        <w:t xml:space="preserve">2. What is the right benchmarking unit: company, region, or brand?</w:t>
      </w:r>
    </w:p>
    <w:p>
      <w:pPr>
        <w:spacing w:after="240" w:line="360" w:lineRule="auto"/>
      </w:pPr>
      <w:r>
        <w:rPr>
          <w:sz w:val="24"/>
          <w:szCs w:val="24"/>
        </w:rPr>
        <w:t xml:space="preserve">Region is the primary benchmarking unit for store-level rankings. A Value-brand High Street store in Scotland should not be benchmarked against a Premium Shopping Mall store in London, because brand positioning, footfall, and local market conditions differ systematically by region and store format, and a company-wide comparison would conflate genuine performance differences with these structural ones. Company-wide ranking is retained only as secondary context, showing how a region's typical store compares nationally, while brand is used as the benchmarking axis specifically for merchandising and margin questions, where the brand or category difference is the thing being analysed rather than noise to be controlled for.</w:t>
      </w:r>
    </w:p>
    <w:p>
      <w:pPr>
        <w:pStyle w:val="Heading2"/>
        <w:spacing w:after="200" w:before="400"/>
      </w:pPr>
      <w:r>
        <w:rPr>
          <w:b/>
          <w:bCs/>
          <w:color w:val="2E75B6"/>
          <w:sz w:val="26"/>
          <w:szCs w:val="26"/>
        </w:rPr>
        <w:t xml:space="preserve">3. What time window does 'performance' cover?</w:t>
      </w:r>
    </w:p>
    <w:p>
      <w:pPr>
        <w:pStyle w:val="ListParagraph"/>
        <w:numPr>
          <w:ilvl w:val="0"/>
          <w:numId w:val="1"/>
        </w:numPr>
        <w:spacing w:after="160" w:line="360" w:lineRule="auto"/>
      </w:pPr>
      <w:r>
        <w:rPr>
          <w:sz w:val="24"/>
          <w:szCs w:val="24"/>
        </w:rPr>
        <w:t xml:space="preserve">Commercial Director: wants the full 24-month trend rather than a snapshot, to judge whether underperformance is persistent or a one-off blip, served by Revenue Rolling 3M and the Executive Summary's monthly trend line.</w:t>
      </w:r>
    </w:p>
    <w:p>
      <w:pPr>
        <w:pStyle w:val="ListParagraph"/>
        <w:numPr>
          <w:ilvl w:val="0"/>
          <w:numId w:val="1"/>
        </w:numPr>
        <w:spacing w:after="160" w:line="360" w:lineRule="auto"/>
      </w:pPr>
      <w:r>
        <w:rPr>
          <w:sz w:val="24"/>
          <w:szCs w:val="24"/>
        </w:rPr>
        <w:t xml:space="preserve">CFO: wants year-on-year margin movement, served by Gross Margin % SPLY, Revenue vs SPLY %, and Gross Profit YTD.</w:t>
      </w:r>
    </w:p>
    <w:p>
      <w:pPr>
        <w:pStyle w:val="ListParagraph"/>
        <w:numPr>
          <w:ilvl w:val="0"/>
          <w:numId w:val="1"/>
        </w:numPr>
        <w:spacing w:after="160" w:line="360" w:lineRule="auto"/>
      </w:pPr>
      <w:r>
        <w:rPr>
          <w:sz w:val="24"/>
          <w:szCs w:val="24"/>
        </w:rPr>
        <w:t xml:space="preserve">Head of Merchandising: wants a rolling 3-month view of margin by category specifically to see seasonal patterns rather than point-in-time data, served by the new Gross Margin % Rolling 3M measure built for Page 3.</w:t>
      </w:r>
    </w:p>
    <w:p>
      <w:pPr>
        <w:pStyle w:val="ListParagraph"/>
        <w:numPr>
          <w:ilvl w:val="0"/>
          <w:numId w:val="1"/>
        </w:numPr>
        <w:spacing w:after="160" w:line="360" w:lineRule="auto"/>
      </w:pPr>
      <w:r>
        <w:rPr>
          <w:sz w:val="24"/>
          <w:szCs w:val="24"/>
        </w:rPr>
        <w:t xml:space="preserve">Regional Managers: want current performance against regional targets, served by Variance to Target % filtered to their own region through RLS and viewed at the current period rather than as a long trend.</w:t>
      </w:r>
    </w:p>
    <w:p>
      <w:pPr>
        <w:pStyle w:val="Heading2"/>
        <w:spacing w:after="200" w:before="400"/>
      </w:pPr>
      <w:r>
        <w:rPr>
          <w:b/>
          <w:bCs/>
          <w:color w:val="2E75B6"/>
          <w:sz w:val="26"/>
          <w:szCs w:val="26"/>
        </w:rPr>
        <w:t xml:space="preserve">4. What is your working assumption about data completeness?</w:t>
      </w:r>
    </w:p>
    <w:p>
      <w:pPr>
        <w:spacing w:after="240" w:line="360" w:lineRule="auto"/>
      </w:pPr>
      <w:r>
        <w:rPr>
          <w:sz w:val="24"/>
          <w:szCs w:val="24"/>
        </w:rPr>
        <w:t xml:space="preserve">apex_sales was verified to contain exactly 11,520 rows, which equals 60 stores multiplied by 24 months multiplied by 8 categories, confirming that every store has a complete row for every month and category combination with no gaps. The working assumption is therefore that the dataset is complete, with no missing store-month-category combinations, so no explicit gap-filling logic such as COALESCE or IFERROR for missing rows was required for completeness. DIVIDE was still used defensively throughout every ratio measure, including Gross Margin % and Discount Rate %, to handle genuine zero-revenue edge cases such as a store-category combination with zero revenue in a given month, returning BLANK rather than throwing a division error.</w:t>
      </w:r>
    </w:p>
    <w:p>
      <w:pPr>
        <w:pageBreakBefore/>
      </w:pPr>
      <w:r>
        <w:br/>
        <w:t xml:space="preserve"/>
      </w:r>
    </w:p>
    <w:p>
      <w:pPr>
        <w:pStyle w:val="Heading1"/>
        <w:pBdr>
          <w:bottom w:val="single" w:color="1F4E78" w:sz="6" w:space="6"/>
        </w:pBdr>
        <w:spacing w:after="280" w:before="600"/>
      </w:pPr>
      <w:r>
        <w:rPr>
          <w:b/>
          <w:bCs/>
          <w:color w:val="1F4E78"/>
          <w:sz w:val="32"/>
          <w:szCs w:val="32"/>
        </w:rPr>
        <w:t xml:space="preserve">Section G: Copilot and ChatGPT Task Evaluations</w:t>
      </w:r>
    </w:p>
    <w:p>
      <w:pPr>
        <w:spacing w:after="240" w:line="360" w:lineRule="auto"/>
      </w:pPr>
      <w:r>
        <w:rPr>
          <w:sz w:val="24"/>
          <w:szCs w:val="24"/>
        </w:rPr>
        <w:t xml:space="preserve">No Copilot licence was available in this Power BI Desktop build, and the in-app Q&amp;A feature, the brief's stated fallback, was also unavailable, since an in-app banner confirmed it is being retired in December 2026. All three tasks were therefore completed using ChatGPT, following the brief's documented fallback path, with the same critical-evaluation standard applied throughout.</w:t>
      </w:r>
    </w:p>
    <w:p>
      <w:pPr>
        <w:pStyle w:val="Heading2"/>
        <w:spacing w:after="200" w:before="400"/>
      </w:pPr>
      <w:r>
        <w:rPr>
          <w:b/>
          <w:bCs/>
          <w:color w:val="2E75B6"/>
          <w:sz w:val="26"/>
          <w:szCs w:val="26"/>
        </w:rPr>
        <w:t xml:space="preserve">Task 1: Executive Summary recommendation evaluation</w:t>
      </w:r>
    </w:p>
    <w:p>
      <w:pPr>
        <w:spacing w:after="240" w:line="360" w:lineRule="auto"/>
      </w:pPr>
      <w:r>
        <w:rPr>
          <w:sz w:val="24"/>
          <w:szCs w:val="24"/>
        </w:rPr>
        <w:t xml:space="preserve">The prompt used described the data model, meaning the Sales, Targets, Stores, Categories, and DateTable tables covering 60 stores across 5 regions and 3 brands, and asked for Executive Summary page recommendations for a Commercial Director and Board audience.</w:t>
      </w:r>
    </w:p>
    <w:p>
      <w:pPr>
        <w:spacing w:after="240" w:line="360" w:lineRule="auto"/>
      </w:pPr>
      <w:r>
        <w:rPr>
          <w:b/>
          <w:bCs/>
          <w:sz w:val="24"/>
          <w:szCs w:val="24"/>
        </w:rPr>
        <w:t xml:space="preserve">1. Accuracy:</w:t>
      </w:r>
      <w:r>
        <w:rPr>
          <w:sz w:val="24"/>
          <w:szCs w:val="24"/>
        </w:rPr>
        <w:t xml:space="preserve">  Partially correct. ChatGPT referenced real, buildable measures such as Revenue vs Target, Gross Margin %, Transactions, Store Revenue Rank, and Is Bottom Quartile, but also invented a 'Like-for-like Revenue %' metric that does not exist in the data model or brief and was never requested.</w:t>
      </w:r>
    </w:p>
    <w:p>
      <w:pPr>
        <w:spacing w:after="240" w:line="360" w:lineRule="auto"/>
      </w:pPr>
      <w:r>
        <w:rPr>
          <w:b/>
          <w:bCs/>
          <w:sz w:val="24"/>
          <w:szCs w:val="24"/>
        </w:rPr>
        <w:t xml:space="preserve">2. Visual appropriateness:</w:t>
      </w:r>
      <w:r>
        <w:rPr>
          <w:sz w:val="24"/>
          <w:szCs w:val="24"/>
        </w:rPr>
        <w:t xml:space="preserve">  The recommended monthly revenue line chart and regional bar chart both matched the brief's Page 1 specification. However, it recommended six KPI cards against the brief's exact requirement of four, namely Total Revenue, YoY change, Gross Margin %, and Margin SPLY, and it never mentioned the required field-parameter slicer for dynamic measure switching, which was a missed deliverable entirely.</w:t>
      </w:r>
    </w:p>
    <w:p>
      <w:pPr>
        <w:spacing w:after="240" w:line="360" w:lineRule="auto"/>
      </w:pPr>
      <w:r>
        <w:rPr>
          <w:b/>
          <w:bCs/>
          <w:sz w:val="24"/>
          <w:szCs w:val="24"/>
        </w:rPr>
        <w:t xml:space="preserve">3. Business context:</w:t>
      </w:r>
      <w:r>
        <w:rPr>
          <w:sz w:val="24"/>
          <w:szCs w:val="24"/>
        </w:rPr>
        <w:t xml:space="preserve">  The response was a generic retail executive-summary template with no awareness of Apex's specific Enterprise Zone story or the four distinct stakeholder questions established in Section A.</w:t>
      </w:r>
    </w:p>
    <w:p>
      <w:pPr>
        <w:spacing w:after="240" w:line="360" w:lineRule="auto"/>
      </w:pPr>
      <w:r>
        <w:rPr>
          <w:b/>
          <w:bCs/>
          <w:sz w:val="24"/>
          <w:szCs w:val="24"/>
        </w:rPr>
        <w:t xml:space="preserve">4. What was changed:</w:t>
      </w:r>
      <w:r>
        <w:rPr>
          <w:sz w:val="24"/>
          <w:szCs w:val="24"/>
        </w:rPr>
        <w:t xml:space="preserve">  The recommendation was cut down to exactly four KPI cards as the brief requires, and the field-parameter slicer that was missing entirely was added. The line chart and regional bar chart ideas were kept, while the invented Like-for-like Revenue metric and driver-decomposition suggestions were dropped as unsupported by the data. The 'exceptions table' idea, showing bottom-quartile stores with drill-through, was kept as genuinely useful and built into Page 2.</w:t>
      </w:r>
    </w:p>
    <w:p>
      <w:pPr>
        <w:pStyle w:val="Heading2"/>
        <w:spacing w:after="200" w:before="400"/>
      </w:pPr>
      <w:r>
        <w:rPr>
          <w:b/>
          <w:bCs/>
          <w:color w:val="2E75B6"/>
          <w:sz w:val="26"/>
          <w:szCs w:val="26"/>
        </w:rPr>
        <w:t xml:space="preserve">Task 2: Explanation annotation for Is Bottom Quartile (Region)</w:t>
      </w:r>
    </w:p>
    <w:p>
      <w:pPr>
        <w:spacing w:after="240" w:line="360" w:lineRule="auto"/>
      </w:pPr>
      <w:r>
        <w:rPr>
          <w:sz w:val="24"/>
          <w:szCs w:val="24"/>
        </w:rPr>
        <w:t xml:space="preserve">ChatGPT's explanation of the Is Bottom Quartile (Region) measure was accurate on the mechanics it covered. The rounding behaviour it described matched my own independently-verified calculations exactly, and it correctly identified filter-context sensitivity and tie-handling as risk areas. However, it missed the single most operationally significant limitation, which is that this measure's ALLEXCEPT logic only produces a correct region-level result if the region column is actually present in the visual displaying it. I discovered this exact failure mode firsthand while building this project, when a ranking measure silently collapsed to a company-wide calculation the moment region was left out of a table, so I know from direct testing that this is a real risk a Regional Manager could hit in production, not a theoretical one.</w:t>
      </w:r>
    </w:p>
    <w:p>
      <w:pPr>
        <w:pStyle w:val="Heading2"/>
        <w:spacing w:after="200" w:before="400"/>
      </w:pPr>
      <w:r>
        <w:rPr>
          <w:b/>
          <w:bCs/>
          <w:color w:val="2E75B6"/>
          <w:sz w:val="26"/>
          <w:szCs w:val="26"/>
        </w:rPr>
        <w:t xml:space="preserve">Task 3: AI-generated measure testing for Store Revenue % of Region</w:t>
      </w:r>
    </w:p>
    <w:p>
      <w:pPr>
        <w:spacing w:after="240" w:line="360" w:lineRule="auto"/>
      </w:pPr>
      <w:r>
        <w:rPr>
          <w:sz w:val="24"/>
          <w:szCs w:val="24"/>
        </w:rPr>
        <w:t xml:space="preserve">Prompt: "Write a DAX measure in Power BI that calculates each store's revenue as a percentage of the total revenue for its region. The measure should return blank for stores with no revenue. Use VAR...RETURN format. The model has a Stores table with a region column, and a Sales table connected via store_id."</w:t>
      </w:r>
    </w:p>
    <w:p>
      <w:pPr>
        <w:spacing w:after="120" w:before="200" w:line="360" w:lineRule="auto"/>
      </w:pPr>
      <w:r>
        <w:rPr>
          <w:b/>
          <w:bCs/>
          <w:sz w:val="24"/>
          <w:szCs w:val="24"/>
        </w:rPr>
        <w:t xml:space="preserve">Generated measure:</w:t>
      </w:r>
    </w:p>
    <w:p>
      <w:pPr>
        <w:shd w:fill="F2F2F2" w:val="clear"/>
        <w:spacing w:after="160"/>
      </w:pPr>
      <w:r>
        <w:rPr>
          <w:rFonts w:ascii="Consolas" w:cs="Consolas" w:eastAsia="Consolas" w:hAnsi="Consolas"/>
          <w:sz w:val="18"/>
          <w:szCs w:val="18"/>
        </w:rPr>
        <w:t xml:space="preserve">Store Revenue % of Region =</w:t>
      </w:r>
      <w:r>
        <w:rPr>
          <w:rFonts w:ascii="Consolas" w:cs="Consolas" w:eastAsia="Consolas" w:hAnsi="Consolas"/>
          <w:sz w:val="18"/>
          <w:szCs w:val="18"/>
        </w:rPr>
        <w:br/>
        <w:t xml:space="preserve">VAR StoreRevenue =</w:t>
      </w:r>
      <w:r>
        <w:rPr>
          <w:rFonts w:ascii="Consolas" w:cs="Consolas" w:eastAsia="Consolas" w:hAnsi="Consolas"/>
          <w:sz w:val="18"/>
          <w:szCs w:val="18"/>
        </w:rPr>
        <w:br/>
        <w:t xml:space="preserve">    [Total Revenue]</w:t>
      </w:r>
      <w:r>
        <w:rPr>
          <w:rFonts w:ascii="Consolas" w:cs="Consolas" w:eastAsia="Consolas" w:hAnsi="Consolas"/>
          <w:sz w:val="18"/>
          <w:szCs w:val="18"/>
        </w:rPr>
        <w:br/>
        <w:t xml:space="preserve">VAR RegionRevenue =</w:t>
      </w:r>
      <w:r>
        <w:rPr>
          <w:rFonts w:ascii="Consolas" w:cs="Consolas" w:eastAsia="Consolas" w:hAnsi="Consolas"/>
          <w:sz w:val="18"/>
          <w:szCs w:val="18"/>
        </w:rPr>
        <w:br/>
        <w:t xml:space="preserve">    CALCULATE(</w:t>
      </w:r>
      <w:r>
        <w:rPr>
          <w:rFonts w:ascii="Consolas" w:cs="Consolas" w:eastAsia="Consolas" w:hAnsi="Consolas"/>
          <w:sz w:val="18"/>
          <w:szCs w:val="18"/>
        </w:rPr>
        <w:br/>
        <w:t xml:space="preserve">        [Total Revenue],</w:t>
      </w:r>
      <w:r>
        <w:rPr>
          <w:rFonts w:ascii="Consolas" w:cs="Consolas" w:eastAsia="Consolas" w:hAnsi="Consolas"/>
          <w:sz w:val="18"/>
          <w:szCs w:val="18"/>
        </w:rPr>
        <w:br/>
        <w:t xml:space="preserve">        REMOVEFILTERS('Store'[Store])</w:t>
      </w:r>
      <w:r>
        <w:rPr>
          <w:rFonts w:ascii="Consolas" w:cs="Consolas" w:eastAsia="Consolas" w:hAnsi="Consolas"/>
          <w:sz w:val="18"/>
          <w:szCs w:val="18"/>
        </w:rPr>
        <w:br/>
        <w:t xml:space="preserve">    )</w:t>
      </w:r>
      <w:r>
        <w:rPr>
          <w:rFonts w:ascii="Consolas" w:cs="Consolas" w:eastAsia="Consolas" w:hAnsi="Consolas"/>
          <w:sz w:val="18"/>
          <w:szCs w:val="18"/>
        </w:rPr>
        <w:br/>
        <w:t xml:space="preserve">RETURN</w:t>
      </w:r>
      <w:r>
        <w:rPr>
          <w:rFonts w:ascii="Consolas" w:cs="Consolas" w:eastAsia="Consolas" w:hAnsi="Consolas"/>
          <w:sz w:val="18"/>
          <w:szCs w:val="18"/>
        </w:rPr>
        <w:br/>
        <w:t xml:space="preserve">    IF(</w:t>
      </w:r>
      <w:r>
        <w:rPr>
          <w:rFonts w:ascii="Consolas" w:cs="Consolas" w:eastAsia="Consolas" w:hAnsi="Consolas"/>
          <w:sz w:val="18"/>
          <w:szCs w:val="18"/>
        </w:rPr>
        <w:br/>
        <w:t xml:space="preserve">        ISBLANK(StoreRevenue) || StoreRevenue = 0,</w:t>
      </w:r>
      <w:r>
        <w:rPr>
          <w:rFonts w:ascii="Consolas" w:cs="Consolas" w:eastAsia="Consolas" w:hAnsi="Consolas"/>
          <w:sz w:val="18"/>
          <w:szCs w:val="18"/>
        </w:rPr>
        <w:br/>
        <w:t xml:space="preserve">        BLANK(),</w:t>
      </w:r>
      <w:r>
        <w:rPr>
          <w:rFonts w:ascii="Consolas" w:cs="Consolas" w:eastAsia="Consolas" w:hAnsi="Consolas"/>
          <w:sz w:val="18"/>
          <w:szCs w:val="18"/>
        </w:rPr>
        <w:br/>
        <w:t xml:space="preserve">        DIVIDE(StoreRevenue, RegionRevenue)</w:t>
      </w:r>
      <w:r>
        <w:rPr>
          <w:rFonts w:ascii="Consolas" w:cs="Consolas" w:eastAsia="Consolas" w:hAnsi="Consolas"/>
          <w:sz w:val="18"/>
          <w:szCs w:val="18"/>
        </w:rPr>
        <w:br/>
        <w:t xml:space="preserve">    )</w:t>
      </w:r>
    </w:p>
    <w:p>
      <w:pPr>
        <w:spacing w:after="240" w:line="360" w:lineRule="auto"/>
      </w:pPr>
      <w:r>
        <w:rPr>
          <w:b/>
          <w:bCs/>
          <w:sz w:val="24"/>
          <w:szCs w:val="24"/>
        </w:rPr>
        <w:t xml:space="preserve">Ran without errors:</w:t>
      </w:r>
      <w:r>
        <w:rPr>
          <w:sz w:val="24"/>
          <w:szCs w:val="24"/>
        </w:rPr>
        <w:t xml:space="preserve">  Yes, technically, but it returned an incorrect result of 100% for every single store rather than an error.</w:t>
      </w:r>
    </w:p>
    <w:p>
      <w:pPr>
        <w:spacing w:after="240" w:line="360" w:lineRule="auto"/>
      </w:pPr>
      <w:r>
        <w:rPr>
          <w:b/>
          <w:bCs/>
          <w:sz w:val="24"/>
          <w:szCs w:val="24"/>
        </w:rPr>
        <w:t xml:space="preserve">Verification:</w:t>
      </w:r>
      <w:r>
        <w:rPr>
          <w:sz w:val="24"/>
          <w:szCs w:val="24"/>
        </w:rPr>
        <w:t xml:space="preserve">  Filtered to a single region, Scotland, with 10 stores, and summed the contribution percentages. They summed to 1,000%, which is 10 stores at 100% each, instead of the expected 100%, immediately flagging the measure as wrong.</w:t>
      </w:r>
    </w:p>
    <w:p>
      <w:pPr>
        <w:spacing w:after="240" w:line="360" w:lineRule="auto"/>
      </w:pPr>
      <w:r>
        <w:rPr>
          <w:b/>
          <w:bCs/>
          <w:sz w:val="24"/>
          <w:szCs w:val="24"/>
        </w:rPr>
        <w:t xml:space="preserve">Why it was wrong:</w:t>
      </w:r>
      <w:r>
        <w:rPr>
          <w:sz w:val="24"/>
          <w:szCs w:val="24"/>
        </w:rPr>
        <w:t xml:space="preserve">  The measure referenced 'Store'[Store], which is an incorrect table and column name since my table is Stores rather than Store, and more fundamentally it relied on REMOVEFILTERS stripping a filter from one specific column, store_id, that was not actually present in the visual, since my table was grouped by the Store Display Name calculated column instead. Because no filter was ever actually removed, RegionRevenue silently evaluated to the same value as StoreRevenue for every row, making every store show '100% of its own revenue' rather than its share of the region.</w:t>
      </w:r>
    </w:p>
    <w:p>
      <w:pPr>
        <w:spacing w:after="240" w:line="360" w:lineRule="auto"/>
      </w:pPr>
      <w:r>
        <w:rPr>
          <w:b/>
          <w:bCs/>
          <w:sz w:val="24"/>
          <w:szCs w:val="24"/>
        </w:rPr>
        <w:t xml:space="preserve">Corrected version:</w:t>
      </w:r>
      <w:r>
        <w:rPr>
          <w:sz w:val="24"/>
          <w:szCs w:val="24"/>
        </w:rPr>
        <w:t xml:space="preserve">  REMOVEFILTERS('Store'[Store]) was replaced with ALLEXCEPT(Stores, Stores[region]), the same pattern already used successfully in Store Revenue Rank (Region), which explicitly preserves the region filter regardless of which specific column is driving the visual's context. Re-verified against Scotland, the 10 stores' contribution percentages now summed to exactly 100%.</w:t>
      </w:r>
    </w:p>
    <w:p>
      <w:pPr>
        <w:pageBreakBefore/>
      </w:pPr>
      <w:r>
        <w:br/>
        <w:t xml:space="preserve"/>
      </w:r>
    </w:p>
    <w:p>
      <w:pPr>
        <w:pStyle w:val="Heading1"/>
        <w:pBdr>
          <w:bottom w:val="single" w:color="1F4E78" w:sz="6" w:space="6"/>
        </w:pBdr>
        <w:spacing w:after="280" w:before="600"/>
      </w:pPr>
      <w:r>
        <w:rPr>
          <w:b/>
          <w:bCs/>
          <w:color w:val="1F4E78"/>
          <w:sz w:val="32"/>
          <w:szCs w:val="32"/>
        </w:rPr>
        <w:t xml:space="preserve">Section H: Enterprise Zone Impact Analysis</w:t>
      </w:r>
    </w:p>
    <w:p>
      <w:pPr>
        <w:spacing w:after="240" w:line="360" w:lineRule="auto"/>
      </w:pPr>
      <w:r>
        <w:rPr>
          <w:sz w:val="24"/>
          <w:szCs w:val="24"/>
        </w:rPr>
        <w:t xml:space="preserve">Six of Apex's 60 stores sit in government-designated Enterprise Zones, receiving cost relief of between 14.3% and 20.1% that the original margin calculations did not account for. Before adjustment, all six ranked in the bottom quartile of their region on gross margin, and several sat dead last. After correctly applying their entitled relief, every one of these six stores clears the bottom-quartile flag, with margin improving by 10.1 to 14.1 percentage points, and several jumping to rank number one regionally. Had store-closure decisions been based on the unadjusted rankings, Apex would have targeted stores that are actually among its strongest performers, a direct consequence of an accounting oversight rather than genuine underperformance.</w:t>
      </w:r>
    </w:p>
    <w:p>
      <w:pPr>
        <w:spacing w:after="240" w:line="360" w:lineRule="auto"/>
      </w:pPr>
      <w:r>
        <w:rPr>
          <w:sz w:val="24"/>
          <w:szCs w:val="24"/>
        </w:rPr>
        <w:t xml:space="preserve">Governance recommendation: cost-basis adjustments such as Enterprise Zone relief should be validated against the Stores dimension table as a mandatory pre-check before any ranking or closure analysis is run, ideally enforced by a scheduled data-quality check that flags any active relief percentage not yet reflected in the reporting layer's cost measures.</w:t>
      </w:r>
    </w:p>
    <w:p>
      <w:pPr>
        <w:spacing w:after="240" w:line="360" w:lineRule="auto"/>
      </w:pPr>
      <w:r>
        <w:rPr>
          <w:sz w:val="24"/>
          <w:szCs w:val="24"/>
        </w:rPr>
        <w:t xml:space="preserve">This comparison is built as three linked report pages, Full View, Before Adjustment, and After Adjustment, rather than a single page with a bookmark toggle. The brief's checklist calls for a bookmark toggle, and bookmarks were built and demonstrated separately in Section F, but they proved unreliable when reused for this three-state comparison, so page navigation buttons were substituted instead as the more dependable way to present the same finding. The full reasoning behind that substitution is set out under Dashboard Design Decisions, Page 4, below.</w:t>
      </w:r>
    </w:p>
    <w:p>
      <w:pPr>
        <w:pageBreakBefore/>
      </w:pPr>
      <w:r>
        <w:br/>
        <w:t xml:space="preserve"/>
      </w:r>
    </w:p>
    <w:p>
      <w:pPr>
        <w:pStyle w:val="Heading1"/>
        <w:pBdr>
          <w:bottom w:val="single" w:color="1F4E78" w:sz="6" w:space="6"/>
        </w:pBdr>
        <w:spacing w:after="280" w:before="600"/>
      </w:pPr>
      <w:r>
        <w:rPr>
          <w:b/>
          <w:bCs/>
          <w:color w:val="1F4E78"/>
          <w:sz w:val="32"/>
          <w:szCs w:val="32"/>
        </w:rPr>
        <w:t xml:space="preserve">Dashboard Design Decisions</w:t>
      </w:r>
    </w:p>
    <w:p>
      <w:pPr>
        <w:pStyle w:val="Heading2"/>
        <w:spacing w:after="200" w:before="400"/>
      </w:pPr>
      <w:r>
        <w:rPr>
          <w:b/>
          <w:bCs/>
          <w:color w:val="2E75B6"/>
          <w:sz w:val="26"/>
          <w:szCs w:val="26"/>
        </w:rPr>
        <w:t xml:space="preserve">Page 1: Executive Summary</w:t>
      </w:r>
    </w:p>
    <w:p>
      <w:pPr>
        <w:pStyle w:val="ListParagraph"/>
        <w:numPr>
          <w:ilvl w:val="0"/>
          <w:numId w:val="1"/>
        </w:numPr>
        <w:spacing w:after="160" w:line="360" w:lineRule="auto"/>
      </w:pPr>
      <w:r>
        <w:rPr>
          <w:sz w:val="24"/>
          <w:szCs w:val="24"/>
        </w:rPr>
        <w:t xml:space="preserve">All KPI cards and the SPLY comparison were filtered to Year = 2024. Without this filter, SAMEPERIODLASTYEAR compared an unfiltered two-year range against a partial slice and produced a nonsensical 97.5% figure, and filtering to the current year fixed it, producing the correct -2.5% year-on-year decline.</w:t>
      </w:r>
    </w:p>
    <w:p>
      <w:pPr>
        <w:pStyle w:val="ListParagraph"/>
        <w:numPr>
          <w:ilvl w:val="0"/>
          <w:numId w:val="1"/>
        </w:numPr>
        <w:spacing w:after="160" w:line="360" w:lineRule="auto"/>
      </w:pPr>
      <w:r>
        <w:rPr>
          <w:sz w:val="24"/>
          <w:szCs w:val="24"/>
        </w:rPr>
        <w:t xml:space="preserve">The regional bar chart was made fully dynamic against the field parameter, dropping the static Revenue and SPLY series, rather than building four separate charts, so that one visual serves whichever KPI the Director is currently focused on.</w:t>
      </w:r>
    </w:p>
    <w:p>
      <w:pPr>
        <w:pStyle w:val="Heading2"/>
        <w:spacing w:after="200" w:before="400"/>
      </w:pPr>
      <w:r>
        <w:rPr>
          <w:b/>
          <w:bCs/>
          <w:color w:val="2E75B6"/>
          <w:sz w:val="26"/>
          <w:szCs w:val="26"/>
        </w:rPr>
        <w:t xml:space="preserve">Page 2: Store Performance and Rankings</w:t>
      </w:r>
    </w:p>
    <w:p>
      <w:pPr>
        <w:pStyle w:val="ListParagraph"/>
        <w:numPr>
          <w:ilvl w:val="0"/>
          <w:numId w:val="1"/>
        </w:numPr>
        <w:spacing w:after="160" w:line="360" w:lineRule="auto"/>
      </w:pPr>
      <w:r>
        <w:rPr>
          <w:sz w:val="24"/>
          <w:szCs w:val="24"/>
        </w:rPr>
        <w:t xml:space="preserve">The Store Display Name calculated column, combining store_name and store_id, was used instead of raw store_name everywhere stores are grouped or drilled through. This followed the discovery of four pairs of duplicate store names in the raw data, such as two different stores both named 'Chester High Street (Core)', that were silently blending two stores' figures into one row.</w:t>
      </w:r>
    </w:p>
    <w:p>
      <w:pPr>
        <w:pStyle w:val="ListParagraph"/>
        <w:numPr>
          <w:ilvl w:val="0"/>
          <w:numId w:val="1"/>
        </w:numPr>
        <w:spacing w:after="160" w:line="360" w:lineRule="auto"/>
      </w:pPr>
      <w:r>
        <w:rPr>
          <w:sz w:val="24"/>
          <w:szCs w:val="24"/>
        </w:rPr>
        <w:t xml:space="preserve">Drill-through was stress-tested specifically on a duplicate-named store, Chester High Street (Core), STR-027, confirming that it correctly isolates the single intended store rather than its name-twin, STR-030.</w:t>
      </w:r>
    </w:p>
    <w:p>
      <w:pPr>
        <w:pStyle w:val="Heading2"/>
        <w:spacing w:after="200" w:before="400"/>
      </w:pPr>
      <w:r>
        <w:rPr>
          <w:b/>
          <w:bCs/>
          <w:color w:val="2E75B6"/>
          <w:sz w:val="26"/>
          <w:szCs w:val="26"/>
        </w:rPr>
        <w:t xml:space="preserve">Page 3: Margin and Category Analysis</w:t>
      </w:r>
    </w:p>
    <w:p>
      <w:pPr>
        <w:pStyle w:val="ListParagraph"/>
        <w:numPr>
          <w:ilvl w:val="0"/>
          <w:numId w:val="1"/>
        </w:numPr>
        <w:spacing w:after="160" w:line="360" w:lineRule="auto"/>
      </w:pPr>
      <w:r>
        <w:rPr>
          <w:sz w:val="24"/>
          <w:szCs w:val="24"/>
        </w:rPr>
        <w:t xml:space="preserve">A new measure, Gross Margin % Rolling 3M, was built by applying the same rolling-window time-intelligence pattern used for Revenue Rolling 3M to margin instead, so the trend is genuinely time-based, with date on the x-axis, rather than a flat per-category comparison.</w:t>
      </w:r>
    </w:p>
    <w:p>
      <w:pPr>
        <w:pStyle w:val="ListParagraph"/>
        <w:numPr>
          <w:ilvl w:val="0"/>
          <w:numId w:val="1"/>
        </w:numPr>
        <w:spacing w:after="160" w:line="360" w:lineRule="auto"/>
      </w:pPr>
      <w:r>
        <w:rPr>
          <w:sz w:val="24"/>
          <w:szCs w:val="24"/>
        </w:rPr>
        <w:t xml:space="preserve">A second new measure, Category Margin Benchmark %, was built to fix a scale-mismatch bug: the raw Categories[gross_margin_pct] benchmark column stores whole numbers such as 55, meaning 55%, rather than decimals, and plotting it directly against the properly-scaled Gross Margin % measure produced a broken chart axis running to 5,000%. Wrapping it in DIVIDE with a denominator of 100 corrected the scale.</w:t>
      </w:r>
    </w:p>
    <w:p>
      <w:pPr>
        <w:pStyle w:val="Heading2"/>
        <w:spacing w:after="200" w:before="400"/>
      </w:pPr>
      <w:r>
        <w:rPr>
          <w:b/>
          <w:bCs/>
          <w:color w:val="2E75B6"/>
          <w:sz w:val="26"/>
          <w:szCs w:val="26"/>
        </w:rPr>
        <w:t xml:space="preserve">Page 4: Enterprise Zone Before and After</w:t>
      </w:r>
    </w:p>
    <w:p>
      <w:pPr>
        <w:spacing w:after="240" w:line="360" w:lineRule="auto"/>
      </w:pPr>
      <w:r>
        <w:rPr>
          <w:sz w:val="24"/>
          <w:szCs w:val="24"/>
        </w:rPr>
        <w:t xml:space="preserve">The brief's deliverables checklist specifies bookmark toggle buttons for the Before and After comparison. Bookmarks were built and tested in Section F as a Standard View and EZ Adjusted View toggle, and remain in the model as evidence of that mechanism. However, when reused for Section H's three-state comparison, swapping a shared table's field-wells between Full, Before, and After, the bookmarks proved unreliable in this Power BI Desktop build: one bookmark's saved data-capture state repeatedly leaked into or overwrote another's after repeated edits, even after checking the Data, Display, Current Page, and All-visuals capture settings and rebuilding from scratch twice. This was substituted with three separate pages, EZ Comparison Full View, Before EZ Adjustment, and After EZ Adjustment, linked by plain page-navigation buttons, which proved far more reliable. This is a deliberate and documented engineering trade-off: the underlying skill of bookmark creation and wiring is demonstrated in Section F's bookmarks, which remain in the model, while the final Section H feature prioritises reliability over the literal bookmark mechanism.</w:t>
      </w:r>
    </w:p>
    <w:p>
      <w:pPr>
        <w:pStyle w:val="Heading2"/>
        <w:spacing w:after="200" w:before="400"/>
      </w:pPr>
      <w:r>
        <w:rPr>
          <w:b/>
          <w:bCs/>
          <w:color w:val="2E75B6"/>
          <w:sz w:val="26"/>
          <w:szCs w:val="26"/>
        </w:rPr>
        <w:t xml:space="preserve">Page 5: Store Detail, Drill-Through</w:t>
      </w:r>
    </w:p>
    <w:p>
      <w:pPr>
        <w:pStyle w:val="ListParagraph"/>
        <w:numPr>
          <w:ilvl w:val="0"/>
          <w:numId w:val="1"/>
        </w:numPr>
        <w:spacing w:after="160" w:line="360" w:lineRule="auto"/>
      </w:pPr>
      <w:r>
        <w:rPr>
          <w:sz w:val="24"/>
          <w:szCs w:val="24"/>
        </w:rPr>
        <w:t xml:space="preserve">The drill-through field was switched from store_name to Store Display Name for the same duplicate-name reason as Page 2, and was independently stress-tested to confirm correct isolation of a duplicate-named store.</w:t>
      </w:r>
    </w:p>
    <w:p>
      <w:pPr>
        <w:pageBreakBefore/>
      </w:pPr>
      <w:r>
        <w:br/>
        <w:t xml:space="preserve"/>
      </w:r>
    </w:p>
    <w:p>
      <w:pPr>
        <w:pStyle w:val="Heading1"/>
        <w:pBdr>
          <w:bottom w:val="single" w:color="1F4E78" w:sz="6" w:space="6"/>
        </w:pBdr>
        <w:spacing w:after="280" w:before="600"/>
      </w:pPr>
      <w:r>
        <w:rPr>
          <w:b/>
          <w:bCs/>
          <w:color w:val="1F4E78"/>
          <w:sz w:val="32"/>
          <w:szCs w:val="32"/>
        </w:rPr>
        <w:t xml:space="preserve">Stakeholder Insight Summaries: What, So What, Now What</w:t>
      </w:r>
    </w:p>
    <w:p>
      <w:pPr>
        <w:pStyle w:val="Heading2"/>
        <w:spacing w:after="200" w:before="400"/>
      </w:pPr>
      <w:r>
        <w:rPr>
          <w:b/>
          <w:bCs/>
          <w:color w:val="2E75B6"/>
          <w:sz w:val="26"/>
          <w:szCs w:val="26"/>
        </w:rPr>
        <w:t xml:space="preserve">Commercial Director</w:t>
      </w:r>
    </w:p>
    <w:p>
      <w:pPr>
        <w:spacing w:after="240" w:line="360" w:lineRule="auto"/>
      </w:pPr>
      <w:r>
        <w:rPr>
          <w:b/>
          <w:bCs/>
          <w:sz w:val="24"/>
          <w:szCs w:val="24"/>
        </w:rPr>
        <w:t xml:space="preserve">What:</w:t>
      </w:r>
      <w:r>
        <w:rPr>
          <w:sz w:val="24"/>
          <w:szCs w:val="24"/>
        </w:rPr>
        <w:t xml:space="preserve">  December 2024 revenue was down 7.5% year-on-year, a sharper decline than the milder -2.5% full-year figure. Several stores, such as Liverpool High Street (Core), sit in the bottom quartile of their own region despite an unremarkable company-wide rank of 43rd out of 60.</w:t>
      </w:r>
    </w:p>
    <w:p>
      <w:pPr>
        <w:spacing w:after="240" w:line="360" w:lineRule="auto"/>
      </w:pPr>
      <w:r>
        <w:rPr>
          <w:b/>
          <w:bCs/>
          <w:sz w:val="24"/>
          <w:szCs w:val="24"/>
        </w:rPr>
        <w:t xml:space="preserve">So What:</w:t>
      </w:r>
      <w:r>
        <w:rPr>
          <w:sz w:val="24"/>
          <w:szCs w:val="24"/>
        </w:rPr>
        <w:t xml:space="preserve">  The flat annual headline is masking a sharper, more recent problem window, and a company-wide-only view would hide stores whose underperformance is genuinely significant within their own regional context.</w:t>
      </w:r>
    </w:p>
    <w:p>
      <w:pPr>
        <w:spacing w:after="240" w:line="360" w:lineRule="auto"/>
      </w:pPr>
      <w:r>
        <w:rPr>
          <w:b/>
          <w:bCs/>
          <w:sz w:val="24"/>
          <w:szCs w:val="24"/>
        </w:rPr>
        <w:t xml:space="preserve">Now What:</w:t>
      </w:r>
      <w:r>
        <w:rPr>
          <w:sz w:val="24"/>
          <w:szCs w:val="24"/>
        </w:rPr>
        <w:t xml:space="preserve">  December trading should be investigated specifically before the next Board update, and Page 2's regional ranking, rather than the company-wide rank, should be used as the primary screen for identifying which stores need attention.</w:t>
      </w:r>
    </w:p>
    <w:p>
      <w:pPr>
        <w:pStyle w:val="Heading2"/>
        <w:spacing w:after="200" w:before="400"/>
      </w:pPr>
      <w:r>
        <w:rPr>
          <w:b/>
          <w:bCs/>
          <w:color w:val="2E75B6"/>
          <w:sz w:val="26"/>
          <w:szCs w:val="26"/>
        </w:rPr>
        <w:t xml:space="preserve">CFO</w:t>
      </w:r>
    </w:p>
    <w:p>
      <w:pPr>
        <w:spacing w:after="240" w:line="360" w:lineRule="auto"/>
      </w:pPr>
      <w:r>
        <w:rPr>
          <w:b/>
          <w:bCs/>
          <w:sz w:val="24"/>
          <w:szCs w:val="24"/>
        </w:rPr>
        <w:t xml:space="preserve">What:</w:t>
      </w:r>
      <w:r>
        <w:rPr>
          <w:sz w:val="24"/>
          <w:szCs w:val="24"/>
        </w:rPr>
        <w:t xml:space="preserve">  Company-wide gross margin was broadly flat at around 34.5% in 2024 compared with 2023, but on Page 3, Electronics and Food &amp; Drink sit furthest below their category margin benchmark.</w:t>
      </w:r>
    </w:p>
    <w:p>
      <w:pPr>
        <w:spacing w:after="240" w:line="360" w:lineRule="auto"/>
      </w:pPr>
      <w:r>
        <w:rPr>
          <w:b/>
          <w:bCs/>
          <w:sz w:val="24"/>
          <w:szCs w:val="24"/>
        </w:rPr>
        <w:t xml:space="preserve">So What:</w:t>
      </w:r>
      <w:r>
        <w:rPr>
          <w:sz w:val="24"/>
          <w:szCs w:val="24"/>
        </w:rPr>
        <w:t xml:space="preserve">  The flat headline margin is hiding category-level compression that could become a larger problem if discounting or cost pressure in these two categories continues unaddressed.</w:t>
      </w:r>
    </w:p>
    <w:p>
      <w:pPr>
        <w:spacing w:after="240" w:line="360" w:lineRule="auto"/>
      </w:pPr>
      <w:r>
        <w:rPr>
          <w:b/>
          <w:bCs/>
          <w:sz w:val="24"/>
          <w:szCs w:val="24"/>
        </w:rPr>
        <w:t xml:space="preserve">Now What:</w:t>
      </w:r>
      <w:r>
        <w:rPr>
          <w:sz w:val="24"/>
          <w:szCs w:val="24"/>
        </w:rPr>
        <w:t xml:space="preserve">  The What-If margin simulation slicer should be used with Merchandising to model the group-level margin impact of a one to two percentage-point improvement in Electronics and Food &amp; Drink, prioritising a cost and discount review in those categories specifically.</w:t>
      </w:r>
    </w:p>
    <w:p>
      <w:pPr>
        <w:pStyle w:val="Heading2"/>
        <w:spacing w:after="200" w:before="400"/>
      </w:pPr>
      <w:r>
        <w:rPr>
          <w:b/>
          <w:bCs/>
          <w:color w:val="2E75B6"/>
          <w:sz w:val="26"/>
          <w:szCs w:val="26"/>
        </w:rPr>
        <w:t xml:space="preserve">Head of Merchandising</w:t>
      </w:r>
    </w:p>
    <w:p>
      <w:pPr>
        <w:spacing w:after="240" w:line="360" w:lineRule="auto"/>
      </w:pPr>
      <w:r>
        <w:rPr>
          <w:b/>
          <w:bCs/>
          <w:sz w:val="24"/>
          <w:szCs w:val="24"/>
        </w:rPr>
        <w:t xml:space="preserve">What:</w:t>
      </w:r>
      <w:r>
        <w:rPr>
          <w:sz w:val="24"/>
          <w:szCs w:val="24"/>
        </w:rPr>
        <w:t xml:space="preserve">  The rolling 3-month margin-by-category trend on Page 3 shows most categories tracking close to their benchmark across the full 24-month window, with Electronics and Food &amp; Drink consistently the two weakest rather than showing a single seasonal dip.</w:t>
      </w:r>
    </w:p>
    <w:p>
      <w:pPr>
        <w:spacing w:after="240" w:line="360" w:lineRule="auto"/>
      </w:pPr>
      <w:r>
        <w:rPr>
          <w:b/>
          <w:bCs/>
          <w:sz w:val="24"/>
          <w:szCs w:val="24"/>
        </w:rPr>
        <w:t xml:space="preserve">So What:</w:t>
      </w:r>
      <w:r>
        <w:rPr>
          <w:sz w:val="24"/>
          <w:szCs w:val="24"/>
        </w:rPr>
        <w:t xml:space="preserve">  A sustained 24-month pattern, rather than a short dip, means seasonal explanations alone are unlikely to account for the gap, and the pattern looks structural.</w:t>
      </w:r>
    </w:p>
    <w:p>
      <w:pPr>
        <w:spacing w:after="240" w:line="360" w:lineRule="auto"/>
      </w:pPr>
      <w:r>
        <w:rPr>
          <w:b/>
          <w:bCs/>
          <w:sz w:val="24"/>
          <w:szCs w:val="24"/>
        </w:rPr>
        <w:t xml:space="preserve">Now What:</w:t>
      </w:r>
      <w:r>
        <w:rPr>
          <w:sz w:val="24"/>
          <w:szCs w:val="24"/>
        </w:rPr>
        <w:t xml:space="preserve">  Supplier costs and discounting policy should be reviewed specifically for Electronics and Food &amp; Drink, using the rolling trend line to confirm whether any resulting changes actually move the trend rather than relying on a single-period read.</w:t>
      </w:r>
    </w:p>
    <w:p>
      <w:pPr>
        <w:pStyle w:val="Heading2"/>
        <w:spacing w:after="200" w:before="400"/>
      </w:pPr>
      <w:r>
        <w:rPr>
          <w:b/>
          <w:bCs/>
          <w:color w:val="2E75B6"/>
          <w:sz w:val="26"/>
          <w:szCs w:val="26"/>
        </w:rPr>
        <w:t xml:space="preserve">Regional Managers</w:t>
      </w:r>
    </w:p>
    <w:p>
      <w:pPr>
        <w:spacing w:after="240" w:line="360" w:lineRule="auto"/>
      </w:pPr>
      <w:r>
        <w:rPr>
          <w:b/>
          <w:bCs/>
          <w:sz w:val="24"/>
          <w:szCs w:val="24"/>
        </w:rPr>
        <w:t xml:space="preserve">What:</w:t>
      </w:r>
      <w:r>
        <w:rPr>
          <w:sz w:val="24"/>
          <w:szCs w:val="24"/>
        </w:rPr>
        <w:t xml:space="preserve">  Under Row-Level Security, each Regional Manager sees only their own region's stores, ranked against their own regional peers rather than the national list. For example, Scotland's Regional Manager sees only Scotland's 10 stores and a regional revenue total of £17.31M, not the £247.75M company figure.</w:t>
      </w:r>
    </w:p>
    <w:p>
      <w:pPr>
        <w:spacing w:after="240" w:line="360" w:lineRule="auto"/>
      </w:pPr>
      <w:r>
        <w:rPr>
          <w:b/>
          <w:bCs/>
          <w:sz w:val="24"/>
          <w:szCs w:val="24"/>
        </w:rPr>
        <w:t xml:space="preserve">So What:</w:t>
      </w:r>
      <w:r>
        <w:rPr>
          <w:sz w:val="24"/>
          <w:szCs w:val="24"/>
        </w:rPr>
        <w:t xml:space="preserve">  This means a Regional Manager's store rankings reflect genuine relative performance among directly comparable local peers, rather than being distorted by their region's overall size or market strength.</w:t>
      </w:r>
    </w:p>
    <w:p>
      <w:pPr>
        <w:spacing w:after="240" w:line="360" w:lineRule="auto"/>
      </w:pPr>
      <w:r>
        <w:rPr>
          <w:b/>
          <w:bCs/>
          <w:sz w:val="24"/>
          <w:szCs w:val="24"/>
        </w:rPr>
        <w:t xml:space="preserve">Now What:</w:t>
      </w:r>
      <w:r>
        <w:rPr>
          <w:sz w:val="24"/>
          <w:szCs w:val="24"/>
        </w:rPr>
        <w:t xml:space="preserve">  Regional Managers should use the Is Bottom Quartile (Region) flag on Page 2, rather than the company-wide rank column which they cannot meaningfully act on, when identifying which of their own stores need a store-level review.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66666"/>
        <w:sz w:val="18"/>
        <w:szCs w:val="18"/>
      </w:rPr>
      <w:t xml:space="preserve">Written submission done by Raphael Ehis Akhigbe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2026-09-25T06:51:56.989Z</dcterms:created>
  <dcterms:modified xsi:type="dcterms:W3CDTF">2026-09-25T06:51:56.992Z</dcterms:modified>
</cp:coreProperties>
</file>

<file path=docProps/custom.xml><?xml version="1.0" encoding="utf-8"?>
<Properties xmlns="http://schemas.openxmlformats.org/officeDocument/2006/custom-properties" xmlns:vt="http://schemas.openxmlformats.org/officeDocument/2006/docPropsVTypes"/>
</file>