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</w:tcPr>
          <w:p>
            <w:pPr>
              <w:spacing w:before="800"/>
              <w:jc w:val="center"/>
            </w:pPr>
            <w:r>
              <w:rPr>
                <w:b/>
                <w:color w:val="FFFFFF"/>
                <w:sz w:val="72"/>
              </w:rPr>
              <w:t>NetGuard IDS</w:t>
            </w:r>
          </w:p>
          <w:p>
            <w:pPr>
              <w:jc w:val="center"/>
            </w:pPr>
            <w:r>
              <w:rPr>
                <w:color w:val="AACCFF"/>
                <w:sz w:val="32"/>
              </w:rPr>
              <w:t>Planejamento de Produto &amp; Estratégia de Go-to-Market</w:t>
            </w:r>
          </w:p>
          <w:p>
            <w:pPr>
              <w:jc w:val="center"/>
            </w:pPr>
            <w:r>
              <w:rPr>
                <w:i/>
                <w:color w:val="88AADD"/>
                <w:sz w:val="24"/>
              </w:rPr>
              <w:t>Roadmap · Segmentos · Vendas · Melhorias Técnicas</w:t>
            </w:r>
          </w:p>
          <w:p>
            <w:pPr>
              <w:spacing w:after="800"/>
              <w:jc w:val="center"/>
            </w:pPr>
            <w:r>
              <w:rPr>
                <w:color w:val="88AADD"/>
                <w:sz w:val="20"/>
              </w:rPr>
              <w:t>Versão 1.0  ·  Abril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1. Sumário Executivo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O que é o NetGuard IDS e por que ele importa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sz w:val="22"/>
        </w:rPr>
        <w:t>O NetGuard IDS é uma plataforma de detecção e resposta a intrusões (IDS/IPS) de código aberto, desenvolvida em Python/Flask, que unifica análise de logs, correlação de eventos, threat intelligence, bloqueio automático via fail2ban e um dashboard web em tempo real. A plataforma é containerizada (Docker/Compose) e já possui CI/CD com testes automatizados, tornando-a pronta para ambientes de produção.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O mercado de SIEM/IDS para PMEs e MSSPs cresceu mais de 18% ao ano nos últimos três anos, impulsionado por regulamentações (LGPD, ISO 27001) e pelo aumento de ataques ransomware. Ferramentas enterprise como Splunk SIEM e IBM QRadar custam R$ 80k–500k/ano, criando uma lacuna de mercado enorme para soluções acessíveis com qualidade enterprise.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10k+</w:t>
            </w:r>
          </w:p>
        </w:tc>
        <w:tc>
          <w:tcPr>
            <w:tcW w:type="dxa" w:w="2351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9</w:t>
            </w:r>
          </w:p>
        </w:tc>
        <w:tc>
          <w:tcPr>
            <w:tcW w:type="dxa" w:w="2351"/>
            <w:shd w:val="clear" w:color="auto" w:fill="D47000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200+</w:t>
            </w:r>
          </w:p>
        </w:tc>
        <w:tc>
          <w:tcPr>
            <w:tcW w:type="dxa" w:w="2351"/>
            <w:shd w:val="clear" w:color="auto" w:fill="B02020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85%+</w:t>
            </w:r>
          </w:p>
        </w:tc>
      </w:tr>
      <w:tr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color w:val="444455"/>
                <w:sz w:val="18"/>
              </w:rPr>
              <w:t>Eventos/seg suportados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color w:val="444455"/>
                <w:sz w:val="18"/>
              </w:rPr>
              <w:t>Fases MITRE ATT&amp;CK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color w:val="444455"/>
                <w:sz w:val="18"/>
              </w:rPr>
              <w:t>Regras Sigma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color w:val="444455"/>
                <w:sz w:val="18"/>
              </w:rPr>
              <w:t>Cobertura de testes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2. Posicionamento de Mercado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Para quem, contra quê, e por quê escolher NetGuard</w:t>
            </w:r>
          </w:p>
        </w:tc>
      </w:tr>
    </w:tbl>
    <w:p/>
    <w:p>
      <w:pPr>
        <w:pStyle w:val="Heading2"/>
        <w:jc w:val="left"/>
      </w:pPr>
      <w:r>
        <w:rPr>
          <w:color w:val="1A3A5C"/>
        </w:rPr>
        <w:t>2.1 Segmentos-alvo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F6FEB"/>
                <w:sz w:val="24"/>
              </w:rPr>
              <w:t>▸ PMEs (50–500 funcionários)</w:t>
            </w:r>
          </w:p>
          <w:p>
            <w:r>
              <w:rPr>
                <w:color w:val="444455"/>
                <w:sz w:val="20"/>
              </w:rPr>
              <w:t>Alta exposição, orçamento de TI limitado, sem equipe de segurança dedicada. Precisam de proteção regulatória (LGPD) e redução de risco ransomware. Dispostos a pagar R$ 800–3.000/mês por SaaS gerenciado.</w:t>
            </w:r>
          </w:p>
          <w:p>
            <w:pPr>
              <w:spacing w:after="0"/>
            </w:pPr>
            <w:r>
              <w:rPr>
                <w:b/>
                <w:color w:val="1A7A3C"/>
                <w:sz w:val="20"/>
              </w:rPr>
              <w:t>✓ Diferencial: Preço acessível, setup em minutos, alertas WhatsApp/Telegram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3A5C"/>
                <w:sz w:val="24"/>
              </w:rPr>
              <w:t>▸ MSSPs (Managed Security Service Providers)</w:t>
            </w:r>
          </w:p>
          <w:p>
            <w:r>
              <w:rPr>
                <w:color w:val="444455"/>
                <w:sz w:val="20"/>
              </w:rPr>
              <w:t>Revendem serviços de monitoramento a múltiplos clientes. Precisam de multi-tenancy, APIs de integração e white-label. Modelo de receita: por cliente gerenciado, R$ 300–1.200/cliente/mês.</w:t>
            </w:r>
          </w:p>
          <w:p>
            <w:pPr>
              <w:spacing w:after="0"/>
            </w:pPr>
            <w:r>
              <w:rPr>
                <w:b/>
                <w:color w:val="1A7A3C"/>
                <w:sz w:val="20"/>
              </w:rPr>
              <w:t>✓ Diferencial: Multi-tenant nativo, API REST completa, dashboards por cliente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D47000"/>
                <w:sz w:val="24"/>
              </w:rPr>
              <w:t>▸ Empresas de Médio Porte (500–5.000 funcionários)</w:t>
            </w:r>
          </w:p>
          <w:p>
            <w:r>
              <w:rPr>
                <w:color w:val="444455"/>
                <w:sz w:val="20"/>
              </w:rPr>
              <w:t>Têm time de TI mas não equipe SOC dedicada. Buscam compliance ISO 27001/SOC 2. Budget R$ 5k–20k/mês, preferem on-premise ou private cloud.</w:t>
            </w:r>
          </w:p>
          <w:p>
            <w:pPr>
              <w:spacing w:after="0"/>
            </w:pPr>
            <w:r>
              <w:rPr>
                <w:b/>
                <w:color w:val="1A7A3C"/>
                <w:sz w:val="20"/>
              </w:rPr>
              <w:t>✓ Diferencial: Integração SIEM, relatórios de conformidade, SLA de suporte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7A3C"/>
                <w:sz w:val="24"/>
              </w:rPr>
              <w:t>▸ Instituições de Ensino / Governo</w:t>
            </w:r>
          </w:p>
          <w:p>
            <w:r>
              <w:rPr>
                <w:color w:val="444455"/>
                <w:sz w:val="20"/>
              </w:rPr>
              <w:t>Redes grandes, orçamento público restrito, alto volume de endpoints. Sofrem ataques de ransomware com frequência crescente. Licitações públicas, necessidade de auditorias.</w:t>
            </w:r>
          </w:p>
          <w:p>
            <w:pPr>
              <w:spacing w:after="0"/>
            </w:pPr>
            <w:r>
              <w:rPr>
                <w:b/>
                <w:color w:val="1A7A3C"/>
                <w:sz w:val="20"/>
              </w:rPr>
              <w:t>✓ Diferencial: Código aberto (auditável), implantação on-premise, suporte nacional</w:t>
            </w:r>
          </w:p>
        </w:tc>
      </w:tr>
    </w:tbl>
    <w:p/>
    <w:p>
      <w:pPr>
        <w:pStyle w:val="Heading2"/>
        <w:jc w:val="left"/>
      </w:pPr>
      <w:r>
        <w:rPr>
          <w:color w:val="1A3A5C"/>
        </w:rPr>
        <w:t>2.2 Análise Competitiva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type="dxa" w:w="188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Preço/mês</w:t>
            </w:r>
          </w:p>
        </w:tc>
        <w:tc>
          <w:tcPr>
            <w:tcW w:type="dxa" w:w="188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Multi-tenant</w:t>
            </w:r>
          </w:p>
        </w:tc>
        <w:tc>
          <w:tcPr>
            <w:tcW w:type="dxa" w:w="188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Open Source</w:t>
            </w:r>
          </w:p>
        </w:tc>
        <w:tc>
          <w:tcPr>
            <w:tcW w:type="dxa" w:w="188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Setup</w:t>
            </w:r>
          </w:p>
        </w:tc>
      </w:tr>
      <w:tr>
        <w:tc>
          <w:tcPr>
            <w:tcW w:type="dxa" w:w="1881"/>
            <w:shd w:val="clear" w:color="auto" w:fill="EAF3FF"/>
          </w:tcPr>
          <w:p>
            <w:pPr>
              <w:jc w:val="left"/>
            </w:pPr>
            <w:r>
              <w:rPr>
                <w:b/>
                <w:color w:val="1A3A5C"/>
                <w:sz w:val="20"/>
              </w:rPr>
              <w:t>NetGuard IDS</w:t>
            </w:r>
          </w:p>
        </w:tc>
        <w:tc>
          <w:tcPr>
            <w:tcW w:type="dxa" w:w="1881"/>
            <w:shd w:val="clear" w:color="auto" w:fill="EAF3FF"/>
          </w:tcPr>
          <w:p>
            <w:pPr>
              <w:jc w:val="center"/>
            </w:pPr>
            <w:r>
              <w:rPr>
                <w:b/>
                <w:color w:val="1A3A5C"/>
                <w:sz w:val="20"/>
              </w:rPr>
              <w:t>R$ 0–3k</w:t>
            </w:r>
          </w:p>
        </w:tc>
        <w:tc>
          <w:tcPr>
            <w:tcW w:type="dxa" w:w="1881"/>
            <w:shd w:val="clear" w:color="auto" w:fill="EAF3FF"/>
          </w:tcPr>
          <w:p>
            <w:pPr>
              <w:jc w:val="center"/>
            </w:pPr>
            <w:r>
              <w:rPr>
                <w:b/>
                <w:color w:val="1A7A3C"/>
                <w:sz w:val="20"/>
              </w:rPr>
              <w:t>✓ Nativo</w:t>
            </w:r>
          </w:p>
        </w:tc>
        <w:tc>
          <w:tcPr>
            <w:tcW w:type="dxa" w:w="1881"/>
            <w:shd w:val="clear" w:color="auto" w:fill="EAF3FF"/>
          </w:tcPr>
          <w:p>
            <w:pPr>
              <w:jc w:val="center"/>
            </w:pPr>
            <w:r>
              <w:rPr>
                <w:b/>
                <w:color w:val="1A7A3C"/>
                <w:sz w:val="20"/>
              </w:rPr>
              <w:t>✓ Sim</w:t>
            </w:r>
          </w:p>
        </w:tc>
        <w:tc>
          <w:tcPr>
            <w:tcW w:type="dxa" w:w="1881"/>
            <w:shd w:val="clear" w:color="auto" w:fill="EAF3FF"/>
          </w:tcPr>
          <w:p>
            <w:pPr>
              <w:jc w:val="center"/>
            </w:pPr>
            <w:r>
              <w:rPr>
                <w:b/>
                <w:color w:val="1A3A5C"/>
                <w:sz w:val="20"/>
              </w:rPr>
              <w:t>&lt; 5 min</w:t>
            </w:r>
          </w:p>
        </w:tc>
      </w:tr>
      <w:tr>
        <w:tc>
          <w:tcPr>
            <w:tcW w:type="dxa" w:w="1881"/>
            <w:shd w:val="clear" w:color="auto" w:fill="F9F9F9"/>
          </w:tcPr>
          <w:p>
            <w:pPr>
              <w:jc w:val="left"/>
            </w:pPr>
            <w:r>
              <w:rPr>
                <w:sz w:val="20"/>
              </w:rPr>
              <w:t>Splunk SIEM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sz w:val="20"/>
              </w:rPr>
              <w:t>R$ 20k+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color w:val="B02020"/>
                <w:sz w:val="20"/>
              </w:rPr>
              <w:t>✗ Pago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color w:val="B02020"/>
                <w:sz w:val="20"/>
              </w:rPr>
              <w:t>✗ Não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sz w:val="20"/>
              </w:rPr>
              <w:t>Semanas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Wazuh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R$ 0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1A7A3C"/>
                <w:sz w:val="20"/>
              </w:rPr>
              <w:t>✓ Sim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1A7A3C"/>
                <w:sz w:val="20"/>
              </w:rPr>
              <w:t>✓ Sim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1–2 dias</w:t>
            </w:r>
          </w:p>
        </w:tc>
      </w:tr>
      <w:tr>
        <w:tc>
          <w:tcPr>
            <w:tcW w:type="dxa" w:w="1881"/>
            <w:shd w:val="clear" w:color="auto" w:fill="F9F9F9"/>
          </w:tcPr>
          <w:p>
            <w:pPr>
              <w:jc w:val="left"/>
            </w:pPr>
            <w:r>
              <w:rPr>
                <w:sz w:val="20"/>
              </w:rPr>
              <w:t>Suricata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sz w:val="20"/>
              </w:rPr>
              <w:t>R$ 0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color w:val="B02020"/>
                <w:sz w:val="20"/>
              </w:rPr>
              <w:t>✗ Não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color w:val="1A7A3C"/>
                <w:sz w:val="20"/>
              </w:rPr>
              <w:t>✓ Sim</w:t>
            </w:r>
          </w:p>
        </w:tc>
        <w:tc>
          <w:tcPr>
            <w:tcW w:type="dxa" w:w="1881"/>
            <w:shd w:val="clear" w:color="auto" w:fill="F9F9F9"/>
          </w:tcPr>
          <w:p>
            <w:pPr>
              <w:jc w:val="center"/>
            </w:pPr>
            <w:r>
              <w:rPr>
                <w:sz w:val="20"/>
              </w:rPr>
              <w:t>1–3 dias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IBM QRadar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R$ 50k+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1A7A3C"/>
                <w:sz w:val="20"/>
              </w:rPr>
              <w:t>✓ Pago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color w:val="B02020"/>
                <w:sz w:val="20"/>
              </w:rPr>
              <w:t>✗ Não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Meses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3. Roadmap de Produto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O que construir, em qual ordem e por quê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A3C"/>
          </w:tcPr>
          <w:p>
            <w:r>
              <w:rPr>
                <w:b/>
                <w:color w:val="FFFFFF"/>
                <w:sz w:val="24"/>
              </w:rPr>
              <w:t>Fase 1 — Fundação Comercial  ·  Q2 2026 (Maio–Jun)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Autenticação multi-tenant com planos Free / Pro / Enterprise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Onboarding automatizado: wizard de configuração em 5 min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Notificações WhatsApp e Telegram para alertas críticos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Exportação de relatórios PDF/Excel (compliance LGPD)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Painel de billing integrado (Stripe ou PagSeguro)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6FEB"/>
          </w:tcPr>
          <w:p>
            <w:r>
              <w:rPr>
                <w:b/>
                <w:color w:val="FFFFFF"/>
                <w:sz w:val="24"/>
              </w:rPr>
              <w:t>Fase 2 — Inteligência Avançada  ·  Q3 2026 (Jul–Set)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Correlação de eventos com regras YAML customizáveis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Machine Learning: detecção de anomalias comportamentais (Isolation Forest)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Integração com threat feeds externos: AbuseIPDB, VirusTotal, Shodan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Playbooks de resposta automatizada (SOAR lite)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Timeline de ataque visual com grafo MITRE ATT&amp;CK interativo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47000"/>
          </w:tcPr>
          <w:p>
            <w:r>
              <w:rPr>
                <w:b/>
                <w:color w:val="FFFFFF"/>
                <w:sz w:val="24"/>
              </w:rPr>
              <w:t>Fase 3 — Escala Enterprise  ·  Q4 2026 (Out–Dez)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Agentes de coleta para Windows (Sysmon), Linux, macOS e cloud (AWS CloudTrail)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API GraphQL para integrações SIEM de terceiros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SSO via SAML 2.0 / LDAP / Azure AD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Relatórios de conformidade: ISO 27001, NIST, CIS Controls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Modo cluster para alta disponibilidade (multi-nó)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02020"/>
          </w:tcPr>
          <w:p>
            <w:r>
              <w:rPr>
                <w:b/>
                <w:color w:val="FFFFFF"/>
                <w:sz w:val="24"/>
              </w:rPr>
              <w:t>Fase 4 — Ecossistema &amp; Parcerias  ·  Q1 2027+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Marketplace de integrações: plugins para Jira, ServiceNow, PagerDuty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White-label total para MSSPs: logo, domínio, temas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SDK Python para detectores customizados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Programa de parceiros certificados</w:t>
            </w:r>
          </w:p>
          <w:p>
            <w:pPr>
              <w:spacing w:after="40"/>
            </w:pPr>
            <w:r>
              <w:rPr>
                <w:color w:val="EEEEFF"/>
                <w:sz w:val="20"/>
              </w:rPr>
              <w:t xml:space="preserve">  • Threat Sharing Hub: compartilhamento anônimo de IOCs entre clientes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4. Melhorias Técnicas Prioritárias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Backlog técnico ranqueado por impacto × esforço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B02020"/>
          <w:sz w:val="26"/>
        </w:rPr>
        <w:t>🔴 Crítico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Esforço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Persistência de sessão Redis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Sessões atualmente em memória → perda ao reiniciar. Migrar para Redis para suportar múltiplas réplicas.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3 dias</w:t>
            </w:r>
          </w:p>
        </w:tc>
      </w:tr>
      <w:tr>
        <w:tc>
          <w:tcPr>
            <w:tcW w:type="dxa" w:w="2351"/>
            <w:shd w:val="clear" w:color="auto" w:fill="F9F9F9"/>
          </w:tcPr>
          <w:p>
            <w:r>
              <w:rPr>
                <w:b/>
                <w:sz w:val="20"/>
              </w:rPr>
              <w:t>Rate limiting na API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Sem throttling hoje → risco de brute force e DoS. Implementar Flask-Limiter por IP e por token.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1 dia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Validação de input (SQLi/XSS)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Campos de filtro sem sanitização completa. Adicionar bleach + parameterized queries em todos os endpoints.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2 dias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D47000"/>
          <w:sz w:val="26"/>
        </w:rPr>
        <w:t>🟠 Alta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Esforço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WebSocket para streaming de eventos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Dashboard atualmente faz polling HTTP a cada 5s → migrar para Socket.IO para latência &lt; 500ms.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4 dias</w:t>
            </w:r>
          </w:p>
        </w:tc>
      </w:tr>
      <w:tr>
        <w:tc>
          <w:tcPr>
            <w:tcW w:type="dxa" w:w="2351"/>
            <w:shd w:val="clear" w:color="auto" w:fill="F9F9F9"/>
          </w:tcPr>
          <w:p>
            <w:r>
              <w:rPr>
                <w:b/>
                <w:sz w:val="20"/>
              </w:rPr>
              <w:t>Cache de threat intelligence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Cada análise de IP faz chamada HTTP ao VirusTotal → adicionar cache Redis com TTL de 1h.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1 dia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Banco de dados PostgreSQL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SQLite não suporta múltiplos escritores → gargalo em produção. Migrar para Postgres com SQLAlchemy.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5 dias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8A6000"/>
          <w:sz w:val="26"/>
        </w:rPr>
        <w:t>🟡 Média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Esforço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Dashboard responsivo (mobile)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Layout atual quebra em telas &lt; 768px. Refatorar com CSS Grid e Tailwind.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3 dias</w:t>
            </w:r>
          </w:p>
        </w:tc>
      </w:tr>
      <w:tr>
        <w:tc>
          <w:tcPr>
            <w:tcW w:type="dxa" w:w="2351"/>
            <w:shd w:val="clear" w:color="auto" w:fill="F9F9F9"/>
          </w:tcPr>
          <w:p>
            <w:r>
              <w:rPr>
                <w:b/>
                <w:sz w:val="20"/>
              </w:rPr>
              <w:t>Logs estruturados (JSON)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Logs atuais em texto livre → dificulta parsing por ferramentas externas. Migrar para structlog.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2351"/>
            <w:shd w:val="clear" w:color="auto" w:fill="F9F9F9"/>
          </w:tcPr>
          <w:p>
            <w:r>
              <w:rPr>
                <w:sz w:val="20"/>
              </w:rPr>
              <w:t>1 dia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20"/>
              </w:rPr>
              <w:t>Testes de integração E2E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Cobertura atual foca em unit tests. Adicionar testes Playwright para fluxos críticos do dashboard.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4 dias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5. Estratégia de Go-to-Market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Como levar o NetGuard IDS ao mercado e fechar contratos</w:t>
            </w:r>
          </w:p>
        </w:tc>
      </w:tr>
    </w:tbl>
    <w:p/>
    <w:p>
      <w:pPr>
        <w:pStyle w:val="Heading2"/>
        <w:jc w:val="left"/>
      </w:pPr>
      <w:r>
        <w:rPr>
          <w:color w:val="1A3A5C"/>
        </w:rPr>
        <w:t>5.1 Modelo de Precificação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CCCCC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Free</w:t>
            </w:r>
          </w:p>
        </w:tc>
        <w:tc>
          <w:tcPr>
            <w:tcW w:type="dxa" w:w="2351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Pro</w:t>
            </w:r>
          </w:p>
        </w:tc>
        <w:tc>
          <w:tcPr>
            <w:tcW w:type="dxa" w:w="235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Enterprise</w:t>
            </w:r>
          </w:p>
        </w:tc>
        <w:tc>
          <w:tcPr>
            <w:tcW w:type="dxa" w:w="2351"/>
            <w:shd w:val="clear" w:color="auto" w:fill="8A60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MSSP Partner</w:t>
            </w:r>
          </w:p>
        </w:tc>
      </w:tr>
      <w:tr>
        <w:tc>
          <w:tcPr>
            <w:tcW w:type="dxa" w:w="2351"/>
            <w:shd w:val="clear" w:color="auto" w:fill="CCCCC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</w:t>
            </w:r>
          </w:p>
          <w:p>
            <w:pPr>
              <w:jc w:val="center"/>
            </w:pPr>
            <w:r>
              <w:rPr>
                <w:color w:val="CCDDFF"/>
                <w:sz w:val="18"/>
              </w:rPr>
              <w:t>Communidade</w:t>
            </w:r>
          </w:p>
        </w:tc>
        <w:tc>
          <w:tcPr>
            <w:tcW w:type="dxa" w:w="2351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R$ 990/mês</w:t>
            </w:r>
          </w:p>
          <w:p>
            <w:pPr>
              <w:jc w:val="center"/>
            </w:pPr>
            <w:r>
              <w:rPr>
                <w:color w:val="CCDDFF"/>
                <w:sz w:val="18"/>
              </w:rPr>
              <w:t>PMEs &amp; Startups</w:t>
            </w:r>
          </w:p>
        </w:tc>
        <w:tc>
          <w:tcPr>
            <w:tcW w:type="dxa" w:w="2351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R$ 3.900/mês</w:t>
            </w:r>
          </w:p>
          <w:p>
            <w:pPr>
              <w:jc w:val="center"/>
            </w:pPr>
            <w:r>
              <w:rPr>
                <w:color w:val="CCDDFF"/>
                <w:sz w:val="18"/>
              </w:rPr>
              <w:t>Médias empresas</w:t>
            </w:r>
          </w:p>
        </w:tc>
        <w:tc>
          <w:tcPr>
            <w:tcW w:type="dxa" w:w="2351"/>
            <w:shd w:val="clear" w:color="auto" w:fill="8A60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R$ 300/cliente</w:t>
            </w:r>
          </w:p>
          <w:p>
            <w:pPr>
              <w:jc w:val="center"/>
            </w:pPr>
            <w:r>
              <w:rPr>
                <w:color w:val="CCDDFF"/>
                <w:sz w:val="18"/>
              </w:rPr>
              <w:t>Revendedores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host monitorado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Até 20 hosts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Hosts ilimitados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Multi-tenant nativo</w:t>
            </w:r>
          </w:p>
        </w:tc>
      </w:tr>
      <w:tr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500 eventos/dia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Eventos ilimitados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SSO / LDAP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Painel de gerenciamento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Dashboard básico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Todas as fases MITRE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SLA 99.9% / suporte 4h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White-label total</w:t>
            </w:r>
          </w:p>
        </w:tc>
      </w:tr>
      <w:tr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Alertas por e-mail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Alertas WhatsApp/Telegram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White-label disponível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Comissão 20% em revenda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Suporte via GitHub Issues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Relatórios PDF/Excel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Compliance reports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Suporte prioritário</w:t>
            </w:r>
          </w:p>
        </w:tc>
      </w:tr>
      <w:tr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Suporte em 24h (chat)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Onboarding dedicado</w:t>
            </w:r>
          </w:p>
        </w:tc>
        <w:tc>
          <w:tcPr>
            <w:tcW w:type="dxa" w:w="2351"/>
            <w:shd w:val="clear" w:color="auto" w:fill="F4F6FA"/>
          </w:tcPr>
          <w:p>
            <w:pPr>
              <w:jc w:val="center"/>
            </w:pPr>
            <w:r>
              <w:rPr>
                <w:sz w:val="18"/>
              </w:rPr>
              <w:t>Treinamento certificado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API GraphQL completa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1A3A5C"/>
        </w:rPr>
        <w:t>5.2 Canais de Aquisição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3A5C"/>
                <w:sz w:val="22"/>
              </w:rPr>
              <w:t>GitHub + Open Source  ★★★★★</w:t>
            </w:r>
          </w:p>
          <w:p>
            <w:pPr>
              <w:spacing w:after="0"/>
            </w:pPr>
            <w:r>
              <w:rPr>
                <w:color w:val="444455"/>
                <w:sz w:val="20"/>
              </w:rPr>
              <w:t>Publicar no GitHub com README profissional, badges de CI e demo ao vivo. Comunidade open source gera awareness orgânico e credibilidade. Alvo: 500 stars em 6 meses → leads qualificados de CISOs e DevSecOps.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3A5C"/>
                <w:sz w:val="22"/>
              </w:rPr>
              <w:t>Conteúdo Técnico (Blog/YouTube)  ★★★★☆</w:t>
            </w:r>
          </w:p>
          <w:p>
            <w:pPr>
              <w:spacing w:after="0"/>
            </w:pPr>
            <w:r>
              <w:rPr>
                <w:color w:val="444455"/>
                <w:sz w:val="20"/>
              </w:rPr>
              <w:t>Artigos: "Como detectar ransomware com Python", "MITRE ATT&amp;CK na prática". YouTube: demo setup em 5 minutos, walkthrough de dashboard. LinkedIn: posts sobre casos de uso reais, segurança para PMEs.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3A5C"/>
                <w:sz w:val="22"/>
              </w:rPr>
              <w:t>Parcerias com MSSPs  ★★★★★</w:t>
            </w:r>
          </w:p>
          <w:p>
            <w:pPr>
              <w:spacing w:after="0"/>
            </w:pPr>
            <w:r>
              <w:rPr>
                <w:color w:val="444455"/>
                <w:sz w:val="20"/>
              </w:rPr>
              <w:t>Programa de parceiros: revenue share de 20%, treinamento certificado, suporte técnico dedicado. Cada MSSP pode trazer 10–50 clientes finais. Foco inicial: 5 MSSPs parceiros em SP, RJ, 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3A5C"/>
                <w:sz w:val="22"/>
              </w:rPr>
              <w:t>Eventos de Segurança  ★★★☆☆</w:t>
            </w:r>
          </w:p>
          <w:p>
            <w:pPr>
              <w:spacing w:after="0"/>
            </w:pPr>
            <w:r>
              <w:rPr>
                <w:color w:val="444455"/>
                <w:sz w:val="20"/>
              </w:rPr>
              <w:t>Palestrar em eventos: Security BSides, ROADSEC, CERT.br, H2HC. Patrocinar capture-the-flag (CTF) competitions. Networking direto com CISOs e tomadores de decisão.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A"/>
          </w:tcPr>
          <w:p>
            <w:r>
              <w:rPr>
                <w:b/>
                <w:color w:val="1A3A5C"/>
                <w:sz w:val="22"/>
              </w:rPr>
              <w:t>Outbound B2B (LinkedIn Sales)  ★★★☆☆</w:t>
            </w:r>
          </w:p>
          <w:p>
            <w:pPr>
              <w:spacing w:after="0"/>
            </w:pPr>
            <w:r>
              <w:rPr>
                <w:color w:val="444455"/>
                <w:sz w:val="20"/>
              </w:rPr>
              <w:t>Prospecção direta: CISOs, CTOs e diretores de TI de empresas 100–2000 funcionários. Sequência: LinkedIn connection → mensagem personalizada → demo agendada. Meta: 50 demos/mês, conversão 10% → 5 novos clientes/mês.</w:t>
            </w:r>
          </w:p>
        </w:tc>
      </w:tr>
    </w:tbl>
    <w:p/>
    <w:p>
      <w:pPr>
        <w:pStyle w:val="Heading2"/>
        <w:jc w:val="left"/>
      </w:pPr>
      <w:r>
        <w:rPr>
          <w:color w:val="1A3A5C"/>
        </w:rPr>
        <w:t>5.3 Script de Vendas — Abordagem Consultiva</w:t>
      </w:r>
    </w:p>
    <w:p>
      <w:pPr>
        <w:spacing w:before="120" w:after="40"/>
        <w:jc w:val="left"/>
      </w:pPr>
      <w:r>
        <w:rPr>
          <w:b/>
          <w:i w:val="0"/>
          <w:color w:val="1F6FEB"/>
          <w:sz w:val="22"/>
        </w:rPr>
        <w:t>1. Abertura (2 min)</w:t>
      </w:r>
    </w:p>
    <w:p>
      <w:pPr>
        <w:spacing w:before="0" w:after="120"/>
        <w:jc w:val="left"/>
      </w:pPr>
      <w:r>
        <w:rPr>
          <w:b w:val="0"/>
          <w:i w:val="0"/>
          <w:color w:val="444455"/>
          <w:sz w:val="20"/>
        </w:rPr>
        <w:t>"Você monitora em tempo real o que está acontecendo na sua rede? A maioria dos ataques de ransomware fica invisível por 207 dias antes de ser detectada. O NetGuard IDS resolve isso."</w:t>
      </w:r>
    </w:p>
    <w:p>
      <w:pPr>
        <w:spacing w:before="120" w:after="40"/>
        <w:jc w:val="left"/>
      </w:pPr>
      <w:r>
        <w:rPr>
          <w:b/>
          <w:i w:val="0"/>
          <w:color w:val="1F6FEB"/>
          <w:sz w:val="22"/>
        </w:rPr>
        <w:t>2. Descoberta (10 min)</w:t>
      </w:r>
    </w:p>
    <w:p>
      <w:pPr>
        <w:spacing w:before="0" w:after="120"/>
        <w:jc w:val="left"/>
      </w:pPr>
      <w:r>
        <w:rPr>
          <w:b w:val="0"/>
          <w:i w:val="0"/>
          <w:color w:val="444455"/>
          <w:sz w:val="20"/>
        </w:rPr>
        <w:t>Perguntas: Quantos servidores você tem? Você já sofreu algum incidente? Usa alguma ferramenta de segurança hoje? Precisa de relatório para alguma auditoria? Qual seria o impacto de uma parada por ransomware por 24h?</w:t>
      </w:r>
    </w:p>
    <w:p>
      <w:pPr>
        <w:spacing w:before="120" w:after="40"/>
        <w:jc w:val="left"/>
      </w:pPr>
      <w:r>
        <w:rPr>
          <w:b/>
          <w:i w:val="0"/>
          <w:color w:val="1F6FEB"/>
          <w:sz w:val="22"/>
        </w:rPr>
        <w:t>3. Demo (15 min)</w:t>
      </w:r>
    </w:p>
    <w:p>
      <w:pPr>
        <w:spacing w:before="0" w:after="120"/>
        <w:jc w:val="left"/>
      </w:pPr>
      <w:r>
        <w:rPr>
          <w:b w:val="0"/>
          <w:i w:val="0"/>
          <w:color w:val="444455"/>
          <w:sz w:val="20"/>
        </w:rPr>
        <w:t>Mostrar: dashboard ao vivo com eventos, timeline de ataque MITRE ATT&amp;CK, alerta disparando no WhatsApp, bloqueio automático de IP malicioso, relatório de compliance exportado em 1 clique.</w:t>
      </w:r>
    </w:p>
    <w:p>
      <w:pPr>
        <w:spacing w:before="120" w:after="40"/>
        <w:jc w:val="left"/>
      </w:pPr>
      <w:r>
        <w:rPr>
          <w:b/>
          <w:i w:val="0"/>
          <w:color w:val="1F6FEB"/>
          <w:sz w:val="22"/>
        </w:rPr>
        <w:t>4. Proposta de Valor</w:t>
      </w:r>
    </w:p>
    <w:p>
      <w:pPr>
        <w:spacing w:before="0" w:after="120"/>
        <w:jc w:val="left"/>
      </w:pPr>
      <w:r>
        <w:rPr>
          <w:b w:val="0"/>
          <w:i w:val="0"/>
          <w:color w:val="444455"/>
          <w:sz w:val="20"/>
        </w:rPr>
        <w:t>ROI: "Um incidente de ransomware custa em média R$ 1,5M para PMEs brasileiras (downtime + recuperação). O NetGuard Pro custa R$ 990/mês = R$ 11.880/ano. Você está pagando menos de 1% do custo de um incidente para preveni-lo."</w:t>
      </w:r>
    </w:p>
    <w:p>
      <w:pPr>
        <w:spacing w:before="120" w:after="40"/>
        <w:jc w:val="left"/>
      </w:pPr>
      <w:r>
        <w:rPr>
          <w:b/>
          <w:i w:val="0"/>
          <w:color w:val="1F6FEB"/>
          <w:sz w:val="22"/>
        </w:rPr>
        <w:t>5. Fechamento</w:t>
      </w:r>
    </w:p>
    <w:p>
      <w:pPr>
        <w:spacing w:before="0" w:after="120"/>
        <w:jc w:val="left"/>
      </w:pPr>
      <w:r>
        <w:rPr>
          <w:b w:val="0"/>
          <w:i w:val="0"/>
          <w:color w:val="444455"/>
          <w:sz w:val="20"/>
        </w:rPr>
        <w:t>Oferecer trial gratuito de 30 dias. Proposta em PDF em 24h. Onboarding em 48h com suporte dedicado. Garantia: "Se em 30 dias não detectarmos ao menos 1 tentativa de intrusão, devolvemos o valor."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6. Métricas &amp; OKRs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Como medir o sucesso do produto e do negócio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1A7A3C"/>
          <w:sz w:val="26"/>
        </w:rPr>
        <w:t>Objetivo 1: Tração de Produto (Q2 2026)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Key Result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GitHub Stars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A7A3C"/>
                <w:sz w:val="20"/>
              </w:rPr>
              <w:t>500+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Awareness na comunidade dev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Instâncias Docker ativas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b/>
                <w:color w:val="1A7A3C"/>
                <w:sz w:val="20"/>
              </w:rPr>
              <w:t>200+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Adoção real em produção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Demo requests/mês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A7A3C"/>
                <w:sz w:val="20"/>
              </w:rPr>
              <w:t>50+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Topo de funil comercial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NPS de early adopters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b/>
                <w:color w:val="1A7A3C"/>
                <w:sz w:val="20"/>
              </w:rPr>
              <w:t>&gt; 40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Satisfação e boca-a-boca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1F6FEB"/>
          <w:sz w:val="26"/>
        </w:rPr>
        <w:t>Objetivo 2: Receita (Q3 2026)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Key Result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MRR (Monthly Recurring Revenue)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F6FEB"/>
                <w:sz w:val="20"/>
              </w:rPr>
              <w:t>R$ 25k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25 clientes Pro ou 5 Enterprise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Clientes pagantes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b/>
                <w:color w:val="1F6FEB"/>
                <w:sz w:val="20"/>
              </w:rPr>
              <w:t>30+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Base para crescimento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Churn mensal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F6FEB"/>
                <w:sz w:val="20"/>
              </w:rPr>
              <w:t>&lt; 3%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Retenção saudável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CAC (Custo de Aquisição)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b/>
                <w:color w:val="1F6FEB"/>
                <w:sz w:val="20"/>
              </w:rPr>
              <w:t>&lt; R$ 800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Payback em &lt; 1 mês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D47000"/>
          <w:sz w:val="26"/>
        </w:rPr>
        <w:t>Objetivo 3: Parceria MSSP (Q4 2026)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Key Result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135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MSSPs parceiros ativos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D47000"/>
                <w:sz w:val="20"/>
              </w:rPr>
              <w:t>5+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Canal de distribuição alavancado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Clientes via MSSP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b/>
                <w:color w:val="D47000"/>
                <w:sz w:val="20"/>
              </w:rPr>
              <w:t>50+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Receita indireta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White-label implantado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D47000"/>
                <w:sz w:val="20"/>
              </w:rPr>
              <w:t>2+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Diferenciação de produto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ARR projetado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b/>
                <w:color w:val="D47000"/>
                <w:sz w:val="20"/>
              </w:rPr>
              <w:t>R$ 500k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Viabilidade de Series 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A3A5C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30"/>
              </w:rPr>
              <w:t>7. Próximos Passos</w:t>
            </w:r>
          </w:p>
          <w:p>
            <w:pPr>
              <w:jc w:val="left"/>
            </w:pPr>
            <w:r>
              <w:rPr>
                <w:color w:val="AACCFF"/>
                <w:sz w:val="20"/>
              </w:rPr>
              <w:t>Ações imediatas para os próximos 30 dias</w:t>
            </w:r>
          </w:p>
        </w:tc>
      </w:tr>
    </w:tbl>
    <w:p/>
    <w:p>
      <w:pPr>
        <w:spacing w:before="120" w:after="40"/>
        <w:jc w:val="left"/>
      </w:pPr>
      <w:r>
        <w:rPr>
          <w:b/>
          <w:i w:val="0"/>
          <w:color w:val="1A3A5C"/>
          <w:sz w:val="24"/>
        </w:rPr>
        <w:t>Semana 1</w:t>
      </w:r>
    </w:p>
    <w:p>
      <w:pPr>
        <w:pStyle w:val="ListBullet"/>
        <w:spacing w:after="60"/>
        <w:ind w:left="360"/>
      </w:pPr>
      <w:r>
        <w:rPr>
          <w:sz w:val="22"/>
        </w:rPr>
        <w:t>Publicar repositório GitHub público com README profissional e demo GIF</w:t>
      </w:r>
    </w:p>
    <w:p>
      <w:pPr>
        <w:pStyle w:val="ListBullet"/>
        <w:spacing w:after="60"/>
        <w:ind w:left="360"/>
      </w:pPr>
      <w:r>
        <w:rPr>
          <w:sz w:val="22"/>
        </w:rPr>
        <w:t>Configurar landing page (Notion ou Webflow) com formulário de interesse</w:t>
      </w:r>
    </w:p>
    <w:p>
      <w:pPr>
        <w:pStyle w:val="ListBullet"/>
        <w:spacing w:after="60"/>
        <w:ind w:left="360"/>
      </w:pPr>
      <w:r>
        <w:rPr>
          <w:sz w:val="22"/>
        </w:rPr>
        <w:t>Postar no LinkedIn: "Construindo um IDS open source em Python"</w:t>
      </w:r>
    </w:p>
    <w:p>
      <w:pPr>
        <w:spacing w:before="120" w:after="40"/>
        <w:jc w:val="left"/>
      </w:pPr>
      <w:r>
        <w:rPr>
          <w:b/>
          <w:i w:val="0"/>
          <w:color w:val="1A3A5C"/>
          <w:sz w:val="24"/>
        </w:rPr>
        <w:t>Semana 2</w:t>
      </w:r>
    </w:p>
    <w:p>
      <w:pPr>
        <w:pStyle w:val="ListBullet"/>
        <w:spacing w:after="60"/>
        <w:ind w:left="360"/>
      </w:pPr>
      <w:r>
        <w:rPr>
          <w:sz w:val="22"/>
        </w:rPr>
        <w:t>Implementar notificações WhatsApp/Telegram (Fase 1 do roadmap)</w:t>
      </w:r>
    </w:p>
    <w:p>
      <w:pPr>
        <w:pStyle w:val="ListBullet"/>
        <w:spacing w:after="60"/>
        <w:ind w:left="360"/>
      </w:pPr>
      <w:r>
        <w:rPr>
          <w:sz w:val="22"/>
        </w:rPr>
        <w:t>Criar vídeo demo de 3 minutos para YouTube</w:t>
      </w:r>
    </w:p>
    <w:p>
      <w:pPr>
        <w:pStyle w:val="ListBullet"/>
        <w:spacing w:after="60"/>
        <w:ind w:left="360"/>
      </w:pPr>
      <w:r>
        <w:rPr>
          <w:sz w:val="22"/>
        </w:rPr>
        <w:t>Identificar e contatar 3 MSSPs potenciais para parceria</w:t>
      </w:r>
    </w:p>
    <w:p>
      <w:pPr>
        <w:spacing w:before="120" w:after="40"/>
        <w:jc w:val="left"/>
      </w:pPr>
      <w:r>
        <w:rPr>
          <w:b/>
          <w:i w:val="0"/>
          <w:color w:val="1A3A5C"/>
          <w:sz w:val="24"/>
        </w:rPr>
        <w:t>Semana 3</w:t>
      </w:r>
    </w:p>
    <w:p>
      <w:pPr>
        <w:pStyle w:val="ListBullet"/>
        <w:spacing w:after="60"/>
        <w:ind w:left="360"/>
      </w:pPr>
      <w:r>
        <w:rPr>
          <w:sz w:val="22"/>
        </w:rPr>
        <w:t>Lançar plano Pro com trial de 30 dias (integrar Stripe)</w:t>
      </w:r>
    </w:p>
    <w:p>
      <w:pPr>
        <w:pStyle w:val="ListBullet"/>
        <w:spacing w:after="60"/>
        <w:ind w:left="360"/>
      </w:pPr>
      <w:r>
        <w:rPr>
          <w:sz w:val="22"/>
        </w:rPr>
        <w:t>Escrever primeiro artigo técnico: "Detectando ransomware com MITRE ATT&amp;CK"</w:t>
      </w:r>
    </w:p>
    <w:p>
      <w:pPr>
        <w:pStyle w:val="ListBullet"/>
        <w:spacing w:after="60"/>
        <w:ind w:left="360"/>
      </w:pPr>
      <w:r>
        <w:rPr>
          <w:sz w:val="22"/>
        </w:rPr>
        <w:t>Agendar 5 demos com leads iniciais</w:t>
      </w:r>
    </w:p>
    <w:p>
      <w:pPr>
        <w:spacing w:before="120" w:after="40"/>
        <w:jc w:val="left"/>
      </w:pPr>
      <w:r>
        <w:rPr>
          <w:b/>
          <w:i w:val="0"/>
          <w:color w:val="1A3A5C"/>
          <w:sz w:val="24"/>
        </w:rPr>
        <w:t>Semana 4</w:t>
      </w:r>
    </w:p>
    <w:p>
      <w:pPr>
        <w:pStyle w:val="ListBullet"/>
        <w:spacing w:after="60"/>
        <w:ind w:left="360"/>
      </w:pPr>
      <w:r>
        <w:rPr>
          <w:sz w:val="22"/>
        </w:rPr>
        <w:t>Coletar feedback dos primeiros 10 usuários (NPS)</w:t>
      </w:r>
    </w:p>
    <w:p>
      <w:pPr>
        <w:pStyle w:val="ListBullet"/>
        <w:spacing w:after="60"/>
        <w:ind w:left="360"/>
      </w:pPr>
      <w:r>
        <w:rPr>
          <w:sz w:val="22"/>
        </w:rPr>
        <w:t>Priorizar backlog da Fase 1 com base no feedback</w:t>
      </w:r>
    </w:p>
    <w:p>
      <w:pPr>
        <w:pStyle w:val="ListBullet"/>
        <w:spacing w:after="60"/>
        <w:ind w:left="360"/>
      </w:pPr>
      <w:r>
        <w:rPr>
          <w:sz w:val="22"/>
        </w:rPr>
        <w:t>Meta: 1 cliente pagante ou 1 MSSP parceiro assinado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</w:tcPr>
          <w:p>
            <w:pPr>
              <w:jc w:val="center"/>
            </w:pPr>
            <w:r>
              <w:rPr>
                <w:color w:val="AABBDD"/>
                <w:sz w:val="18"/>
              </w:rPr>
              <w:t>NetGuard IDS  ·  Documento confidencial  ·  Abril 2026  ·  v1.0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