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Geschäftsmodell für ein KI-gestütztes Architekturbüro</w:t>
      </w:r>
    </w:p>
    <w:p>
      <w:r>
        <w:t>Raphael Jans Architekten ETH (JANS) · 15.07.2026</w:t>
      </w:r>
    </w:p>
    <w:p>
      <w:r>
        <w:t>Grundlage: die fünf Strategiepapiere (Investitionsplan AI Hub, Leitfaden KI-Integration,</w:t>
      </w:r>
    </w:p>
    <w:p>
      <w:r>
        <w:t>MCP-nativer AI Hub, Ressourcen Claude Code, Typologischer KI-Entwurfsprozess), der</w:t>
      </w:r>
    </w:p>
    <w:p>
      <w:r>
        <w:t>Ist-Stand des JANS AI Hub (48 Skills, 30 Agenten, 17 Wissensbasen, 4 Katalog-Services)</w:t>
      </w:r>
    </w:p>
    <w:p>
      <w:r>
        <w:t>und der Synergie-Erstlauf vom 15.07.2026 (SYN-01 bis SYN-12).</w:t>
      </w:r>
    </w:p>
    <w:p>
      <w:pPr>
        <w:pStyle w:val="Heading2"/>
      </w:pPr>
      <w:r>
        <w:t>1. Ausgangslage: Was das Büro heute schon besitzt</w:t>
      </w:r>
    </w:p>
    <w:p>
      <w:r>
        <w:t>Der Hub ist kein Werkzeugkasten mehr, sondern ein Betriebssystem mit vier Schichten:</w:t>
      </w:r>
    </w:p>
    <w:p>
      <w:r>
        <w:t>Fähigkeiten (Skills), Verhalten (Rules), Wissen (kompoundierende KBs) und Aufsicht</w:t>
      </w:r>
    </w:p>
    <w:p>
      <w:r>
        <w:t>(Logbuch, Hub-Chef, neu der Synergie-Orchestrator). Zwei durchgehende</w:t>
      </w:r>
    </w:p>
    <w:p>
      <w:r>
        <w:t>Wertschöpfungsketten sind produktiv: die Studien-Pipeline (Geodaten → Baurecht/Volumen → 3D →</w:t>
      </w:r>
    </w:p>
    <w:p>
      <w:r>
        <w:t>Grobkosten → interaktives Studio) und das Bauleitungs-Backend (Unternehmerfindung →</w:t>
      </w:r>
    </w:p>
    <w:p>
      <w:r>
        <w:t>Ausschreibung → Offertenprüfung → Werkvertrag → Kontrolle → Kostenkontrolle). Dazu</w:t>
      </w:r>
    </w:p>
    <w:p>
      <w:r>
        <w:t>kommen die Wettbewerbs-DNA (12 analysierte Teilnahmen, maschinenlesbare Parameter-Sets)</w:t>
      </w:r>
    </w:p>
    <w:p>
      <w:r>
        <w:t>und der Twin-Harness als Stimme des Büros.</w:t>
      </w:r>
    </w:p>
    <w:p>
      <w:r>
        <w:t>Der entscheidende Unterschied zu einem konventionellen Büro: Jeder Auftrag hinterlässt</w:t>
      </w:r>
    </w:p>
    <w:p>
      <w:r>
        <w:t>strukturiertes Wissen (Kennwerte, Norm-Destillate, Baurechts-Artikel, Auflagen-Muster).</w:t>
      </w:r>
    </w:p>
    <w:p>
      <w:r>
        <w:t>Die Grenzkosten der nächsten Studie sinken mit jeder erledigten. Das ist der ökonomische</w:t>
      </w:r>
    </w:p>
    <w:p>
      <w:r>
        <w:t>Kern, auf dem alle folgenden Modelle aufbauen.</w:t>
      </w:r>
    </w:p>
    <w:p>
      <w:pPr>
        <w:pStyle w:val="Heading2"/>
      </w:pPr>
      <w:r>
        <w:t>2. Sechs Geschäftsmodell-Bausteine</w:t>
      </w:r>
    </w:p>
    <w:p>
      <w:pPr>
        <w:pStyle w:val="Heading3"/>
      </w:pPr>
      <w:r>
        <w:t>GM1: Produktisierte Studien (heute: Katalog S1 bis S4)</w:t>
      </w:r>
    </w:p>
    <w:p>
      <w:r>
        <w:t>Machbarkeits-Studio, Immobilienbewertung, Ankaufsprüfung/TDD und Bauleitungs-Backend</w:t>
      </w:r>
    </w:p>
    <w:p>
      <w:r>
        <w:t>sind als Fixpreis-Produkte mit Startbefehl und 1 bis 3 Tagen Durchlaufzeit definiert.</w:t>
      </w:r>
    </w:p>
    <w:p>
      <w:r>
        <w:t>Geschäftslogik: Festpreis statt Stundenhonorar, weil die Pipeline den Aufwand trägt.</w:t>
      </w:r>
    </w:p>
    <w:p>
      <w:r>
        <w:t>Der Preis bleibt marktüblich, die Marge wächst mit jedem Compounding-Zyklus.</w:t>
      </w:r>
    </w:p>
    <w:p>
      <w:r>
        <w:t>Nächster Schritt: konsequent über den Hub-Chef gegen eingehende Anfragen matchen und</w:t>
      </w:r>
    </w:p>
    <w:p>
      <w:r>
        <w:t>je Service eine Standard-Offerte (honorarberechnung-sia102) hinterlegen.</w:t>
      </w:r>
    </w:p>
    <w:p>
      <w:pPr>
        <w:pStyle w:val="Heading3"/>
      </w:pPr>
      <w:r>
        <w:t>GM2: Typologischer KI-Entwurfsprozess (der neue Kern, aus SYN-02)</w:t>
      </w:r>
    </w:p>
    <w:p>
      <w:r>
        <w:t>Das Papier «Typologischer KI-Entwurfsprozess» beschreibt, was der Hub strukturell schon</w:t>
      </w:r>
    </w:p>
    <w:p>
      <w:r>
        <w:t>kann, aber noch nicht verdrahtet hat: Aus der Wettbewerbs-DNA und den Entwurfs-Referenzen</w:t>
      </w:r>
    </w:p>
    <w:p>
      <w:r>
        <w:t>(JSON-Parameter-Sets je Bauaufgabe) werden Entwurfsvarianten nicht mehr nur baurechtlich</w:t>
      </w:r>
    </w:p>
    <w:p>
      <w:r>
        <w:t>maximiert, sondern typologisch informiert erzeugt und über den Konformitäts-Loop des</w:t>
      </w:r>
    </w:p>
    <w:p>
      <w:r>
        <w:t>Wettbewerbs-Harness (Soll/Ist-Ampel gegen das Programm) iterativ verbessert.</w:t>
      </w:r>
    </w:p>
    <w:p>
      <w:r>
        <w:t>Der Prozess in fünf Schritten: (1) Bauaufgabe erkennen und Parameter-Set aus der DNA-KB</w:t>
      </w:r>
    </w:p>
    <w:p>
      <w:r>
        <w:t>ziehen, (2) Varianten über die Volumen-Pipeline generieren (echte swisstopo-Grundlagen),</w:t>
      </w:r>
    </w:p>
    <w:p>
      <w:r>
        <w:t>(3) jede Variante gegen Programm, Baurecht und Flächennachweis SIA 416 ampeln,</w:t>
      </w:r>
    </w:p>
    <w:p>
      <w:r>
        <w:t>(4) Grobkosten und Residualwert je Variante live rechnen, (5) der Architekt entscheidet</w:t>
      </w:r>
    </w:p>
    <w:p>
      <w:r>
        <w:t>am Parti (Human Gate), die Maschine liefert den geprüften Möglichkeitsraum.</w:t>
      </w:r>
    </w:p>
    <w:p>
      <w:r>
        <w:t>Verkaufbar in zwei Formen: als schnellere, breitere Variantenstudie für Bauherren</w:t>
      </w:r>
    </w:p>
    <w:p>
      <w:r>
        <w:t>(mehr geprüfte Varianten zum gleichen Honorar) und als Wettbewerbs-Fabrik (GM3).</w:t>
      </w:r>
    </w:p>
    <w:p>
      <w:r>
        <w:t>Umsetzung: als Spec aufgleisen, sobald das Wochenlimit zurückgesetzt ist.</w:t>
      </w:r>
    </w:p>
    <w:p>
      <w:pPr>
        <w:pStyle w:val="Heading3"/>
      </w:pPr>
      <w:r>
        <w:t>GM3: Wettbewerbs-Fabrik (aus SYN-03)</w:t>
      </w:r>
    </w:p>
    <w:p>
      <w:r>
        <w:t>Wettbewerbe sind für kleine Büros ein Lotterie-Modell mit hohen Fixkosten. Der Harness</w:t>
      </w:r>
    </w:p>
    <w:p>
      <w:r>
        <w:t>senkt die Kosten pro Teilnahme (Programm-Extraktion, Flächennachweis,</w:t>
      </w:r>
    </w:p>
    <w:p>
      <w:r>
        <w:t>Konformitäts-Schleife, Bericht, Plakat-Gerüst), also steigt die tragbare Teilnahmefrequenz bei</w:t>
      </w:r>
    </w:p>
    <w:p>
      <w:r>
        <w:t>gleicher Personalstärke. Zwei Erlösformen: eigene Teilnahmen (Auftrags-Chance plus</w:t>
      </w:r>
    </w:p>
    <w:p>
      <w:r>
        <w:t>2.-Platz-Reputation kompoundiert in der DNA-KB) und Zulieferung für Partnerbüros</w:t>
      </w:r>
    </w:p>
    <w:p>
      <w:r>
        <w:t>(Flächennachweis und Programm-Konformitätsprüfung als diskrete Dienstleistung, ohne</w:t>
      </w:r>
    </w:p>
    <w:p>
      <w:r>
        <w:t>eigenen Entwurfsanspruch). Katalog-Entwurf S5.</w:t>
      </w:r>
    </w:p>
    <w:p>
      <w:pPr>
        <w:pStyle w:val="Heading3"/>
      </w:pPr>
      <w:r>
        <w:t>GM4: Bauleitungs- und Studien-Backend für Dritte (aus SYN-11)</w:t>
      </w:r>
    </w:p>
    <w:p>
      <w:r>
        <w:t>Die meisten Büros haben keinen KI-Harness und werden in den nächsten Jahren keinen</w:t>
      </w:r>
    </w:p>
    <w:p>
      <w:r>
        <w:t>bauen (Leitfaden KI-Integration: Werkzeug-Adoption ja, Prozess-Integration selten).</w:t>
      </w:r>
    </w:p>
    <w:p>
      <w:r>
        <w:t>JANS kann die Backend-Stufen als White-Label-Service anbieten: LV/Devis,</w:t>
      </w:r>
    </w:p>
    <w:p>
      <w:r>
        <w:t>Submittenten-Shortlist, Offertenprüfung, Werkvertrag, Kostenkontrolle (pro Stufe</w:t>
      </w:r>
    </w:p>
    <w:p>
      <w:r>
        <w:t>bepreist, mit 0.5 bis 2 Tagen Durchlaufzeit). Der Kunde ist hier das andere Architekturbüro oder der</w:t>
      </w:r>
    </w:p>
    <w:p>
      <w:r>
        <w:t>Generalplaner, nicht der Bauherr. Voraussetzung: Stammdaten-Hygiene (SYN-05) und die</w:t>
      </w:r>
    </w:p>
    <w:p>
      <w:r>
        <w:t>Kennwerte-Rückflüsse (SYN-06), damit jeder Fremdauftrag die eigene DB weiter füttert.</w:t>
      </w:r>
    </w:p>
    <w:p>
      <w:pPr>
        <w:pStyle w:val="Heading3"/>
      </w:pPr>
      <w:r>
        <w:t>GM5: Wissens-Kompoundierung als Verteidigungsgraben</w:t>
      </w:r>
    </w:p>
    <w:p>
      <w:r>
        <w:t>Kennwerte-DB, Normen-Destillate, Baurechts-Bücher, Auflagen-Muster, Energie-FAQ: dieses</w:t>
      </w:r>
    </w:p>
    <w:p>
      <w:r>
        <w:t>belegte, versionierte Fachwissen ist der eigentliche Vermögenswert, den kein Mitbewerber</w:t>
      </w:r>
    </w:p>
    <w:p>
      <w:r>
        <w:t>kurzfristig kopieren kann. Geschäftslogik: nicht direkt verkaufen, sondern als Qualitäts-</w:t>
      </w:r>
    </w:p>
    <w:p>
      <w:r>
        <w:t>und Geschwindigkeitsvorsprung in GM1 bis GM4 einpreisen. Verbindliche Mechanik: jede</w:t>
      </w:r>
    </w:p>
    <w:p>
      <w:r>
        <w:t>Offerte, jede Schlussabrechnung, jeder Bauentscheid erzeugt einen Datenpunkt für die</w:t>
      </w:r>
    </w:p>
    <w:p>
      <w:r>
        <w:t>zuständige KB (SYN-01/06 umsetzen). Add-on-Produkt daraus: Energie-Vorabklärung als</w:t>
      </w:r>
    </w:p>
    <w:p>
      <w:r>
        <w:t>Fixpreis-Paket (Katalog-Entwurf S6, aus SYN-07).</w:t>
      </w:r>
    </w:p>
    <w:p>
      <w:pPr>
        <w:pStyle w:val="Heading3"/>
      </w:pPr>
      <w:r>
        <w:t>GM6: Interaktive Deliverables als Marktauftritt (aus SYN-09)</w:t>
      </w:r>
    </w:p>
    <w:p>
      <w:r>
        <w:t>Das Machbarkeits-Studio verwandelt das Verkaufsgespräch vom statischen PDF zum</w:t>
      </w:r>
    </w:p>
    <w:p>
      <w:r>
        <w:t>gemeinsamen Live-Durchrechnen. Das ist sichtbar anders als jeder Mitbewerber. Als</w:t>
      </w:r>
    </w:p>
    <w:p>
      <w:r>
        <w:t>Geschäftsmodell-Baustein heisst das: ein anonymisiertes Demo-Studio auf raphaeljans.ch,</w:t>
      </w:r>
    </w:p>
    <w:p>
      <w:r>
        <w:t>LinkedIn-Content-Säule «interaktiv statt PDF» (Marketing-Harness), und gehostete</w:t>
      </w:r>
    </w:p>
    <w:p>
      <w:r>
        <w:t>Kunden-Studios als kleiner wiederkehrender Posten (Hosting/Aktualisierung pro Objekt).</w:t>
      </w:r>
    </w:p>
    <w:p>
      <w:r>
        <w:t>Akquise-Kosten sinken, weil das Produkt selbst das Marketing ist.</w:t>
      </w:r>
    </w:p>
    <w:p>
      <w:pPr>
        <w:pStyle w:val="Heading2"/>
      </w:pPr>
      <w:r>
        <w:t>3. Der Loop: Wie neue Entwurfsprozesse erkannt und implementiert werden</w:t>
      </w:r>
    </w:p>
    <w:p>
      <w:r>
        <w:t>Damit das Büro nicht einmalig sechs Modelle definiert und dann stehen bleibt, ist die</w:t>
      </w:r>
    </w:p>
    <w:p>
      <w:r>
        <w:t>Erkennung institutionalisiert:</w:t>
      </w:r>
    </w:p>
    <w:p>
      <w:pPr>
        <w:pStyle w:val="ListNumber"/>
      </w:pPr>
      <w:r>
        <w:rPr>
          <w:b/>
        </w:rPr>
        <w:t>Beobachten:</w:t>
      </w:r>
      <w:r>
        <w:t xml:space="preserve"> Der Synergie-Orchestrator prüft periodisch alle Harnesse gegenseitig</w:t>
      </w:r>
    </w:p>
    <w:p>
      <w:r>
        <w:t xml:space="preserve">   (6 Prüf-Fragen: Ketten-Lücke, Doppelrechnung, Compounding-Lücke, Service-Kombination,</w:t>
      </w:r>
    </w:p>
    <w:p>
      <w:r>
        <w:t xml:space="preserve">   Entwurfsprozess-Potenzial, Redundanz) und führt das SYNERGIE-REGISTER.</w:t>
      </w:r>
    </w:p>
    <w:p>
      <w:pPr>
        <w:pStyle w:val="ListNumber"/>
      </w:pPr>
      <w:r>
        <w:rPr>
          <w:b/>
        </w:rPr>
        <w:t>Aufgleisen:</w:t>
      </w:r>
      <w:r>
        <w:t xml:space="preserve"> Befunde mit Geschäftspotenzial werden über die Spec-Methode zu einem</w:t>
      </w:r>
    </w:p>
    <w:p>
      <w:r>
        <w:t xml:space="preserve">   bestätigten Ziel (Schlüsselentscheide bei Raphael, Human Gate).</w:t>
      </w:r>
    </w:p>
    <w:p>
      <w:pPr>
        <w:pStyle w:val="ListNumber"/>
      </w:pPr>
      <w:r>
        <w:rPr>
          <w:b/>
        </w:rPr>
        <w:t>Bauen:</w:t>
      </w:r>
      <w:r>
        <w:t xml:space="preserve"> Umsetzung als Skill/Pipeline nach Skill-Contract, QS über korrektur + twin,</w:t>
      </w:r>
    </w:p>
    <w:p>
      <w:r>
        <w:t xml:space="preserve">   Verifikation über eine zweite Prüfinstanz.</w:t>
      </w:r>
    </w:p>
    <w:p>
      <w:pPr>
        <w:pStyle w:val="ListNumber"/>
      </w:pPr>
      <w:r>
        <w:rPr>
          <w:b/>
        </w:rPr>
        <w:t>Produktisieren:</w:t>
      </w:r>
      <w:r>
        <w:t xml:space="preserve"> Reife Prozesse werden als Katalog-Eintrag (services/KATALOG.md)</w:t>
      </w:r>
    </w:p>
    <w:p>
      <w:r>
        <w:t xml:space="preserve">   mit Startbefehl, Input, Durchlaufzeit und Preislogik verankert; der Hub-Chef matcht</w:t>
      </w:r>
    </w:p>
    <w:p>
      <w:r>
        <w:t xml:space="preserve">   eingehende Anfragen dagegen.</w:t>
      </w:r>
    </w:p>
    <w:p>
      <w:pPr>
        <w:pStyle w:val="ListNumber"/>
      </w:pPr>
      <w:r>
        <w:rPr>
          <w:b/>
        </w:rPr>
        <w:t>Kompoundieren:</w:t>
      </w:r>
      <w:r>
        <w:t xml:space="preserve"> Jeder Einsatz schreibt in die KBs zurück; der nächste</w:t>
      </w:r>
    </w:p>
    <w:p>
      <w:r>
        <w:t xml:space="preserve">   Orchestrator-Lauf findet die nächste Stufe.</w:t>
      </w:r>
    </w:p>
    <w:p>
      <w:r>
        <w:t>Rollenbild: Der Architekt bleibt Entwerfer und Entscheider (Parti, Haltung, Verhandlung);</w:t>
      </w:r>
    </w:p>
    <w:p>
      <w:r>
        <w:t>die KI übernimmt Möglichkeitsraum, Nachweis und Verwaltung. Das Honorarmodell wandert</w:t>
      </w:r>
    </w:p>
    <w:p>
      <w:r>
        <w:t>dabei schrittweise vom Zeitaufwand zum Ergebnispreis.</w:t>
      </w:r>
    </w:p>
    <w:p>
      <w:pPr>
        <w:pStyle w:val="Heading2"/>
      </w:pPr>
      <w:r>
        <w:t>4. Priorisierung und nächste Schritte</w:t>
      </w:r>
    </w:p>
    <w:p>
      <w:pPr>
        <w:pStyle w:val="ListNumber"/>
      </w:pPr>
      <w:r>
        <w:t>Kennwerte-Monopol umsetzen (SYN-01/06): geringer Aufwand, wirkt in allen Modellen.</w:t>
      </w:r>
    </w:p>
    <w:p>
      <w:pPr>
        <w:pStyle w:val="ListNumber"/>
      </w:pPr>
      <w:r>
        <w:t>GM2 als Spec aufgleisen (typologischer Entwurfsprozess, nach Limit-Reset am Montag).</w:t>
      </w:r>
    </w:p>
    <w:p>
      <w:pPr>
        <w:pStyle w:val="ListNumber"/>
      </w:pPr>
      <w:r>
        <w:t>Katalog-Entscheid Raphael: S5 Wettbewerbs-Fabrik und S6 Energie-Vorabklärung</w:t>
      </w:r>
    </w:p>
    <w:p>
      <w:r>
        <w:t xml:space="preserve">   aktivieren oder zurückstellen.</w:t>
      </w:r>
    </w:p>
    <w:p>
      <w:pPr>
        <w:pStyle w:val="ListNumber"/>
      </w:pPr>
      <w:r>
        <w:t>Demo-Studio für die Website auswählen und anonymisieren (GM6).</w:t>
      </w:r>
    </w:p>
    <w:p>
      <w:pPr>
        <w:pStyle w:val="ListNumber"/>
      </w:pPr>
      <w:r>
        <w:t>Vorabklärung↔Auflagen-Loop schliessen (SYN-04) im nächsten KISPI-nahen Projektfall.</w:t>
      </w:r>
    </w:p>
    <w:p>
      <w:r>
        <w:t xml:space="preserve">Verzeichnis der Befunde: </w:t>
      </w:r>
      <w:r>
        <w:rPr>
          <w:rFonts w:ascii="Consolas" w:hAnsi="Consolas"/>
          <w:sz w:val="20"/>
        </w:rPr>
        <w:t>wissen/koordination/SYNERGIE-REGISTER.md</w:t>
      </w:r>
      <w:r>
        <w:t xml:space="preserve"> · Orchestrator:</w:t>
      </w:r>
    </w:p>
    <w:p>
      <w:r>
        <w:rPr>
          <w:rFonts w:ascii="Consolas" w:hAnsi="Consolas"/>
          <w:sz w:val="20"/>
        </w:rPr>
        <w:t>skills/synergie-orchestrator/SKILL.md</w:t>
      </w:r>
      <w:r>
        <w:t xml:space="preserve"> · Laufbericht:</w:t>
      </w:r>
    </w:p>
    <w:p>
      <w:r>
        <w:rPr>
          <w:rFonts w:ascii="Consolas" w:hAnsi="Consolas"/>
          <w:sz w:val="20"/>
        </w:rPr>
        <w:t>wissen/koordination/outputs/2026-07-15_synergie-lauf-01.md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