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ambria" w:hAnsi="Cambria"/>
          <w:b/>
          <w:color w:val="000000"/>
          <w:sz w:val="36"/>
        </w:rPr>
        <w:t>Datenaustausch Architekt und Hub</w:t>
      </w:r>
    </w:p>
    <w:p>
      <w:pPr>
        <w:spacing w:before="0" w:after="40"/>
      </w:pPr>
      <w:r>
        <w:rPr>
          <w:rFonts w:ascii="Cambria" w:hAnsi="Cambria"/>
          <w:b/>
          <w:color w:val="000000"/>
          <w:sz w:val="22"/>
        </w:rPr>
        <w:t>Prinzip für die gemeinsame Bearbeitung der Machbarkeits- und Volumenstudie</w:t>
      </w:r>
    </w:p>
    <w:p>
      <w:pPr>
        <w:spacing w:before="0" w:after="200"/>
      </w:pPr>
      <w:r>
        <w:rPr>
          <w:rFonts w:ascii="Cambria" w:hAnsi="Cambria"/>
          <w:b w:val="0"/>
          <w:color w:val="000000"/>
          <w:sz w:val="20"/>
        </w:rPr>
        <w:t>Kanonisch auf dem NAS · docs/konzepte · 11. Juni 2026 · Raphael Jans Architekten ETH/SIA</w:t>
      </w:r>
    </w:p>
    <w:p>
      <w:pPr>
        <w:spacing w:before="280" w:after="80"/>
      </w:pPr>
      <w:r>
        <w:rPr>
          <w:rFonts w:ascii="Cambria" w:hAnsi="Cambria"/>
          <w:b/>
          <w:color w:val="000000"/>
          <w:sz w:val="24"/>
        </w:rPr>
        <w:t>1.  Worum es geht</w:t>
      </w:r>
    </w:p>
    <w:p>
      <w:pPr>
        <w:spacing w:before="0" w:after="120"/>
      </w:pPr>
      <w:r>
        <w:rPr>
          <w:rFonts w:ascii="Cambria" w:hAnsi="Cambria"/>
          <w:b w:val="0"/>
          <w:color w:val="000000"/>
          <w:sz w:val="22"/>
        </w:rPr>
        <w:t>Heute läuft die Volumenstudie in eine Richtung: Parameter → Volumen. Neu zeichnest Du selbst – Baufeld, Bauvolumen-Varianten, Firstrichtung, Höhenlinien – und der Hub liest das zurück, rechnet die Kennzahlen, baut das 3D-Modell und passt die Studie nach Deinen Vorgaben an. Damit das verlässlich und stationsübergreifend funktioniert, braucht es vier Dinge: einen gemeinsamen Referenzpunkt, eine feste Schichten-Ordnung, eine zentrale Ablage auf dem NAS und die saubere Anbindung der lokalen Programme (Cinema 4D, ArchiCAD, Rhino) samt Höhendaten.</w:t>
      </w:r>
    </w:p>
    <w:p>
      <w:pPr>
        <w:spacing w:before="280" w:after="80"/>
      </w:pPr>
      <w:r>
        <w:rPr>
          <w:rFonts w:ascii="Cambria" w:hAnsi="Cambria"/>
          <w:b/>
          <w:color w:val="000000"/>
          <w:sz w:val="24"/>
        </w:rPr>
        <w:t>2.  Wo alles lebt – die zentrale NAS-Architektur</w:t>
      </w:r>
    </w:p>
    <w:p>
      <w:pPr>
        <w:spacing w:before="0" w:after="80"/>
      </w:pPr>
      <w:r>
        <w:rPr>
          <w:rFonts w:ascii="Cambria" w:hAnsi="Cambria"/>
          <w:b w:val="0"/>
          <w:color w:val="000000"/>
          <w:sz w:val="22"/>
        </w:rPr>
        <w:t>Alles Konzeptionelle und alle geteilten Werkzeuge liegen kanonisch auf dem NAS. So sehen alle Stationen und AI-Modelle denselben aktuellen Stand: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bottom w:w="0" w:type="dxa"/>
          <w:left w:w="34" w:type="dxa"/>
          <w:right w:w="34" w:type="dxa"/>
        </w:tblCellMar>
      </w:tblPr>
      <w:tblGrid>
        <w:gridCol w:w="3968"/>
        <w:gridCol w:w="5669"/>
      </w:tblGrid>
      <w:tr>
        <w:tc>
          <w:tcPr>
            <w:tcW w:type="dxa" w:w="3969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/>
                <w:color w:val="000000"/>
                <w:sz w:val="20"/>
              </w:rPr>
              <w:t>Was</w:t>
            </w:r>
          </w:p>
        </w:tc>
        <w:tc>
          <w:tcPr>
            <w:tcW w:type="dxa" w:w="5669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/>
                <w:color w:val="000000"/>
                <w:sz w:val="20"/>
              </w:rPr>
              <w:t>Ort auf dem NAS</w:t>
            </w:r>
          </w:p>
        </w:tc>
      </w:tr>
      <w:tr>
        <w:tc>
          <w:tcPr>
            <w:tcW w:type="dxa" w:w="3969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Konzept-/Pipeline-Dokumente</w:t>
            </w:r>
          </w:p>
        </w:tc>
        <w:tc>
          <w:tcPr>
            <w:tcW w:type="dxa" w:w="5669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docs/konzepte/</w:t>
            </w:r>
          </w:p>
        </w:tc>
      </w:tr>
      <w:tr>
        <w:tc>
          <w:tcPr>
            <w:tcW w:type="dxa" w:w="3969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CAD-Connectoren (Cinema/Rhino/ArchiCAD/Terrain)</w:t>
            </w:r>
          </w:p>
        </w:tc>
        <w:tc>
          <w:tcPr>
            <w:tcW w:type="dxa" w:w="5669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connectors/cad/</w:t>
            </w:r>
          </w:p>
        </w:tc>
      </w:tr>
      <w:tr>
        <w:tc>
          <w:tcPr>
            <w:tcW w:type="dxa" w:w="3969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Geodaten-Connector</w:t>
            </w:r>
          </w:p>
        </w:tc>
        <w:tc>
          <w:tcPr>
            <w:tcW w:type="dxa" w:w="5669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skills/planungsgrundlagen/connectors/geo-zh.mjs</w:t>
            </w:r>
          </w:p>
        </w:tc>
      </w:tr>
      <w:tr>
        <w:tc>
          <w:tcPr>
            <w:tcW w:type="dxa" w:w="3969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Kartenportal-Wissen (PL-01-Ablage)</w:t>
            </w:r>
          </w:p>
        </w:tc>
        <w:tc>
          <w:tcPr>
            <w:tcW w:type="dxa" w:w="5669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wissen/planungsgrundlagen/wiki/…sharepoint-ablage.md</w:t>
            </w:r>
          </w:p>
        </w:tc>
      </w:tr>
      <w:tr>
        <w:tc>
          <w:tcPr>
            <w:tcW w:type="dxa" w:w="3969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Projekt-Austauschdateien (DXF/3D)</w:t>
            </w:r>
          </w:p>
        </w:tc>
        <w:tc>
          <w:tcPr>
            <w:tcW w:type="dxa" w:w="5669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Studienordner 05_Visualisierung/CAD-Austausch/</w:t>
            </w:r>
          </w:p>
        </w:tc>
      </w:tr>
    </w:tbl>
    <w:p>
      <w:pPr>
        <w:spacing w:before="80" w:after="120"/>
      </w:pPr>
      <w:r>
        <w:rPr>
          <w:rFonts w:ascii="Cambria" w:hAnsi="Cambria"/>
          <w:b w:val="0"/>
          <w:color w:val="000000"/>
          <w:sz w:val="22"/>
        </w:rPr>
        <w:t>Eine Lese-/Präsentationskopie (PDF) darf zusätzlich in den OneDrive-Output. Die Wahrheit bleibt das NAS – neu als Dauerregel hinterlegt.</w:t>
      </w:r>
    </w:p>
    <w:p>
      <w:pPr>
        <w:spacing w:before="280" w:after="80"/>
      </w:pPr>
      <w:r>
        <w:rPr>
          <w:rFonts w:ascii="Cambria" w:hAnsi="Cambria"/>
          <w:b/>
          <w:color w:val="000000"/>
          <w:sz w:val="24"/>
        </w:rPr>
        <w:t>3.  Baustein 1 – Der gemeinsame Referenzpunkt (Lage &amp; Position)</w:t>
      </w:r>
    </w:p>
    <w:p>
      <w:pPr>
        <w:spacing w:before="0" w:after="120"/>
      </w:pPr>
      <w:r>
        <w:rPr>
          <w:rFonts w:ascii="Cambria" w:hAnsi="Cambria"/>
          <w:b w:val="0"/>
          <w:color w:val="000000"/>
          <w:sz w:val="22"/>
        </w:rPr>
        <w:t>Alles steht in echten Landeskoordinaten LV95 (EPSG:2056). Unverrückbarer Bezug ist das amtliche Kataster-Polygon der Parzelle (über den Geo-Connector), dazu Koordinatenkreuz mit LV95-Werten, Nordpfeil, Nachbarparzellen und ein Infoblock (EGRID, Parzelle, Zone, Massstab, Einheit Meter). Lage und Position sind korrekt, weil sie aus der amtlichen Vermessung stammen – nicht aus einer Annahme.</w:t>
      </w:r>
    </w:p>
    <w:p>
      <w:pPr>
        <w:spacing w:before="280" w:after="80"/>
      </w:pPr>
      <w:r>
        <w:rPr>
          <w:rFonts w:ascii="Cambria" w:hAnsi="Cambria"/>
          <w:b/>
          <w:color w:val="000000"/>
          <w:sz w:val="24"/>
        </w:rPr>
        <w:t>4.  Baustein 2 – Der Schichtenvertrag (wer zeichnet wohin)</w:t>
      </w:r>
    </w:p>
    <w:p>
      <w:pPr>
        <w:spacing w:before="0" w:after="80"/>
      </w:pPr>
      <w:r>
        <w:rPr>
          <w:rFonts w:ascii="Cambria" w:hAnsi="Cambria"/>
          <w:b w:val="0"/>
          <w:color w:val="000000"/>
          <w:sz w:val="22"/>
        </w:rPr>
        <w:t>Eine einzige CAD-Datei, feste Layer in drei Klassen; jeder schreibt nur in seine Klasse.</w:t>
      </w:r>
    </w:p>
    <w:p>
      <w:pPr>
        <w:spacing w:before="0" w:after="20"/>
      </w:pPr>
      <w:r>
        <w:rPr>
          <w:rFonts w:ascii="Cambria" w:hAnsi="Cambria"/>
          <w:b/>
          <w:color w:val="000000"/>
          <w:sz w:val="20"/>
        </w:rPr>
        <w:t>BASIS_…  Hub erzeugt, Du veränderst nicht (geprüfte Grundlage):</w:t>
      </w:r>
    </w:p>
    <w:p>
      <w:pPr>
        <w:spacing w:before="0" w:after="80"/>
      </w:pPr>
      <w:r>
        <w:rPr>
          <w:rFonts w:ascii="Cambria" w:hAnsi="Cambria"/>
          <w:b w:val="0"/>
          <w:color w:val="000000"/>
          <w:sz w:val="20"/>
        </w:rPr>
        <w:t>PARZELLE, NACHBARN, GEBAEUDE_BESTAND, BAULINIE, GRENZABSTAND, GEWAESSER_WALD, HOEHENLINIEN, NORDPFEIL/KOORD, META.</w:t>
      </w:r>
    </w:p>
    <w:p>
      <w:pPr>
        <w:spacing w:before="0" w:after="20"/>
      </w:pPr>
      <w:r>
        <w:rPr>
          <w:rFonts w:ascii="Cambria" w:hAnsi="Cambria"/>
          <w:b/>
          <w:color w:val="000000"/>
          <w:sz w:val="20"/>
        </w:rPr>
        <w:t>EIN_…  Du zeichnest:</w:t>
      </w:r>
    </w:p>
    <w:p>
      <w:pPr>
        <w:spacing w:before="0" w:after="80"/>
      </w:pPr>
      <w:r>
        <w:rPr>
          <w:rFonts w:ascii="Cambria" w:hAnsi="Cambria"/>
          <w:b w:val="0"/>
          <w:color w:val="000000"/>
          <w:sz w:val="20"/>
        </w:rPr>
        <w:t>BAUFELD, VOL_A/_B/_C (Volumen-Grundriss je Variante, geschlossen), FIRST (Firstlinie, Richtung zählt), HOEHEN (Höhen-Etiketten), HOEHENLINIEN, NOTIZ.</w:t>
      </w:r>
    </w:p>
    <w:p>
      <w:pPr>
        <w:spacing w:before="0" w:after="20"/>
      </w:pPr>
      <w:r>
        <w:rPr>
          <w:rFonts w:ascii="Cambria" w:hAnsi="Cambria"/>
          <w:b/>
          <w:color w:val="000000"/>
          <w:sz w:val="20"/>
        </w:rPr>
        <w:t>AUS_…  Hub schreibt zurück:</w:t>
      </w:r>
    </w:p>
    <w:p>
      <w:pPr>
        <w:spacing w:before="0" w:after="80"/>
      </w:pPr>
      <w:r>
        <w:rPr>
          <w:rFonts w:ascii="Cambria" w:hAnsi="Cambria"/>
          <w:b w:val="0"/>
          <w:color w:val="000000"/>
          <w:sz w:val="20"/>
        </w:rPr>
        <w:t>VOL_KONTUR (Rückbestätigung), KENNZAHLEN (Baufeld m², GF, m³ GV, Geschosse, Ausnützung), KONFLIKT (z. B. Volumen über Baulinie).</w:t>
      </w:r>
    </w:p>
    <w:p>
      <w:pPr>
        <w:spacing w:before="0" w:after="120"/>
      </w:pPr>
      <w:r>
        <w:rPr>
          <w:rFonts w:ascii="Cambria" w:hAnsi="Cambria"/>
          <w:b w:val="0"/>
          <w:color w:val="000000"/>
          <w:sz w:val="22"/>
        </w:rPr>
        <w:t>Layernamen exakt (GROSS, Unterstrich), Einheit Meter, Flächen als geschlossene Polylinien – diese Striktheit macht das eindeutige maschinelle Auslesen möglich.</w:t>
      </w:r>
    </w:p>
    <w:p>
      <w:pPr>
        <w:spacing w:before="280" w:after="80"/>
      </w:pPr>
      <w:r>
        <w:rPr>
          <w:rFonts w:ascii="Cambria" w:hAnsi="Cambria"/>
          <w:b/>
          <w:color w:val="000000"/>
          <w:sz w:val="24"/>
        </w:rPr>
        <w:t>5.  Baustein 2b – Höhe &amp; Firstrichtung übergeben (2D → 3D)</w:t>
      </w:r>
    </w:p>
    <w:p>
      <w:pPr>
        <w:spacing w:before="0" w:after="40"/>
      </w:pPr>
      <w:r>
        <w:rPr>
          <w:rFonts w:ascii="Cambria" w:hAnsi="Cambria"/>
          <w:b w:val="0"/>
          <w:color w:val="000000"/>
          <w:sz w:val="22"/>
        </w:rPr>
        <w:t>Ein Grundriss hat keine Höhe. Je Volumen ein kurzes Etikett auf EIN_HOEHEN:</w:t>
      </w:r>
    </w:p>
    <w:p>
      <w:pPr>
        <w:spacing w:before="0" w:after="40"/>
      </w:pPr>
      <w:r>
        <w:rPr>
          <w:rFonts w:ascii="Cambria" w:hAnsi="Cambria"/>
          <w:b/>
          <w:color w:val="000000"/>
          <w:sz w:val="22"/>
        </w:rPr>
        <w:t>V-A | TH=12.50 | FH=16.20 | OKT=445.30</w:t>
      </w:r>
    </w:p>
    <w:p>
      <w:pPr>
        <w:spacing w:before="0" w:after="40"/>
      </w:pPr>
      <w:r>
        <w:rPr>
          <w:rFonts w:ascii="Cambria" w:hAnsi="Cambria"/>
          <w:b w:val="0"/>
          <w:color w:val="000000"/>
          <w:sz w:val="22"/>
        </w:rPr>
        <w:t>–  TH = Traufhöhe, FH = Firsthöhe (m über OK Terrain), OKT = Kote OK Terrain (m ü. M., optional).</w:t>
      </w:r>
    </w:p>
    <w:p>
      <w:pPr>
        <w:spacing w:before="40" w:after="120"/>
      </w:pPr>
      <w:r>
        <w:rPr>
          <w:rFonts w:ascii="Cambria" w:hAnsi="Cambria"/>
          <w:b w:val="0"/>
          <w:color w:val="000000"/>
          <w:sz w:val="22"/>
        </w:rPr>
        <w:t>Die Firstlinie auf EIN_FIRST gibt die Dachrichtung. Fehlt sie → Flachdach auf FH; fehlt das Etikett → Rückmeldung und markierte Annahme. Es wird nie eine Höhe erfunden.</w:t>
      </w:r>
    </w:p>
    <w:p>
      <w:pPr>
        <w:spacing w:before="280" w:after="80"/>
      </w:pPr>
      <w:r>
        <w:rPr>
          <w:rFonts w:ascii="Cambria" w:hAnsi="Cambria"/>
          <w:b/>
          <w:color w:val="000000"/>
          <w:sz w:val="24"/>
        </w:rPr>
        <w:t>6.  Höhen-/Topografie-Mechanismus (Zugriff auf die Höhenangaben)</w:t>
      </w:r>
    </w:p>
    <w:p>
      <w:pPr>
        <w:spacing w:before="0" w:after="80"/>
      </w:pPr>
      <w:r>
        <w:rPr>
          <w:rFonts w:ascii="Cambria" w:hAnsi="Cambria"/>
          <w:b w:val="0"/>
          <w:color w:val="000000"/>
          <w:sz w:val="22"/>
        </w:rPr>
        <w:t>Quelle der Wahrheit ist swissALTI3D des Bundes (login-frei, LV95), bezogen über den Geo-Connector und gekapselt in connectors/cad/terrain.sh. Drei Stufen je nach Zweck: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bottom w:w="0" w:type="dxa"/>
          <w:left w:w="34" w:type="dxa"/>
          <w:right w:w="34" w:type="dxa"/>
        </w:tblCellMar>
      </w:tblPr>
      <w:tblGrid>
        <w:gridCol w:w="1587"/>
        <w:gridCol w:w="5215"/>
        <w:gridCol w:w="2834"/>
      </w:tblGrid>
      <w:t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/>
                <w:color w:val="000000"/>
                <w:sz w:val="20"/>
              </w:rPr>
              <w:t>Stufe</w:t>
            </w:r>
          </w:p>
        </w:tc>
        <w:tc>
          <w:tcPr>
            <w:tcW w:type="dxa" w:w="5216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/>
                <w:color w:val="000000"/>
                <w:sz w:val="20"/>
              </w:rPr>
              <w:t>Was / wofür</w:t>
            </w:r>
          </w:p>
        </w:tc>
        <w:tc>
          <w:tcPr>
            <w:tcW w:type="dxa" w:w="2835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/>
                <w:color w:val="000000"/>
                <w:sz w:val="20"/>
              </w:rPr>
              <w:t>Befehl (terrain.sh)</w:t>
            </w:r>
          </w:p>
        </w:tc>
      </w:tr>
      <w:t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Punkt</w:t>
            </w:r>
          </w:p>
        </w:tc>
        <w:tc>
          <w:tcPr>
            <w:tcW w:type="dxa" w:w="5216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eine Kote (m ü. M.) an der Parzelle – OKT</w:t>
            </w:r>
          </w:p>
        </w:tc>
        <w:tc>
          <w:tcPr>
            <w:tcW w:type="dxa" w:w="2835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punkt --adresse "…"</w:t>
            </w:r>
          </w:p>
        </w:tc>
      </w:tr>
      <w:t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Höhenlinien</w:t>
            </w:r>
          </w:p>
        </w:tc>
        <w:tc>
          <w:tcPr>
            <w:tcW w:type="dxa" w:w="5216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Vektor-Höhenlinien als DXF (Layer BASIS_HOEHENLINIEN)</w:t>
            </w:r>
          </w:p>
        </w:tc>
        <w:tc>
          <w:tcPr>
            <w:tcW w:type="dxa" w:w="2835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hoehenlinien --adresse … --intervall 0.5</w:t>
            </w:r>
          </w:p>
        </w:tc>
      </w:tr>
      <w:t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Terrain-Mesh</w:t>
            </w:r>
          </w:p>
        </w:tc>
        <w:tc>
          <w:tcPr>
            <w:tcW w:type="dxa" w:w="5216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DTM 0.5 m als 3D-Boden für Cinema/Rhino</w:t>
            </w:r>
          </w:p>
        </w:tc>
        <w:tc>
          <w:tcPr>
            <w:tcW w:type="dxa" w:w="2835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dtm --adresse … --out …</w:t>
            </w:r>
          </w:p>
        </w:tc>
      </w:tr>
    </w:tbl>
    <w:p>
      <w:pPr>
        <w:spacing w:before="80" w:after="120"/>
      </w:pPr>
      <w:r>
        <w:rPr>
          <w:rFonts w:ascii="Cambria" w:hAnsi="Cambria"/>
          <w:b w:val="0"/>
          <w:color w:val="000000"/>
          <w:sz w:val="22"/>
        </w:rPr>
        <w:t>Höhenlinien-Mechanik: DTM-GeoTIFF beziehen → gdal_contour → DXF in LV95 → direkt auf den BASIS_HOEHENLINIEN-Layer. Ergänzend liegen fertige Höhenlinien-Pläne je Gemeinde unter PL - 01 Kartenportale / Hoehenlinie / &lt;Gemeinde&gt;. Setup-Schritt offen: brew install gdal (Punkt und DTM laufen schon, Vektor-Höhenlinien erst danach).</w:t>
      </w:r>
    </w:p>
    <w:p>
      <w:pPr>
        <w:spacing w:before="280" w:after="80"/>
      </w:pPr>
      <w:r>
        <w:rPr>
          <w:rFonts w:ascii="Cambria" w:hAnsi="Cambria"/>
          <w:b/>
          <w:color w:val="000000"/>
          <w:sz w:val="24"/>
        </w:rPr>
        <w:t>7.  Die CAD-Connectoren (lokal verbundene Programme)</w:t>
      </w:r>
    </w:p>
    <w:p>
      <w:pPr>
        <w:spacing w:before="0" w:after="80"/>
      </w:pPr>
      <w:r>
        <w:rPr>
          <w:rFonts w:ascii="Cambria" w:hAnsi="Cambria"/>
          <w:b w:val="0"/>
          <w:color w:val="000000"/>
          <w:sz w:val="22"/>
        </w:rPr>
        <w:t>Unter connectors/cad/ – Statuscheck mit: bash connectors/cad/cad-status.sh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bottom w:w="0" w:type="dxa"/>
          <w:left w:w="34" w:type="dxa"/>
          <w:right w:w="34" w:type="dxa"/>
        </w:tblCellMar>
      </w:tblPr>
      <w:tblGrid>
        <w:gridCol w:w="1587"/>
        <w:gridCol w:w="2154"/>
        <w:gridCol w:w="3174"/>
        <w:gridCol w:w="2721"/>
      </w:tblGrid>
      <w:t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/>
                <w:color w:val="000000"/>
                <w:sz w:val="20"/>
              </w:rPr>
              <w:t>Connector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/>
                <w:color w:val="000000"/>
                <w:sz w:val="20"/>
              </w:rPr>
              <w:t>Programm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/>
                <w:color w:val="000000"/>
                <w:sz w:val="20"/>
              </w:rPr>
              <w:t>Automation</w:t>
            </w:r>
          </w:p>
        </w:tc>
        <w:tc>
          <w:tcPr>
            <w:tcW w:type="dxa" w:w="2721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/>
                <w:color w:val="000000"/>
                <w:sz w:val="20"/>
              </w:rPr>
              <w:t>Lizenz (11.06.2026)</w:t>
            </w:r>
          </w:p>
        </w:tc>
      </w:tr>
      <w:t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cinema4d.sh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Cinema 4D 2026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headless (c4dpy + Render)</w:t>
            </w:r>
          </w:p>
        </w:tc>
        <w:tc>
          <w:tcPr>
            <w:tcW w:type="dxa" w:w="2721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Maxon-App-Login (GUI)</w:t>
            </w:r>
          </w:p>
        </w:tc>
      </w:tr>
      <w:t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rhino.sh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Rhino 8.27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headless + GUI-Open</w:t>
            </w:r>
          </w:p>
        </w:tc>
        <w:tc>
          <w:tcPr>
            <w:tcW w:type="dxa" w:w="2721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lizenziert</w:t>
            </w:r>
          </w:p>
        </w:tc>
      </w:tr>
      <w:t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archicad.sh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ArchiCAD 27/26/25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kein CLI → DXF/IFC</w:t>
            </w:r>
          </w:p>
        </w:tc>
        <w:tc>
          <w:tcPr>
            <w:tcW w:type="dxa" w:w="2721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CodeMeter läuft</w:t>
            </w:r>
          </w:p>
        </w:tc>
      </w:tr>
      <w:tr>
        <w:tc>
          <w:tcPr>
            <w:tcW w:type="dxa" w:w="1587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terrain.sh</w:t>
            </w:r>
          </w:p>
        </w:tc>
        <w:tc>
          <w:tcPr>
            <w:tcW w:type="dxa" w:w="2154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swissALTI3D</w:t>
            </w:r>
          </w:p>
        </w:tc>
        <w:tc>
          <w:tcPr>
            <w:tcW w:type="dxa" w:w="3175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Punkt/DTM/Höhenlinien</w:t>
            </w:r>
          </w:p>
        </w:tc>
        <w:tc>
          <w:tcPr>
            <w:tcW w:type="dxa" w:w="2721"/>
          </w:tcPr>
          <w:p>
            <w:pPr>
              <w:spacing w:after="20" w:line="288" w:lineRule="auto"/>
            </w:pPr>
            <w:r/>
            <w:r>
              <w:rPr>
                <w:rFonts w:ascii="Cambria" w:hAnsi="Cambria"/>
                <w:b w:val="0"/>
                <w:color w:val="000000"/>
                <w:sz w:val="20"/>
              </w:rPr>
              <w:t>login-frei</w:t>
            </w:r>
          </w:p>
        </w:tc>
      </w:tr>
    </w:tbl>
    <w:p>
      <w:pPr>
        <w:spacing w:before="80" w:after="80"/>
      </w:pPr>
      <w:r>
        <w:rPr>
          <w:rFonts w:ascii="Cambria" w:hAnsi="Cambria"/>
          <w:b w:val="0"/>
          <w:color w:val="000000"/>
          <w:sz w:val="22"/>
        </w:rPr>
        <w:t>Warum ArchiCAD nur über Dateiaustausch: ArchiCAD hat keine offizielle Headless-Automation (nur ein API zur laufenden GUI). Versionsneutral und verlässlich ist der DXF/IFC-Austausch – exakt der Schichtenvertrag. Cinema 4D und Rhino übernehmen die 3D-Stufe headless.</w:t>
      </w:r>
    </w:p>
    <w:p>
      <w:pPr>
        <w:spacing w:before="0" w:after="120"/>
      </w:pPr>
      <w:r>
        <w:rPr>
          <w:rFonts w:ascii="Cambria" w:hAnsi="Cambria"/>
          <w:b w:val="0"/>
          <w:color w:val="000000"/>
          <w:sz w:val="22"/>
        </w:rPr>
        <w:t>Lizenz-Modell: Cinema = Maxon-App-Login (nur in GUI aktivierbar; Connector meldet nur den Zustand). Rhino = lokale Lizenz, einmal aktiviert, läuft danach headless. ArchiCAD = CodeMeter/Graphisoft-ID, prüfen im License Manager Tool oder CodeMeter-WebAdmin (localhost:22350).</w:t>
      </w:r>
    </w:p>
    <w:p>
      <w:pPr>
        <w:spacing w:before="280" w:after="80"/>
      </w:pPr>
      <w:r>
        <w:rPr>
          <w:rFonts w:ascii="Cambria" w:hAnsi="Cambria"/>
          <w:b/>
          <w:color w:val="000000"/>
          <w:sz w:val="24"/>
        </w:rPr>
        <w:t>8.  Arbeitsablauf (hin &amp; zurück)</w:t>
      </w:r>
    </w:p>
    <w:p>
      <w:pPr>
        <w:spacing w:before="0" w:after="40"/>
      </w:pPr>
      <w:r>
        <w:rPr>
          <w:rFonts w:ascii="Cambria" w:hAnsi="Cambria"/>
          <w:b w:val="0"/>
          <w:color w:val="000000"/>
          <w:sz w:val="22"/>
        </w:rPr>
        <w:t>1.  Hub erzeugt die Grundlage-Datei: BASIS-Layer gefüllt (inkl. Höhenlinien), EIN-Layer leer angelegt, Legende → CAD-Austausch/00_Grundlage/.</w:t>
      </w:r>
    </w:p>
    <w:p>
      <w:pPr>
        <w:spacing w:before="0" w:after="40"/>
      </w:pPr>
      <w:r>
        <w:rPr>
          <w:rFonts w:ascii="Cambria" w:hAnsi="Cambria"/>
          <w:b w:val="0"/>
          <w:color w:val="000000"/>
          <w:sz w:val="22"/>
        </w:rPr>
        <w:t>2.  Du zeichnest in die EIN-Layer, speicherst als neue Version → 10_Raphael/.</w:t>
      </w:r>
    </w:p>
    <w:p>
      <w:pPr>
        <w:spacing w:before="0" w:after="40"/>
      </w:pPr>
      <w:r>
        <w:rPr>
          <w:rFonts w:ascii="Cambria" w:hAnsi="Cambria"/>
          <w:b w:val="0"/>
          <w:color w:val="000000"/>
          <w:sz w:val="22"/>
        </w:rPr>
        <w:t>3.  Hub liest, prüft, rechnet Kennzahlen, baut 3D, schreibt AUS-Layer zurück → 20_Rueck/. Studie wird angepasst; alte Stände → 99_Archiv/.</w:t>
      </w:r>
    </w:p>
    <w:p>
      <w:pPr>
        <w:spacing w:before="0" w:after="120"/>
      </w:pPr>
      <w:r>
        <w:rPr>
          <w:rFonts w:ascii="Cambria" w:hAnsi="Cambria"/>
          <w:b w:val="0"/>
          <w:color w:val="000000"/>
          <w:sz w:val="20"/>
        </w:rPr>
        <w:t>Dateiname nach JANS-Konvention mit Version: 260611-2699Grub-Grundlage-v01.dxf.</w:t>
      </w:r>
    </w:p>
    <w:p>
      <w:pPr>
        <w:spacing w:before="280" w:after="80"/>
      </w:pPr>
      <w:r>
        <w:rPr>
          <w:rFonts w:ascii="Cambria" w:hAnsi="Cambria"/>
          <w:b/>
          <w:color w:val="000000"/>
          <w:sz w:val="24"/>
        </w:rPr>
        <w:t>9.  Was der Hub beim Zurücklesen prüft</w:t>
      </w:r>
    </w:p>
    <w:p>
      <w:pPr>
        <w:spacing w:before="0" w:after="40"/>
      </w:pPr>
      <w:r>
        <w:rPr>
          <w:rFonts w:ascii="Cambria" w:hAnsi="Cambria"/>
          <w:b w:val="0"/>
          <w:color w:val="000000"/>
          <w:sz w:val="22"/>
        </w:rPr>
        <w:t>–  Layernamen exakt · Grundrisse geschlossen · Einheit Meter · LV95 plausibel.</w:t>
      </w:r>
    </w:p>
    <w:p>
      <w:pPr>
        <w:spacing w:before="0" w:after="40"/>
      </w:pPr>
      <w:r>
        <w:rPr>
          <w:rFonts w:ascii="Cambria" w:hAnsi="Cambria"/>
          <w:b w:val="0"/>
          <w:color w:val="000000"/>
          <w:sz w:val="22"/>
        </w:rPr>
        <w:t>–  Jedes Volumen hat ein Höhen-Etikett – sonst markierte Annahme.</w:t>
      </w:r>
    </w:p>
    <w:p>
      <w:pPr>
        <w:spacing w:before="0" w:after="40"/>
      </w:pPr>
      <w:r>
        <w:rPr>
          <w:rFonts w:ascii="Cambria" w:hAnsi="Cambria"/>
          <w:b w:val="0"/>
          <w:color w:val="000000"/>
          <w:sz w:val="22"/>
        </w:rPr>
        <w:t>–  Volumen im Baufeld, keine Baulinie überschritten – sonst Konfliktmarkierung.</w:t>
      </w:r>
    </w:p>
    <w:p>
      <w:pPr>
        <w:spacing w:before="40" w:after="120"/>
      </w:pPr>
      <w:r>
        <w:rPr>
          <w:rFonts w:ascii="Cambria" w:hAnsi="Cambria"/>
          <w:b w:val="0"/>
          <w:color w:val="000000"/>
          <w:sz w:val="22"/>
        </w:rPr>
        <w:t>Annahmen werden ausgewiesen; Identifikatoren (EGRID/Parzelle) nie erfunden.</w:t>
      </w:r>
    </w:p>
    <w:p>
      <w:pPr>
        <w:spacing w:before="280" w:after="80"/>
      </w:pPr>
      <w:r>
        <w:rPr>
          <w:rFonts w:ascii="Cambria" w:hAnsi="Cambria"/>
          <w:b/>
          <w:color w:val="000000"/>
          <w:sz w:val="24"/>
        </w:rPr>
        <w:t>10.  Dateiformat &amp; offene Setup-Schritte</w:t>
      </w:r>
    </w:p>
    <w:p>
      <w:pPr>
        <w:spacing w:before="0" w:after="80"/>
      </w:pPr>
      <w:r>
        <w:rPr>
          <w:rFonts w:ascii="Cambria" w:hAnsi="Cambria"/>
          <w:b w:val="0"/>
          <w:color w:val="000000"/>
          <w:sz w:val="22"/>
        </w:rPr>
        <w:t>Format: DXF (universell, jedes CAD) empfohlen; Rhino .3dm als Alternative, falls Du in Rhino arbeitest – selber Schichtenvertrag, ein Konvertierungsschritt weniger.</w:t>
      </w:r>
    </w:p>
    <w:p>
      <w:pPr>
        <w:spacing w:before="0" w:after="20"/>
      </w:pPr>
      <w:r>
        <w:rPr>
          <w:rFonts w:ascii="Cambria" w:hAnsi="Cambria"/>
          <w:b/>
          <w:color w:val="000000"/>
          <w:sz w:val="20"/>
        </w:rPr>
        <w:t>Offene Setup-Schritte:</w:t>
      </w:r>
    </w:p>
    <w:p>
      <w:pPr>
        <w:spacing w:before="0" w:after="40"/>
      </w:pPr>
      <w:r>
        <w:rPr>
          <w:rFonts w:ascii="Cambria" w:hAnsi="Cambria"/>
          <w:b w:val="0"/>
          <w:color w:val="000000"/>
          <w:sz w:val="20"/>
        </w:rPr>
        <w:t>–  brew install gdal (für Vektor-Höhenlinien)</w:t>
      </w:r>
    </w:p>
    <w:p>
      <w:pPr>
        <w:spacing w:before="0" w:after="40"/>
      </w:pPr>
      <w:r>
        <w:rPr>
          <w:rFonts w:ascii="Cambria" w:hAnsi="Cambria"/>
          <w:b w:val="0"/>
          <w:color w:val="000000"/>
          <w:sz w:val="20"/>
        </w:rPr>
        <w:t>–  venv ~/.venvs/volumen3d einrichten (rhino3dm/shapely; Sync-Task liegt vor)</w:t>
      </w:r>
    </w:p>
    <w:p>
      <w:pPr>
        <w:spacing w:before="0" w:after="40"/>
      </w:pPr>
      <w:r>
        <w:rPr>
          <w:rFonts w:ascii="Cambria" w:hAnsi="Cambria"/>
          <w:b w:val="0"/>
          <w:color w:val="000000"/>
          <w:sz w:val="20"/>
        </w:rPr>
        <w:t>–  Maxon-App-Login prüfen (für headless Cinema-Render)</w:t>
      </w:r>
    </w:p>
    <w:p>
      <w:pPr>
        <w:spacing w:before="0" w:after="40"/>
      </w:pPr>
      <w:r>
        <w:rPr>
          <w:rFonts w:ascii="Cambria" w:hAnsi="Cambria"/>
          <w:b w:val="0"/>
          <w:color w:val="000000"/>
          <w:sz w:val="20"/>
        </w:rPr>
        <w:t>–  Deine Entscheidung: Austauschformat DXF oder Rhino .3dm?</w:t>
      </w:r>
    </w:p>
    <w:p>
      <w:pPr>
        <w:spacing w:before="80" w:after="120"/>
      </w:pPr>
      <w:r>
        <w:rPr>
          <w:rFonts w:ascii="Cambria" w:hAnsi="Cambria"/>
          <w:b w:val="0"/>
          <w:color w:val="000000"/>
          <w:sz w:val="22"/>
        </w:rPr>
        <w:t>Danach: Pilot mit einer realen Parzelle, eine Variante zeichnen, Zyklus einmal komplett durchspielen → Rückkanal fest im Skill volumenstudie verankern.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color w:val="000000"/>
        <w:sz w:val="16"/>
      </w:rPr>
      <w:t xml:space="preserve">Raphael Jans Architekten ETH/SIA · CAD-Datenaustausch Machbarkeitsstudie (NAS-kanonisch) · Seite </w:t>
    </w:r>
    <w:r>
      <w:rPr>
        <w:rFonts w:ascii="Cambria" w:hAnsi="Cambria"/>
        <w:color w:val="000000"/>
        <w:sz w:val="16"/>
      </w:rPr>
      <w:fldChar w:fldCharType="begin"/>
      <w:instrText xml:space="preserve">PAGE</w:instrText>
      <w:fldChar w:fldCharType="end"/>
    </w:r>
    <w:r>
      <w:rPr>
        <w:rFonts w:ascii="Cambria" w:hAnsi="Cambria"/>
        <w:color w:val="000000"/>
        <w:sz w:val="16"/>
      </w:rPr>
      <w:t xml:space="preserve"> von </w:t>
    </w:r>
    <w:r>
      <w:rPr>
        <w:rFonts w:ascii="Cambria" w:hAnsi="Cambria"/>
        <w:color w:val="000000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0"/>
    </w:pPr>
    <w:rPr>
      <w:rFonts w:ascii="Cambria" w:hAnsi="Cambr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