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JANS AI Zentrum</w:t>
      </w:r>
    </w:p>
    <w:p>
      <w:r>
        <w:rPr>
          <w:b/>
        </w:rPr>
        <w:t>Anfrage an KI- und IT-Ingenieure: Neubau der IT-Architektur eines KI-gestützten Architekturbüros</w:t>
      </w:r>
    </w:p>
    <w:p>
      <w:r>
        <w:t>Raphael Jans Architekten ETH/SIA · Grubenstrasse 37 · 8045 Zürich · Stand 19.09.2026 · Vertraulich</w:t>
      </w:r>
    </w:p>
    <w:p>
      <w:pPr>
        <w:pStyle w:val="Heading2"/>
      </w:pPr>
      <w:r>
        <w:t>01 Worum es geht</w:t>
      </w:r>
    </w:p>
    <w:p>
      <w:r>
        <w:rPr>
          <w:b/>
        </w:rPr>
        <w:t>01.1 Ausgangslage.</w:t>
      </w:r>
      <w:r>
        <w:t xml:space="preserve"> Das Büro betreibt seit März 2026 eine selbst gebaute KI-Betriebsumgebung. Sie trägt Studien, Bauleitung, Korrespondenz, Buchhaltung und den Aufbau von Fachwissen: 51 Skills, 43 Agenten, 19 Wissensbasen, 19 Anbindungen an Umsysteme, rund 40 geplante Routinen auf drei Macs, einem NAS, Microsoft 365 und bexio. Gebaut hat sie der Inhaber zusammen mit der KI (Claude Code), ohne IT-Fachperson.</w:t>
      </w:r>
    </w:p>
    <w:p>
      <w:r>
        <w:rPr>
          <w:b/>
        </w:rPr>
        <w:t>01.2 Was gesucht ist.</w:t>
      </w:r>
      <w:r>
        <w:t xml:space="preserve"> Ein KI- und IT-Ingenieur, der die IT-Architektur darunter fachgerecht neu baut und danach betreut: das JANS AI Zentrum, ein Plattform-Hub mit mehreren Fach-Hubs. Die KI baut weiterhin die Fachinhalte, die Plattform darunter kommt künftig vom Spezialisten.</w:t>
      </w:r>
    </w:p>
    <w:p>
      <w:r>
        <w:rPr>
          <w:b/>
        </w:rPr>
        <w:t>01.3 Was bleibt, was ersetzt wird.</w:t>
      </w:r>
      <w:r>
        <w:t xml:space="preserve"> Die Fachsubstanz bleibt und liegt plattformneutral als Markdown und Code vor. Ersetzt wird der gewachsene «Betriebs-Klebstoff»: Dateifreigabe als Rückgrat der Automatik, Eigenbau-Sync, mehrere parallele Scheduler, selbst geschriebene Wächter, Schutz über Regeln statt über Technik.</w:t>
      </w:r>
    </w:p>
    <w:p>
      <w:r>
        <w:rPr>
          <w:b/>
        </w:rPr>
        <w:t>01.4 Ein kleiner Kern zuerst.</w:t>
      </w:r>
      <w:r>
        <w:t xml:space="preserve"> Stufe 1 beseitigt die kritischen Befunde einer vorliegenden Ist-Analyse auf möglichst wenig neuer Infrastruktur: ein Host, eine Datenbank, wenige gemanagte Dienste mit Standort Schweiz oder EU. Ausbaustufen folgen nur bei geschäftlichem Auslöser. Es ist ein mehrmonatiges Vorhaben, bestellt wird in Tranchen.</w:t>
      </w:r>
    </w:p>
    <w:p>
      <w:pPr>
        <w:pStyle w:val="Heading2"/>
      </w:pPr>
      <w:r>
        <w:t>02 Leistungspakete</w:t>
      </w:r>
    </w:p>
    <w:p>
      <w:r>
        <w:rPr>
          <w:b/>
        </w:rPr>
        <w:t>02.1 Übersicht.</w:t>
      </w:r>
      <w:r>
        <w:t xml:space="preserve"> Offeriert wird je Paket. Beauftragt wird zuerst nur AP0. AP0 bis AP10 bilden Stufe 1. AP11 bis AP14 (Studio-Hosting, Wissenssuche, Integrations-Hub, Team und Mandanten) sind Ausbaupakete.</w:t>
      </w:r>
    </w:p>
    <w:tbl>
      <w:tblPr>
        <w:tblW w:type="dxa" w:w="9639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3"/>
        <w:gridCol w:w="4025"/>
        <w:gridCol w:w="793"/>
        <w:gridCol w:w="4025"/>
      </w:tblGrid>
      <w:tr>
        <w:trPr>
          <w:cantSplit/>
          <w:tblHeader/>
        </w:trPr>
        <w:tc>
          <w:tcPr>
            <w:tcW w:type="dxa" w:w="794"/>
          </w:tcPr>
          <w:p>
            <w:pPr>
              <w:spacing w:line="276" w:lineRule="auto" w:after="60" w:before="20"/>
            </w:pPr>
            <w:r>
              <w:rPr>
                <w:rFonts w:ascii="Cambria" w:hAnsi="Cambria" w:cs="Cambria" w:eastAsia="Cambria"/>
                <w:b/>
                <w:sz w:val="20"/>
              </w:rPr>
              <w:t>Nr.</w:t>
            </w:r>
          </w:p>
        </w:tc>
        <w:tc>
          <w:tcPr>
            <w:tcW w:type="dxa" w:w="4025"/>
          </w:tcPr>
          <w:p>
            <w:pPr>
              <w:spacing w:line="276" w:lineRule="auto" w:after="60" w:before="20"/>
            </w:pPr>
            <w:r>
              <w:rPr>
                <w:rFonts w:ascii="Cambria" w:hAnsi="Cambria" w:cs="Cambria" w:eastAsia="Cambria"/>
                <w:b/>
                <w:sz w:val="20"/>
              </w:rPr>
              <w:t>Paket</w:t>
            </w:r>
          </w:p>
        </w:tc>
        <w:tc>
          <w:tcPr>
            <w:tcW w:type="dxa" w:w="794"/>
          </w:tcPr>
          <w:p>
            <w:pPr>
              <w:spacing w:line="276" w:lineRule="auto" w:after="60" w:before="20"/>
            </w:pPr>
            <w:r>
              <w:rPr>
                <w:rFonts w:ascii="Cambria" w:hAnsi="Cambria" w:cs="Cambria" w:eastAsia="Cambria"/>
                <w:b/>
                <w:sz w:val="20"/>
              </w:rPr>
              <w:t>Nr.</w:t>
            </w:r>
          </w:p>
        </w:tc>
        <w:tc>
          <w:tcPr>
            <w:tcW w:type="dxa" w:w="4025"/>
          </w:tcPr>
          <w:p>
            <w:pPr>
              <w:spacing w:line="276" w:lineRule="auto" w:after="60" w:before="20"/>
            </w:pPr>
            <w:r>
              <w:rPr>
                <w:rFonts w:ascii="Cambria" w:hAnsi="Cambria" w:cs="Cambria" w:eastAsia="Cambria"/>
                <w:b/>
                <w:sz w:val="20"/>
              </w:rPr>
              <w:t>Paket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line="276" w:lineRule="auto" w:after="60" w:before="20"/>
            </w:pPr>
            <w:r>
              <w:rPr>
                <w:rFonts w:ascii="Cambria" w:hAnsi="Cambria" w:cs="Cambria" w:eastAsia="Cambria"/>
                <w:sz w:val="20"/>
              </w:rPr>
              <w:t>AP0</w:t>
            </w:r>
          </w:p>
        </w:tc>
        <w:tc>
          <w:tcPr>
            <w:tcW w:type="dxa" w:w="4025"/>
          </w:tcPr>
          <w:p>
            <w:pPr>
              <w:spacing w:line="276" w:lineRule="auto" w:after="60" w:before="20"/>
            </w:pPr>
            <w:r>
              <w:rPr>
                <w:rFonts w:ascii="Cambria" w:hAnsi="Cambria" w:cs="Cambria" w:eastAsia="Cambria"/>
                <w:sz w:val="20"/>
              </w:rPr>
              <w:t>Audit, Zielarchitektur, Sofortmassnahmen</w:t>
            </w:r>
          </w:p>
        </w:tc>
        <w:tc>
          <w:tcPr>
            <w:tcW w:type="dxa" w:w="794"/>
          </w:tcPr>
          <w:p>
            <w:pPr>
              <w:spacing w:line="276" w:lineRule="auto" w:after="60" w:before="20"/>
            </w:pPr>
            <w:r>
              <w:rPr>
                <w:rFonts w:ascii="Cambria" w:hAnsi="Cambria" w:cs="Cambria" w:eastAsia="Cambria"/>
                <w:sz w:val="20"/>
              </w:rPr>
              <w:t>AP6</w:t>
            </w:r>
          </w:p>
        </w:tc>
        <w:tc>
          <w:tcPr>
            <w:tcW w:type="dxa" w:w="4025"/>
          </w:tcPr>
          <w:p>
            <w:pPr>
              <w:spacing w:line="276" w:lineRule="auto" w:after="60" w:before="20"/>
            </w:pPr>
            <w:r>
              <w:rPr>
                <w:rFonts w:ascii="Cambria" w:hAnsi="Cambria" w:cs="Cambria" w:eastAsia="Cambria"/>
                <w:sz w:val="20"/>
              </w:rPr>
              <w:t>Job-System und Agenten-Laufzeit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line="276" w:lineRule="auto" w:after="60" w:before="20"/>
            </w:pPr>
            <w:r>
              <w:rPr>
                <w:rFonts w:ascii="Cambria" w:hAnsi="Cambria" w:cs="Cambria" w:eastAsia="Cambria"/>
                <w:sz w:val="20"/>
              </w:rPr>
              <w:t>AP1</w:t>
            </w:r>
          </w:p>
        </w:tc>
        <w:tc>
          <w:tcPr>
            <w:tcW w:type="dxa" w:w="4025"/>
          </w:tcPr>
          <w:p>
            <w:pPr>
              <w:spacing w:line="276" w:lineRule="auto" w:after="60" w:before="20"/>
            </w:pPr>
            <w:r>
              <w:rPr>
                <w:rFonts w:ascii="Cambria" w:hAnsi="Cambria" w:cs="Cambria" w:eastAsia="Cambria"/>
                <w:sz w:val="20"/>
              </w:rPr>
              <w:t>Host, Netz, Geräte</w:t>
            </w:r>
          </w:p>
        </w:tc>
        <w:tc>
          <w:tcPr>
            <w:tcW w:type="dxa" w:w="794"/>
          </w:tcPr>
          <w:p>
            <w:pPr>
              <w:spacing w:line="276" w:lineRule="auto" w:after="60" w:before="20"/>
            </w:pPr>
            <w:r>
              <w:rPr>
                <w:rFonts w:ascii="Cambria" w:hAnsi="Cambria" w:cs="Cambria" w:eastAsia="Cambria"/>
                <w:sz w:val="20"/>
              </w:rPr>
              <w:t>AP7</w:t>
            </w:r>
          </w:p>
        </w:tc>
        <w:tc>
          <w:tcPr>
            <w:tcW w:type="dxa" w:w="4025"/>
          </w:tcPr>
          <w:p>
            <w:pPr>
              <w:spacing w:line="276" w:lineRule="auto" w:after="60" w:before="20"/>
            </w:pPr>
            <w:r>
              <w:rPr>
                <w:rFonts w:ascii="Cambria" w:hAnsi="Cambria" w:cs="Cambria" w:eastAsia="Cambria"/>
                <w:sz w:val="20"/>
              </w:rPr>
              <w:t>Agentische Sicherheit und Freigabeschicht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line="276" w:lineRule="auto" w:after="60" w:before="20"/>
            </w:pPr>
            <w:r>
              <w:rPr>
                <w:rFonts w:ascii="Cambria" w:hAnsi="Cambria" w:cs="Cambria" w:eastAsia="Cambria"/>
                <w:sz w:val="20"/>
              </w:rPr>
              <w:t>AP2</w:t>
            </w:r>
          </w:p>
        </w:tc>
        <w:tc>
          <w:tcPr>
            <w:tcW w:type="dxa" w:w="4025"/>
          </w:tcPr>
          <w:p>
            <w:pPr>
              <w:spacing w:line="276" w:lineRule="auto" w:after="60" w:before="20"/>
            </w:pPr>
            <w:r>
              <w:rPr>
                <w:rFonts w:ascii="Cambria" w:hAnsi="Cambria" w:cs="Cambria" w:eastAsia="Cambria"/>
                <w:sz w:val="20"/>
              </w:rPr>
              <w:t>Backup, Restore, Notfallhandbuch</w:t>
            </w:r>
          </w:p>
        </w:tc>
        <w:tc>
          <w:tcPr>
            <w:tcW w:type="dxa" w:w="794"/>
          </w:tcPr>
          <w:p>
            <w:pPr>
              <w:spacing w:line="276" w:lineRule="auto" w:after="60" w:before="20"/>
            </w:pPr>
            <w:r>
              <w:rPr>
                <w:rFonts w:ascii="Cambria" w:hAnsi="Cambria" w:cs="Cambria" w:eastAsia="Cambria"/>
                <w:sz w:val="20"/>
              </w:rPr>
              <w:t>AP8</w:t>
            </w:r>
          </w:p>
        </w:tc>
        <w:tc>
          <w:tcPr>
            <w:tcW w:type="dxa" w:w="4025"/>
          </w:tcPr>
          <w:p>
            <w:pPr>
              <w:spacing w:line="276" w:lineRule="auto" w:after="60" w:before="20"/>
            </w:pPr>
            <w:r>
              <w:rPr>
                <w:rFonts w:ascii="Cambria" w:hAnsi="Cambria" w:cs="Cambria" w:eastAsia="Cambria"/>
                <w:sz w:val="20"/>
              </w:rPr>
              <w:t>Datenschutz nach DSG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line="276" w:lineRule="auto" w:after="60" w:before="20"/>
            </w:pPr>
            <w:r>
              <w:rPr>
                <w:rFonts w:ascii="Cambria" w:hAnsi="Cambria" w:cs="Cambria" w:eastAsia="Cambria"/>
                <w:sz w:val="20"/>
              </w:rPr>
              <w:t>AP3</w:t>
            </w:r>
          </w:p>
        </w:tc>
        <w:tc>
          <w:tcPr>
            <w:tcW w:type="dxa" w:w="4025"/>
          </w:tcPr>
          <w:p>
            <w:pPr>
              <w:spacing w:line="276" w:lineRule="auto" w:after="60" w:before="20"/>
            </w:pPr>
            <w:r>
              <w:rPr>
                <w:rFonts w:ascii="Cambria" w:hAnsi="Cambria" w:cs="Cambria" w:eastAsia="Cambria"/>
                <w:sz w:val="20"/>
              </w:rPr>
              <w:t>Monitoring und Alarm</w:t>
            </w:r>
          </w:p>
        </w:tc>
        <w:tc>
          <w:tcPr>
            <w:tcW w:type="dxa" w:w="794"/>
          </w:tcPr>
          <w:p>
            <w:pPr>
              <w:spacing w:line="276" w:lineRule="auto" w:after="60" w:before="20"/>
            </w:pPr>
            <w:r>
              <w:rPr>
                <w:rFonts w:ascii="Cambria" w:hAnsi="Cambria" w:cs="Cambria" w:eastAsia="Cambria"/>
                <w:sz w:val="20"/>
              </w:rPr>
              <w:t>AP9</w:t>
            </w:r>
          </w:p>
        </w:tc>
        <w:tc>
          <w:tcPr>
            <w:tcW w:type="dxa" w:w="4025"/>
          </w:tcPr>
          <w:p>
            <w:pPr>
              <w:spacing w:line="276" w:lineRule="auto" w:after="60" w:before="20"/>
            </w:pPr>
            <w:r>
              <w:rPr>
                <w:rFonts w:ascii="Cambria" w:hAnsi="Cambria" w:cs="Cambria" w:eastAsia="Cambria"/>
                <w:sz w:val="20"/>
              </w:rPr>
              <w:t>Delivery: Review, CI, Evals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line="276" w:lineRule="auto" w:after="60" w:before="20"/>
            </w:pPr>
            <w:r>
              <w:rPr>
                <w:rFonts w:ascii="Cambria" w:hAnsi="Cambria" w:cs="Cambria" w:eastAsia="Cambria"/>
                <w:sz w:val="20"/>
              </w:rPr>
              <w:t>AP4</w:t>
            </w:r>
          </w:p>
        </w:tc>
        <w:tc>
          <w:tcPr>
            <w:tcW w:type="dxa" w:w="4025"/>
          </w:tcPr>
          <w:p>
            <w:pPr>
              <w:spacing w:line="276" w:lineRule="auto" w:after="60" w:before="20"/>
            </w:pPr>
            <w:r>
              <w:rPr>
                <w:rFonts w:ascii="Cambria" w:hAnsi="Cambria" w:cs="Cambria" w:eastAsia="Cambria"/>
                <w:sz w:val="20"/>
              </w:rPr>
              <w:t>Secrets und Least Privilege</w:t>
            </w:r>
          </w:p>
        </w:tc>
        <w:tc>
          <w:tcPr>
            <w:tcW w:type="dxa" w:w="794"/>
          </w:tcPr>
          <w:p>
            <w:pPr>
              <w:spacing w:line="276" w:lineRule="auto" w:after="60" w:before="20"/>
            </w:pPr>
            <w:r>
              <w:rPr>
                <w:rFonts w:ascii="Cambria" w:hAnsi="Cambria" w:cs="Cambria" w:eastAsia="Cambria"/>
                <w:sz w:val="20"/>
              </w:rPr>
              <w:t>AP10</w:t>
            </w:r>
          </w:p>
        </w:tc>
        <w:tc>
          <w:tcPr>
            <w:tcW w:type="dxa" w:w="4025"/>
          </w:tcPr>
          <w:p>
            <w:pPr>
              <w:spacing w:line="276" w:lineRule="auto" w:after="60" w:before="20"/>
            </w:pPr>
            <w:r>
              <w:rPr>
                <w:rFonts w:ascii="Cambria" w:hAnsi="Cambria" w:cs="Cambria" w:eastAsia="Cambria"/>
                <w:sz w:val="20"/>
              </w:rPr>
              <w:t>Rückbau, Übergabe, Wartung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line="276" w:lineRule="auto" w:after="60" w:before="20"/>
            </w:pPr>
            <w:r>
              <w:rPr>
                <w:rFonts w:ascii="Cambria" w:hAnsi="Cambria" w:cs="Cambria" w:eastAsia="Cambria"/>
                <w:sz w:val="20"/>
              </w:rPr>
              <w:t>AP5</w:t>
            </w:r>
          </w:p>
        </w:tc>
        <w:tc>
          <w:tcPr>
            <w:tcW w:type="dxa" w:w="4025"/>
          </w:tcPr>
          <w:p>
            <w:pPr>
              <w:spacing w:line="276" w:lineRule="auto" w:after="60" w:before="20"/>
            </w:pPr>
            <w:r>
              <w:rPr>
                <w:rFonts w:ascii="Cambria" w:hAnsi="Cambria" w:cs="Cambria" w:eastAsia="Cambria"/>
                <w:sz w:val="20"/>
              </w:rPr>
              <w:t>Daten und Sync</w:t>
            </w:r>
          </w:p>
        </w:tc>
        <w:tc>
          <w:tcPr>
            <w:tcW w:type="dxa" w:w="794"/>
          </w:tcPr>
          <w:p>
            <w:pPr>
              <w:spacing w:line="276" w:lineRule="auto" w:after="60" w:before="20"/>
            </w:pPr>
          </w:p>
        </w:tc>
        <w:tc>
          <w:tcPr>
            <w:tcW w:type="dxa" w:w="4025"/>
          </w:tcPr>
          <w:p>
            <w:pPr>
              <w:spacing w:line="276" w:lineRule="auto" w:after="60" w:before="20"/>
            </w:pPr>
          </w:p>
        </w:tc>
      </w:tr>
    </w:tbl>
    <w:p>
      <w:pPr>
        <w:spacing w:before="200"/>
      </w:pPr>
      <w:r>
        <w:rPr>
          <w:b/>
        </w:rPr>
        <w:t>02.2 Randbedingungen.</w:t>
      </w:r>
      <w:r>
        <w:t xml:space="preserve"> macOS bleibt für CAD, Render und Layout, Microsoft 365 und bexio bleiben, Claude bleibt die KI-Engine. Schweizer DSG, ein Teil der Bauherrschaften stellt erhöhte Anforderungen an Vertraulichkeit. Das Büro hat keine IT-Fachperson und sucht eine Lösung mit Wartungsvertrag. Umbau in Etappen mit Parallelbetrieb und Haltepunkten, die laufenden Bauprojekte dürfen nicht stehen.</w:t>
      </w:r>
    </w:p>
    <w:p>
      <w:pPr>
        <w:pStyle w:val="Heading2"/>
      </w:pPr>
      <w:r>
        <w:t>03 Gesuchtes Profil</w:t>
      </w:r>
    </w:p>
    <w:p>
      <w:r>
        <w:rPr>
          <w:b/>
        </w:rPr>
        <w:t>03.1 Muss.</w:t>
      </w:r>
      <w:r>
        <w:t xml:space="preserve"> Erfahrung mit agentischen Systemen (Claude Code headless oder Agent SDK), mit Microsoft Entra und Graph unter Least Privilege, mit Linux-Betrieb, Infrastructure as Code, Backup und Monitoring im KMU.</w:t>
      </w:r>
    </w:p>
    <w:p>
      <w:r>
        <w:rPr>
          <w:b/>
        </w:rPr>
        <w:t>03.2 Soll.</w:t>
      </w:r>
      <w:r>
        <w:t xml:space="preserve"> macOS-Flotten und Geräteverwaltung, Sicherheitsarchitektur für KI-Agenten, Schweizer DSG in der Praxis. Bietergemeinschaften und Unterauftragnehmer sind zugelassen, etwa klassische KMU-IT für AP1 bis AP4 und eine Spezialistin oder ein Spezialist für AP5 bis AP9.</w:t>
      </w:r>
    </w:p>
    <w:p>
      <w:pPr>
        <w:pStyle w:val="Heading2"/>
      </w:pPr>
      <w:r>
        <w:t>04 Ablauf</w:t>
      </w:r>
    </w:p>
    <w:p>
      <w:r>
        <w:rPr>
          <w:b/>
        </w:rPr>
        <w:t>04.1 Interesse.</w:t>
      </w:r>
      <w:r>
        <w:t xml:space="preserve"> Ihre Interessensmeldung mit zwei bis drei Referenzen bis ________________ an rj@raphaeljans.ch.</w:t>
      </w:r>
    </w:p>
    <w:p>
      <w:r>
        <w:rPr>
          <w:b/>
        </w:rPr>
        <w:t>04.2 Geheimhaltung.</w:t>
      </w:r>
      <w:r>
        <w:t xml:space="preserve"> Darauf erhalten Sie die Geheimhaltungsvereinbarung des Büros. Nach Unterzeichnung folgen das Briefing (rund zwölf Seiten mit Befund, Zielbild, Paketen und Abnahmekriterien) und die Architektur-Beilage. Der Befundkatalog mit 120 belegten Befunden liegt an der Begehung zur Einsicht auf.</w:t>
      </w:r>
    </w:p>
    <w:p>
      <w:r>
        <w:rPr>
          <w:b/>
        </w:rPr>
        <w:t>04.3 Begehung.</w:t>
      </w:r>
      <w:r>
        <w:t xml:space="preserve"> Termin im Büro mit Einsicht in das laufende System: ________________.</w:t>
      </w:r>
    </w:p>
    <w:p>
      <w:r>
        <w:rPr>
          <w:b/>
        </w:rPr>
        <w:t>04.4 Offerte.</w:t>
      </w:r>
      <w:r>
        <w:t xml:space="preserve"> AP0 als Festpreis, Stundenansätze, Richtpreise je Paket mit Annahmen, Wartungspauschale. Eingang bis ________________.</w:t>
      </w:r>
    </w:p>
    <w:p>
      <w:r>
        <w:rPr>
          <w:b/>
        </w:rPr>
        <w:t>04.5 Vergabe.</w:t>
      </w:r>
      <w:r>
        <w:t xml:space="preserve"> Entscheid bis ________________, zuerst AP0.</w:t>
      </w:r>
    </w:p>
    <w:p>
      <w:r>
        <w:rPr>
          <w:b/>
        </w:rPr>
        <w:t>04.6 Vertraulichkeit.</w:t>
      </w:r>
      <w:r>
        <w:t xml:space="preserve"> Diese Anfrage ist nur für die adressierte Firma bestimmt. Weitergabe an Dritte nur mit schriftlicher Zustimmung des Büros.</w:t>
      </w:r>
    </w:p>
    <w:p>
      <w:pPr>
        <w:spacing w:before="240"/>
      </w:pPr>
      <w:r>
        <w:t>Besten Dank für Ihr Interesse. Ich freue mich auf Ihre Rückmeldung.</w:t>
      </w:r>
    </w:p>
    <w:p>
      <w:pPr>
        <w:keepNext/>
        <w:spacing w:before="360"/>
      </w:pPr>
      <w:r>
        <w:t>Freundliche Grüsse</w:t>
      </w:r>
    </w:p>
    <w:p>
      <w:pPr>
        <w:keepLines/>
        <w:spacing w:after="0" w:line="288" w:lineRule="auto"/>
      </w:pPr>
      <w:r>
        <w:t>Raphael Jans, Founder I MD</w:t>
      </w:r>
    </w:p>
    <w:p>
      <w:pPr>
        <w:keepLines/>
        <w:spacing w:after="0" w:line="288" w:lineRule="auto"/>
      </w:pPr>
      <w:r>
        <w:t>MSc ETH I SIA</w:t>
      </w:r>
    </w:p>
    <w:p>
      <w:pPr>
        <w:keepLines/>
        <w:spacing w:after="0" w:line="288" w:lineRule="auto"/>
      </w:pPr>
      <w:r>
        <w:t>rj@raphaeljans.ch</w:t>
      </w:r>
    </w:p>
    <w:p>
      <w:pPr>
        <w:keepLines/>
        <w:spacing w:after="0" w:line="288" w:lineRule="auto"/>
      </w:pPr>
      <w:r>
        <w:t>+41 79 846 11 65</w:t>
      </w:r>
    </w:p>
    <w:p>
      <w:pPr>
        <w:keepLines/>
        <w:spacing w:after="0" w:line="288" w:lineRule="auto"/>
      </w:pPr>
      <w:r>
        <w:t>www.raphaeljans.ch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638" w:val="right"/>
      </w:tabs>
      <w:spacing w:line="240" w:lineRule="auto"/>
    </w:pPr>
    <w:r>
      <w:rPr>
        <w:rFonts w:ascii="Cambria" w:hAnsi="Cambria" w:cs="Cambria" w:eastAsia="Cambria"/>
        <w:sz w:val="16"/>
      </w:rPr>
      <w:t>Raphael Jans Architekten ETH/SIA · rj@raphaeljans.ch · 19.09.2026 · vertraulich</w:t>
      <w:tab/>
      <w:t xml:space="preserve">Seite </w:t>
    </w:r>
    <w:r>
      <w:rPr>
        <w:rFonts w:ascii="Cambria" w:hAnsi="Cambria" w:cs="Cambria" w:eastAsia="Cambria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mbria" w:hAnsi="Cambria" w:cs="Cambria" w:eastAsia="Cambria"/>
        <w:sz w:val="16"/>
      </w:rPr>
      <w:t xml:space="preserve"> von </w:t>
    </w:r>
    <w:r>
      <w:rPr>
        <w:rFonts w:ascii="Cambria" w:hAnsi="Cambria" w:cs="Cambria" w:eastAsia="Cambria"/>
        <w:sz w:val="16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120"/>
    </w:pPr>
    <w:rPr>
      <w:rFonts w:ascii="Cambria" w:hAnsi="Cambria" w:eastAsia="Cambria" w:cs="Cambria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mbria" w:hAnsi="Cambria" w:cs="Cambria" w:eastAsia="Cambria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/>
      <w:outlineLvl w:val="0"/>
    </w:pPr>
    <w:rPr>
      <w:rFonts w:cstheme="majorBidi" w:ascii="Cambria" w:hAnsi="Cambria" w:cs="Cambria" w:eastAsia="Cambria"/>
      <w:b/>
      <w:bCs/>
      <w:i w:val="0"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cstheme="majorBidi" w:ascii="Cambria" w:hAnsi="Cambria" w:cs="Cambria" w:eastAsia="Cambria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cstheme="majorBidi" w:ascii="Cambria" w:hAnsi="Cambria" w:cs="Cambria" w:eastAsia="Cambria"/>
      <w:b/>
      <w:bCs/>
      <w:i w:val="0"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cstheme="majorBidi" w:ascii="Cambria" w:hAnsi="Cambria" w:cs="Cambria" w:eastAsia="Cambria"/>
      <w:b/>
      <w:i w:val="0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JANS AI Zentrum: Anfrage</dc:title>
  <dc:subject/>
  <dc:creator>Raphael Jans Architekten ETH/SIA</dc:creator>
  <cp:keywords/>
  <dc:description/>
  <cp:lastModifiedBy>Raphael Jans Architekten ETH/SIA</cp:lastModifiedBy>
  <cp:revision>1</cp:revision>
  <dcterms:created xsi:type="dcterms:W3CDTF">2013-12-23T23:15:00Z</dcterms:created>
  <dcterms:modified xsi:type="dcterms:W3CDTF">2013-12-23T23:15:00Z</dcterms:modified>
  <cp:category/>
</cp:coreProperties>
</file>