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000000"/>
          <w:sz w:val="36"/>
        </w:rPr>
        <w:t>Verdichtungspotenzial Bederstrasse</w:t>
      </w:r>
    </w:p>
    <w:p>
      <w:pPr>
        <w:spacing w:before="0" w:after="20"/>
      </w:pPr>
      <w:r>
        <w:rPr>
          <w:rFonts w:ascii="Cambria" w:hAnsi="Cambria"/>
          <w:b w:val="0"/>
          <w:color w:val="000000"/>
          <w:sz w:val="20"/>
        </w:rPr>
        <w:t>Bederstrasse 49, 8002 Zürich · Parz. EN2850 · MFH-Entwicklung · Neubau / Verdichtung · Stand 27.06.2026</w:t>
      </w:r>
    </w:p>
    <w:p>
      <w:pPr>
        <w:spacing w:before="0" w:after="160"/>
      </w:pPr>
      <w:r>
        <w:rPr>
          <w:rFonts w:ascii="Cambria" w:hAnsi="Cambria"/>
          <w:b w:val="0"/>
          <w:color w:val="000000"/>
          <w:sz w:val="18"/>
        </w:rPr>
        <w:t>Raphael Jans Architekten ETH/SIA  ·  Grubenstrasse 37  ·  8045 Zürich  ·  Stand 27.06.2026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Ausgangslage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34" w:type="dxa"/>
          <w:right w:w="34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Objekt</w:t>
            </w:r>
          </w:p>
        </w:tc>
        <w:tc>
          <w:tcPr>
            <w:tcW w:type="dxa" w:w="323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Mehrfamilienhaus (Entwicklung)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Parzelle</w:t>
            </w:r>
          </w:p>
        </w:tc>
        <w:tc>
          <w:tcPr>
            <w:tcW w:type="dxa" w:w="323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EN2850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Ort</w:t>
            </w:r>
          </w:p>
        </w:tc>
        <w:tc>
          <w:tcPr>
            <w:tcW w:type="dxa" w:w="323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Zürich-Enge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EGRID</w:t>
            </w:r>
          </w:p>
        </w:tc>
        <w:tc>
          <w:tcPr>
            <w:tcW w:type="dxa" w:w="323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CH689499917725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Zone</w:t>
            </w:r>
          </w:p>
        </w:tc>
        <w:tc>
          <w:tcPr>
            <w:tcW w:type="dxa" w:w="323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W3 (Annahme)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Grundstück</w:t>
            </w:r>
          </w:p>
        </w:tc>
        <w:tc>
          <w:tcPr>
            <w:tcW w:type="dxa" w:w="323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1'180 m²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Gemeinde</w:t>
            </w:r>
          </w:p>
        </w:tc>
        <w:tc>
          <w:tcPr>
            <w:tcW w:type="dxa" w:w="323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Stadt Zürich (BFS 261)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Kanton</w:t>
            </w:r>
          </w:p>
        </w:tc>
        <w:tc>
          <w:tcPr>
            <w:tcW w:type="dxa" w:w="323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ZH</w:t>
            </w:r>
          </w:p>
        </w:tc>
      </w:tr>
    </w:tbl>
    <w:p>
      <w:pPr>
        <w:spacing w:before="0" w:after="80"/>
      </w:pPr>
      <w:r>
        <w:rPr>
          <w:rFonts w:ascii="Cambria" w:hAnsi="Cambria"/>
          <w:b w:val="0"/>
          <w:color w:val="000000"/>
          <w:sz w:val="22"/>
        </w:rPr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Baurechtliche Basis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34" w:type="dxa"/>
          <w:right w:w="34" w:type="dxa"/>
        </w:tblCellMar>
      </w:tblPr>
      <w:tblGrid>
        <w:gridCol w:w="2551"/>
        <w:gridCol w:w="3118"/>
        <w:gridCol w:w="3968"/>
      </w:tblGrid>
      <w:tr>
        <w:tc>
          <w:tcPr>
            <w:tcW w:type="dxa" w:w="255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Kennziffer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Wert</w:t>
            </w:r>
          </w:p>
        </w:tc>
        <w:tc>
          <w:tcPr>
            <w:tcW w:type="dxa" w:w="3969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Quelle</w:t>
            </w:r>
          </w:p>
        </w:tc>
      </w:tr>
      <w:tr>
        <w:tc>
          <w:tcPr>
            <w:tcW w:type="dxa" w:w="255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Zone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W3 (Annahme)</w:t>
            </w:r>
          </w:p>
        </w:tc>
        <w:tc>
          <w:tcPr>
            <w:tcW w:type="dxa" w:w="3969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BZO Stadt ZH — verifizieren</w:t>
            </w:r>
          </w:p>
        </w:tc>
      </w:tr>
      <w:tr>
        <w:tc>
          <w:tcPr>
            <w:tcW w:type="dxa" w:w="255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Ausnützung / GFZ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0.90 (Regelbau)</w:t>
            </w:r>
          </w:p>
        </w:tc>
        <w:tc>
          <w:tcPr>
            <w:tcW w:type="dxa" w:w="3969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BZO — verifizieren</w:t>
            </w:r>
          </w:p>
        </w:tc>
      </w:tr>
      <w:tr>
        <w:tc>
          <w:tcPr>
            <w:tcW w:type="dxa" w:w="255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Arealüberbauung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Mehrausnützung möglich</w:t>
            </w:r>
          </w:p>
        </w:tc>
        <w:tc>
          <w:tcPr>
            <w:tcW w:type="dxa" w:w="3969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PBG §69 ff.</w:t>
            </w:r>
          </w:p>
        </w:tc>
      </w:tr>
      <w:tr>
        <w:tc>
          <w:tcPr>
            <w:tcW w:type="dxa" w:w="255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Grundstücksfläche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1'180 m² (Annahme)</w:t>
            </w:r>
          </w:p>
        </w:tc>
        <w:tc>
          <w:tcPr>
            <w:tcW w:type="dxa" w:w="3969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Kataster — verifizieren</w:t>
            </w:r>
          </w:p>
        </w:tc>
      </w:tr>
      <w:tr>
        <w:tc>
          <w:tcPr>
            <w:tcW w:type="dxa" w:w="2551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EGRID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CH689499917725</w:t>
            </w:r>
          </w:p>
        </w:tc>
        <w:tc>
          <w:tcPr>
            <w:tcW w:type="dxa" w:w="3969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amtl. Vermessung (geo-zh)</w:t>
            </w:r>
          </w:p>
        </w:tc>
      </w:tr>
    </w:tbl>
    <w:p>
      <w:pPr>
        <w:spacing w:before="0" w:after="80"/>
      </w:pPr>
      <w:r>
        <w:rPr>
          <w:rFonts w:ascii="Cambria" w:hAnsi="Cambria"/>
          <w:b w:val="0"/>
          <w:color w:val="000000"/>
          <w:sz w:val="22"/>
        </w:rPr>
      </w:r>
    </w:p>
    <w:p>
      <w:pPr>
        <w:spacing w:before="0" w:after="120"/>
      </w:pPr>
      <w:r>
        <w:rPr>
          <w:rFonts w:ascii="Cambria" w:hAnsi="Cambria"/>
          <w:b/>
          <w:color w:val="000000"/>
          <w:sz w:val="36"/>
        </w:rPr>
        <w:t>Variantenvergleich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34" w:type="dxa"/>
          <w:right w:w="34" w:type="dxa"/>
        </w:tblCellMar>
      </w:tblPr>
      <w:tblGrid>
        <w:gridCol w:w="2607"/>
        <w:gridCol w:w="2341"/>
        <w:gridCol w:w="2341"/>
        <w:gridCol w:w="2341"/>
      </w:tblGrid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Kennzahl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A · Regelbau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B · Arealüberbauung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C · Maximalvolumen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Ziffer AZ/GFZ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0.90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1.10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1.25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Geschosse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anrechenbare GF (m²)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1'062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1'298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1'475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Bruttogeschossfläche (m²)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1'221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1'493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1'696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Gebäudevolumen (m³)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4'030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4'926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5'598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Hauptnutzfläche (m²)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916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1'120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1'272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Erstellung BKP 1–5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3'828'775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4'679'614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5'477'276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 xml:space="preserve">   Band ± (Mio)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3.43–4.23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4.19–5.17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4.90–6.05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Verkaufserlös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10'991'700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13'434'300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15'266'250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− Bauträger-Marge (7.0%)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769'419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940'401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1'068'638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Residualwert / zahlb. Land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6'201'700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7'579'856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CHF 8'458'726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 xml:space="preserve">   je m² Grundstück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5'256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6'424</w:t>
            </w:r>
          </w:p>
        </w:tc>
        <w:tc>
          <w:tcPr>
            <w:tcW w:type="dxa" w:w="2341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7'168</w:t>
            </w:r>
          </w:p>
        </w:tc>
      </w:tr>
    </w:tbl>
    <w:p>
      <w:pPr>
        <w:spacing w:before="40" w:after="120"/>
      </w:pPr>
      <w:r>
        <w:rPr>
          <w:rFonts w:ascii="Cambria" w:hAnsi="Cambria"/>
          <w:b w:val="0"/>
          <w:color w:val="000000"/>
          <w:sz w:val="18"/>
        </w:rPr>
        <w:t>Methode: Volumen × Kennwert (950 CHF/m³, Band 850–1050) = Erstellungskosten BKP 1–5. Verkaufserlös − Erstellung − Marge − Diskontierung (3.0%) = Residualwert (zahlbarer Landwert).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Sensitivität · B · Arealüberbauung (Residualwert in Mio CHF)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34" w:type="dxa"/>
          <w:right w:w="34" w:type="dxa"/>
        </w:tblCellMar>
      </w:tblPr>
      <w:tblGrid>
        <w:gridCol w:w="3401"/>
        <w:gridCol w:w="3118"/>
        <w:gridCol w:w="3118"/>
      </w:tblGrid>
      <w:tr>
        <w:tc>
          <w:tcPr>
            <w:tcW w:type="dxa" w:w="3402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Flächen-Delta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Kennwert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Kennwert hoch</w:t>
            </w:r>
          </w:p>
        </w:tc>
      </w:tr>
      <w:tr>
        <w:tc>
          <w:tcPr>
            <w:tcW w:type="dxa" w:w="3402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Plan (0%)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7.58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7.10</w:t>
            </w:r>
          </w:p>
        </w:tc>
      </w:tr>
      <w:tr>
        <w:tc>
          <w:tcPr>
            <w:tcW w:type="dxa" w:w="3402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-10%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6.82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6.39</w:t>
            </w:r>
          </w:p>
        </w:tc>
      </w:tr>
      <w:tr>
        <w:tc>
          <w:tcPr>
            <w:tcW w:type="dxa" w:w="3402"/>
          </w:tcPr>
          <w:p>
            <w:pPr>
              <w:spacing w:after="20" w:line="288" w:lineRule="auto"/>
              <w:jc w:val="lef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-20%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6.06</w:t>
            </w:r>
          </w:p>
        </w:tc>
        <w:tc>
          <w:tcPr>
            <w:tcW w:type="dxa" w:w="3118"/>
          </w:tcPr>
          <w:p>
            <w:pPr>
              <w:spacing w:after="20" w:line="288" w:lineRule="auto"/>
              <w:jc w:val="right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5.68</w:t>
            </w:r>
          </w:p>
        </w:tc>
      </w:tr>
    </w:tbl>
    <w:p>
      <w:pPr>
        <w:spacing w:before="0" w:after="120"/>
      </w:pPr>
      <w:r>
        <w:rPr>
          <w:rFonts w:ascii="Cambria" w:hAnsi="Cambria"/>
          <w:b w:val="0"/>
          <w:color w:val="000000"/>
          <w:sz w:val="22"/>
        </w:rPr>
      </w:r>
    </w:p>
    <w:p>
      <w:pPr>
        <w:spacing w:before="0" w:after="120"/>
      </w:pPr>
      <w:r>
        <w:rPr>
          <w:rFonts w:ascii="Cambria" w:hAnsi="Cambria"/>
          <w:b/>
          <w:color w:val="000000"/>
          <w:sz w:val="36"/>
        </w:rPr>
        <w:t>Fazit &amp; Empfehlung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0"/>
        </w:rPr>
        <w:t>– Variante B (Arealüberbauung) maximiert den zahlbaren Landwert bei vertretbarem Risiko und ist die empfohlene Stossrichtung für ein Vorprojekt.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0"/>
        </w:rPr>
        <w:t>– Variante C reizt die Hülle aus, der Mehrwert gegenüber B ist jedoch durch Komplexitäts-/Kostenzuschlag und Bewilligungsrisiko relativiert.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0"/>
        </w:rPr>
        <w:t>– Nächster Schritt: BZO-Kennziffern und Grundstücksfläche amtlich verifizieren (OEREB-Auszug), dann Vorprojekt auf Variante B.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Annahmen &amp; Vorbehalte</w:t>
      </w:r>
    </w:p>
    <w:p>
      <w:pPr>
        <w:spacing w:before="0" w:after="20"/>
      </w:pPr>
      <w:r>
        <w:rPr>
          <w:rFonts w:ascii="Cambria" w:hAnsi="Cambria"/>
          <w:b w:val="0"/>
          <w:color w:val="000000"/>
          <w:sz w:val="18"/>
        </w:rPr>
        <w:t>– Zone, Ausnützungsziffer und Grundstücksfläche sind Annahmen und vor Vorprojekt über OEREB-Auszug / BZO Stadt Zürich zu verifizieren.</w:t>
      </w:r>
    </w:p>
    <w:p>
      <w:pPr>
        <w:spacing w:before="0" w:after="20"/>
      </w:pPr>
      <w:r>
        <w:rPr>
          <w:rFonts w:ascii="Cambria" w:hAnsi="Cambria"/>
          <w:b w:val="0"/>
          <w:color w:val="000000"/>
          <w:sz w:val="18"/>
        </w:rPr>
        <w:t>– Erstellungskosten als Grobschätzung ± 25 % (Volumen × Kennwert, BKP 1–5).</w:t>
      </w:r>
    </w:p>
    <w:p>
      <w:pPr>
        <w:spacing w:before="0" w:after="20"/>
      </w:pPr>
      <w:r>
        <w:rPr>
          <w:rFonts w:ascii="Cambria" w:hAnsi="Cambria"/>
          <w:b w:val="0"/>
          <w:color w:val="000000"/>
          <w:sz w:val="18"/>
        </w:rPr>
        <w:t>– Verkaufspreis CHF/m² HNF als Marktannahme Zürich-Enge; über UBS-Fact-Sheet / Makleranalyse gegenkontrollieren.</w:t>
      </w:r>
    </w:p>
    <w:p>
      <w:pPr>
        <w:spacing w:before="40" w:after="40"/>
      </w:pPr>
      <w:r>
        <w:rPr>
          <w:rFonts w:ascii="Cambria" w:hAnsi="Cambria"/>
          <w:b w:val="0"/>
          <w:color w:val="000000"/>
          <w:sz w:val="18"/>
        </w:rPr>
        <w:t>Quellen: Geodaten geo-zh (EGRID/Parzelle); Kennwerte wissen/grobkosten; Residualwert-Methode machbarkeit-Wissensbasis.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000000"/>
        <w:sz w:val="16"/>
      </w:rPr>
      <w:t xml:space="preserve">Raphael Jans Architekten ETH/SIA · Studie 2699 · Machbarkeits-Studio · Seite </w:t>
    </w:r>
    <w:r>
      <w:rPr>
        <w:rFonts w:ascii="Cambria" w:hAnsi="Cambria"/>
        <w:color w:val="000000"/>
        <w:sz w:val="16"/>
      </w:rPr>
      <w:fldChar w:fldCharType="begin"/>
      <w:instrText xml:space="preserve">PAGE</w:instrText>
      <w:fldChar w:fldCharType="end"/>
    </w:r>
    <w:r>
      <w:rPr>
        <w:rFonts w:ascii="Cambria" w:hAnsi="Cambria"/>
        <w:color w:val="000000"/>
        <w:sz w:val="16"/>
      </w:rPr>
      <w:t xml:space="preserve"> von </w:t>
    </w:r>
    <w:r>
      <w:rPr>
        <w:rFonts w:ascii="Cambria" w:hAnsi="Cambria"/>
        <w:color w:val="00000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0"/>
    </w:pPr>
    <w:rPr>
      <w:rFonts w:ascii="Cambria" w:hAnsi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