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7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6676"/>
      </w:tblGrid>
      <w:tr>
        <w:tc>
          <w:tcPr>
            <w:tcW w:type="dxa" w:w="4700"/>
            <w:tcBorders>
              <w:top w:val="none" w:color="FFFFFF" w:sz="0"/>
              <w:left w:val="none" w:color="FFFFFF" w:sz="0"/>
              <w:bottom w:val="single" w:color="C6A02A" w:sz="36"/>
              <w:right w:val="none" w:color="FFFFFF" w:sz="0"/>
            </w:tcBorders>
            <w:shd w:fill="112E51" w:color="auto" w:val="clear"/>
            <w:tcMar>
              <w:top w:type="dxa" w:w="200"/>
              <w:left w:type="dxa" w:w="160"/>
              <w:bottom w:type="dxa" w:w="200"/>
            </w:tcMar>
            <w:vAlign w:val="center"/>
          </w:tcPr>
          <w:p>
            <w:r>
              <w:rPr>
                <w:rFonts w:ascii="Arial" w:cs="Arial" w:eastAsia="Arial" w:hAnsi="Arial"/>
                <w:b/>
                <w:bCs/>
                <w:color w:val="FFFFFF"/>
                <w:sz w:val="32"/>
                <w:szCs w:val="32"/>
              </w:rPr>
              <w:t xml:space="preserve">CAPABILITY STATEMENT</w:t>
            </w:r>
          </w:p>
        </w:tc>
        <w:tc>
          <w:tcPr>
            <w:tcW w:type="dxa" w:w="6676"/>
            <w:tcBorders>
              <w:top w:val="none" w:color="FFFFFF" w:sz="0"/>
              <w:left w:val="none" w:color="FFFFFF" w:sz="0"/>
              <w:bottom w:val="none" w:color="FFFFFF" w:sz="0"/>
              <w:right w:val="none" w:color="FFFFFF" w:sz="0"/>
            </w:tcBorders>
            <w:vAlign w:val="center"/>
          </w:tcPr>
          <w:p>
            <w:pPr>
              <w:jc w:val="right"/>
            </w:pPr>
            <w:r>
              <w:drawing>
                <wp:inline distT="0" distB="0" distL="0" distR="0">
                  <wp:extent cx="25717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552450"/>
                          </a:xfrm>
                          <a:prstGeom prst="rect">
                            <a:avLst/>
                          </a:prstGeom>
                        </pic:spPr>
                      </pic:pic>
                    </a:graphicData>
                  </a:graphic>
                </wp:inline>
              </w:drawing>
            </w:r>
          </w:p>
          <w:p>
            <w:pPr>
              <w:spacing w:before="40"/>
              <w:jc w:val="right"/>
            </w:pPr>
            <w:r>
              <w:rPr>
                <w:rFonts w:ascii="Arial" w:cs="Arial" w:eastAsia="Arial" w:hAnsi="Arial"/>
                <w:b/>
                <w:bCs/>
                <w:i/>
                <w:iCs/>
                <w:color w:val="B51D1D"/>
                <w:sz w:val="16"/>
                <w:szCs w:val="16"/>
              </w:rPr>
              <w:t xml:space="preserve">Service-Disabled Veteran-Owned Small Business (SDVOSB)</w:t>
            </w:r>
          </w:p>
        </w:tc>
      </w:tr>
    </w:tbl>
    <w:p>
      <w:pPr>
        <w:spacing w:after="60"/>
      </w:pPr>
    </w:p>
    <w:tbl>
      <w:tblPr>
        <w:tblW w:type="dxa" w:w="1137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00"/>
        <w:gridCol w:w="276"/>
        <w:gridCol w:w="4200"/>
      </w:tblGrid>
      <w:tr>
        <w:tc>
          <w:tcPr>
            <w:tcW w:type="dxa" w:w="6900"/>
            <w:tcBorders>
              <w:top w:val="none" w:color="FFFFFF" w:sz="0"/>
              <w:left w:val="none" w:color="FFFFFF" w:sz="0"/>
              <w:bottom w:val="none" w:color="FFFFFF" w:sz="0"/>
              <w:right w:val="none" w:color="FFFFFF" w:sz="0"/>
            </w:tcBorders>
            <w:tcMar>
              <w:left w:type="dxa" w:w="0"/>
              <w:right w:type="dxa" w:w="0"/>
            </w:tcMar>
          </w:tcPr>
          <w:p>
            <w:pPr>
              <w:shd w:fill="112E51" w:color="auto" w:val="clear"/>
              <w:spacing w:after="90" w:before="140"/>
              <w:ind w:left="40"/>
            </w:pPr>
            <w:r>
              <w:rPr>
                <w:rFonts w:ascii="Arial" w:cs="Arial" w:eastAsia="Arial" w:hAnsi="Arial"/>
                <w:b/>
                <w:bCs/>
                <w:color w:val="FFFFFF"/>
                <w:sz w:val="22"/>
                <w:szCs w:val="22"/>
              </w:rPr>
              <w:t xml:space="preserve">Core Competencies</w:t>
            </w:r>
          </w:p>
          <w:p>
            <w:pPr>
              <w:pStyle w:val="ListParagraph"/>
              <w:numPr>
                <w:ilvl w:val="0"/>
                <w:numId w:val="2"/>
              </w:numPr>
              <w:spacing w:after="70" w:line="262"/>
            </w:pPr>
            <w:r>
              <w:rPr>
                <w:rFonts w:ascii="Arial" w:cs="Arial" w:eastAsia="Arial" w:hAnsi="Arial"/>
                <w:b/>
                <w:bCs/>
                <w:sz w:val="17"/>
                <w:szCs w:val="17"/>
              </w:rPr>
              <w:t xml:space="preserve">Rotary-Wing Powertrain &amp; Rotor-System Maintenance</w:t>
            </w:r>
            <w:r>
              <w:rPr>
                <w:rFonts w:ascii="Arial" w:cs="Arial" w:eastAsia="Arial" w:hAnsi="Arial"/>
                <w:sz w:val="17"/>
                <w:szCs w:val="17"/>
              </w:rPr>
              <w:t xml:space="preserve"> – Repair, inspection, and troubleshooting of helicopter powertrain, drive-train, and rotor systems; non-destructive inspection (NDI); scheduled and unscheduled maintenance; component removal and replacement.</w:t>
            </w:r>
          </w:p>
          <w:p>
            <w:pPr>
              <w:pStyle w:val="ListParagraph"/>
              <w:numPr>
                <w:ilvl w:val="0"/>
                <w:numId w:val="2"/>
              </w:numPr>
              <w:spacing w:after="70" w:line="262"/>
            </w:pPr>
            <w:r>
              <w:rPr>
                <w:rFonts w:ascii="Arial" w:cs="Arial" w:eastAsia="Arial" w:hAnsi="Arial"/>
                <w:b/>
                <w:bCs/>
                <w:sz w:val="17"/>
                <w:szCs w:val="17"/>
              </w:rPr>
              <w:t xml:space="preserve">Aircraft Engine &amp; Airframe Maintenance</w:t>
            </w:r>
            <w:r>
              <w:rPr>
                <w:rFonts w:ascii="Arial" w:cs="Arial" w:eastAsia="Arial" w:hAnsi="Arial"/>
                <w:sz w:val="17"/>
                <w:szCs w:val="17"/>
              </w:rPr>
              <w:t xml:space="preserve"> – Engine and airframe maintenance and inspections for fixed- and rotary-wing aircraft, transient aircraft services, and technical documentation and maintenance records.</w:t>
            </w:r>
          </w:p>
          <w:p>
            <w:pPr>
              <w:pStyle w:val="ListParagraph"/>
              <w:numPr>
                <w:ilvl w:val="0"/>
                <w:numId w:val="2"/>
              </w:numPr>
              <w:spacing w:after="70" w:line="262"/>
            </w:pPr>
            <w:r>
              <w:rPr>
                <w:rFonts w:ascii="Arial" w:cs="Arial" w:eastAsia="Arial" w:hAnsi="Arial"/>
                <w:b/>
                <w:bCs/>
                <w:sz w:val="17"/>
                <w:szCs w:val="17"/>
              </w:rPr>
              <w:t xml:space="preserve">Ground Support Equipment (GSE)</w:t>
            </w:r>
            <w:r>
              <w:rPr>
                <w:rFonts w:ascii="Arial" w:cs="Arial" w:eastAsia="Arial" w:hAnsi="Arial"/>
                <w:sz w:val="17"/>
                <w:szCs w:val="17"/>
              </w:rPr>
              <w:t xml:space="preserve"> – Maintenance, troubleshooting, and inspection of aviation ground support equipment in garrison and deployed environments.</w:t>
            </w:r>
          </w:p>
          <w:p>
            <w:pPr>
              <w:pStyle w:val="ListParagraph"/>
              <w:numPr>
                <w:ilvl w:val="0"/>
                <w:numId w:val="2"/>
              </w:numPr>
              <w:spacing w:after="70" w:line="262"/>
            </w:pPr>
            <w:r>
              <w:rPr>
                <w:rFonts w:ascii="Arial" w:cs="Arial" w:eastAsia="Arial" w:hAnsi="Arial"/>
                <w:b/>
                <w:bCs/>
                <w:sz w:val="17"/>
                <w:szCs w:val="17"/>
              </w:rPr>
              <w:t xml:space="preserve">Aviation Quality, Safety &amp; Training</w:t>
            </w:r>
            <w:r>
              <w:rPr>
                <w:rFonts w:ascii="Arial" w:cs="Arial" w:eastAsia="Arial" w:hAnsi="Arial"/>
                <w:sz w:val="17"/>
                <w:szCs w:val="17"/>
              </w:rPr>
              <w:t xml:space="preserve"> – Quality and production control, aviation safety compliance, maintenance shop supervision, and training of maintenance technicians.</w:t>
            </w:r>
          </w:p>
          <w:p>
            <w:pPr>
              <w:pStyle w:val="ListParagraph"/>
              <w:numPr>
                <w:ilvl w:val="0"/>
                <w:numId w:val="2"/>
              </w:numPr>
              <w:spacing w:after="70" w:line="262"/>
            </w:pPr>
            <w:r>
              <w:rPr>
                <w:rFonts w:ascii="Arial" w:cs="Arial" w:eastAsia="Arial" w:hAnsi="Arial"/>
                <w:b/>
                <w:bCs/>
                <w:sz w:val="17"/>
                <w:szCs w:val="17"/>
              </w:rPr>
              <w:t xml:space="preserve">Cyber Threat Intelligence</w:t>
            </w:r>
            <w:r>
              <w:rPr>
                <w:rFonts w:ascii="Arial" w:cs="Arial" w:eastAsia="Arial" w:hAnsi="Arial"/>
                <w:sz w:val="17"/>
                <w:szCs w:val="17"/>
              </w:rPr>
              <w:t xml:space="preserve"> – Threat actor research and TTP analysis (MITRE ATT&amp;CK), threat assessments, OSINT, link analysis, and executive briefings using Microsoft Sentinel, Splunk, Google Threat Intelligence, Mandiant Advantage, and Recorded Future.</w:t>
            </w:r>
          </w:p>
          <w:p>
            <w:pPr>
              <w:shd w:fill="112E51" w:color="auto" w:val="clear"/>
              <w:spacing w:after="90" w:before="140"/>
              <w:ind w:left="40"/>
            </w:pPr>
            <w:r>
              <w:rPr>
                <w:rFonts w:ascii="Arial" w:cs="Arial" w:eastAsia="Arial" w:hAnsi="Arial"/>
                <w:b/>
                <w:bCs/>
                <w:color w:val="FFFFFF"/>
                <w:sz w:val="22"/>
                <w:szCs w:val="22"/>
              </w:rPr>
              <w:t xml:space="preserve">Differentiators</w:t>
            </w:r>
          </w:p>
          <w:p>
            <w:pPr>
              <w:pStyle w:val="ListParagraph"/>
              <w:numPr>
                <w:ilvl w:val="0"/>
                <w:numId w:val="2"/>
              </w:numPr>
              <w:spacing w:after="70" w:line="262"/>
            </w:pPr>
            <w:r>
              <w:rPr>
                <w:rFonts w:ascii="Arial" w:cs="Arial" w:eastAsia="Arial" w:hAnsi="Arial"/>
                <w:b/>
                <w:bCs/>
                <w:sz w:val="17"/>
                <w:szCs w:val="17"/>
              </w:rPr>
              <w:t xml:space="preserve">SBA-Certified SDVOSB</w:t>
            </w:r>
            <w:r>
              <w:rPr>
                <w:rFonts w:ascii="Arial" w:cs="Arial" w:eastAsia="Arial" w:hAnsi="Arial"/>
                <w:sz w:val="17"/>
                <w:szCs w:val="17"/>
              </w:rPr>
              <w:t xml:space="preserve"> – Eligible for SDVOSB set-aside and sole-source awards.</w:t>
            </w:r>
          </w:p>
          <w:p>
            <w:pPr>
              <w:pStyle w:val="ListParagraph"/>
              <w:numPr>
                <w:ilvl w:val="0"/>
                <w:numId w:val="2"/>
              </w:numPr>
              <w:spacing w:after="70" w:line="262"/>
            </w:pPr>
            <w:r>
              <w:rPr>
                <w:rFonts w:ascii="Arial" w:cs="Arial" w:eastAsia="Arial" w:hAnsi="Arial"/>
                <w:b/>
                <w:bCs/>
                <w:sz w:val="17"/>
                <w:szCs w:val="17"/>
              </w:rPr>
              <w:t xml:space="preserve">18+ Years of Aviation Maintenance</w:t>
            </w:r>
            <w:r>
              <w:rPr>
                <w:rFonts w:ascii="Arial" w:cs="Arial" w:eastAsia="Arial" w:hAnsi="Arial"/>
                <w:sz w:val="17"/>
                <w:szCs w:val="17"/>
              </w:rPr>
              <w:t xml:space="preserve"> – U.S. military, Kenya Air Force, and Kenya Airways experience, including deployed support at Kandahar Airfield, Afghanistan.</w:t>
            </w:r>
          </w:p>
          <w:p>
            <w:pPr>
              <w:pStyle w:val="ListParagraph"/>
              <w:numPr>
                <w:ilvl w:val="0"/>
                <w:numId w:val="2"/>
              </w:numPr>
              <w:spacing w:after="70" w:line="262"/>
            </w:pPr>
            <w:r>
              <w:rPr>
                <w:rFonts w:ascii="Arial" w:cs="Arial" w:eastAsia="Arial" w:hAnsi="Arial"/>
                <w:b/>
                <w:bCs/>
                <w:sz w:val="17"/>
                <w:szCs w:val="17"/>
              </w:rPr>
              <w:t xml:space="preserve">Supervisor-Level Expertise</w:t>
            </w:r>
            <w:r>
              <w:rPr>
                <w:rFonts w:ascii="Arial" w:cs="Arial" w:eastAsia="Arial" w:hAnsi="Arial"/>
                <w:sz w:val="17"/>
                <w:szCs w:val="17"/>
              </w:rPr>
              <w:t xml:space="preserve"> – Proven shop supervision, quality and production control, and training of junior mechanics on rotary-wing powertrain and rotor systems.</w:t>
            </w:r>
          </w:p>
          <w:p>
            <w:pPr>
              <w:pStyle w:val="ListParagraph"/>
              <w:numPr>
                <w:ilvl w:val="0"/>
                <w:numId w:val="2"/>
              </w:numPr>
              <w:spacing w:after="70" w:line="262"/>
            </w:pPr>
            <w:r>
              <w:rPr>
                <w:rFonts w:ascii="Arial" w:cs="Arial" w:eastAsia="Arial" w:hAnsi="Arial"/>
                <w:b/>
                <w:bCs/>
                <w:sz w:val="17"/>
                <w:szCs w:val="17"/>
              </w:rPr>
              <w:t xml:space="preserve">Multinational &amp; Deployed Experience</w:t>
            </w:r>
            <w:r>
              <w:rPr>
                <w:rFonts w:ascii="Arial" w:cs="Arial" w:eastAsia="Arial" w:hAnsi="Arial"/>
                <w:sz w:val="17"/>
                <w:szCs w:val="17"/>
              </w:rPr>
              <w:t xml:space="preserve"> – Military, airline, and contractor aviation maintenance across the U.S., East Africa, and Afghanistan.</w:t>
            </w:r>
          </w:p>
          <w:p>
            <w:pPr>
              <w:pStyle w:val="ListParagraph"/>
              <w:numPr>
                <w:ilvl w:val="0"/>
                <w:numId w:val="2"/>
              </w:numPr>
              <w:spacing w:after="70" w:line="262"/>
            </w:pPr>
            <w:r>
              <w:rPr>
                <w:rFonts w:ascii="Arial" w:cs="Arial" w:eastAsia="Arial" w:hAnsi="Arial"/>
                <w:b/>
                <w:bCs/>
                <w:sz w:val="17"/>
                <w:szCs w:val="17"/>
              </w:rPr>
              <w:t xml:space="preserve">Aviation + Cyber Combination</w:t>
            </w:r>
            <w:r>
              <w:rPr>
                <w:rFonts w:ascii="Arial" w:cs="Arial" w:eastAsia="Arial" w:hAnsi="Arial"/>
                <w:sz w:val="17"/>
                <w:szCs w:val="17"/>
              </w:rPr>
              <w:t xml:space="preserve"> – Hands-on aircraft maintenance paired with Intelligence Community cyber threat analysis, suited to aviation-sector cybersecurity.</w:t>
            </w:r>
          </w:p>
          <w:p>
            <w:pPr>
              <w:shd w:fill="112E51" w:color="auto" w:val="clear"/>
              <w:spacing w:after="90" w:before="140"/>
              <w:ind w:left="40"/>
            </w:pPr>
            <w:r>
              <w:rPr>
                <w:rFonts w:ascii="Arial" w:cs="Arial" w:eastAsia="Arial" w:hAnsi="Arial"/>
                <w:b/>
                <w:bCs/>
                <w:color w:val="FFFFFF"/>
                <w:sz w:val="22"/>
                <w:szCs w:val="22"/>
              </w:rPr>
              <w:t xml:space="preserve">Key Personnel Experience</w:t>
            </w:r>
          </w:p>
          <w:p>
            <w:pPr>
              <w:pStyle w:val="ListParagraph"/>
              <w:numPr>
                <w:ilvl w:val="0"/>
                <w:numId w:val="2"/>
              </w:numPr>
              <w:spacing w:after="70" w:line="262"/>
            </w:pPr>
            <w:r>
              <w:rPr>
                <w:rFonts w:ascii="Arial" w:cs="Arial" w:eastAsia="Arial" w:hAnsi="Arial"/>
                <w:b/>
                <w:bCs/>
                <w:sz w:val="17"/>
                <w:szCs w:val="17"/>
              </w:rPr>
              <w:t xml:space="preserve">Aircraft Powertrain Repairer &amp; Shop Supervisor</w:t>
            </w:r>
            <w:r>
              <w:rPr>
                <w:rFonts w:ascii="Arial" w:cs="Arial" w:eastAsia="Arial" w:hAnsi="Arial"/>
                <w:sz w:val="17"/>
                <w:szCs w:val="17"/>
              </w:rPr>
              <w:t xml:space="preserve"> — </w:t>
            </w:r>
            <w:r>
              <w:rPr>
                <w:rFonts w:ascii="Arial" w:cs="Arial" w:eastAsia="Arial" w:hAnsi="Arial"/>
                <w:i/>
                <w:iCs/>
                <w:sz w:val="17"/>
                <w:szCs w:val="17"/>
              </w:rPr>
              <w:t xml:space="preserve">U.S. military aviation maintenance</w:t>
            </w:r>
            <w:r>
              <w:rPr>
                <w:rFonts w:ascii="Arial" w:cs="Arial" w:eastAsia="Arial" w:hAnsi="Arial"/>
                <w:sz w:val="17"/>
                <w:szCs w:val="17"/>
              </w:rPr>
              <w:t xml:space="preserve"> (2017–2023). Repair and inspection of powertrain and rotor systems including NDI; supervised and trained junior mechanics; quality and production control.</w:t>
            </w:r>
          </w:p>
          <w:p>
            <w:pPr>
              <w:pStyle w:val="ListParagraph"/>
              <w:numPr>
                <w:ilvl w:val="0"/>
                <w:numId w:val="2"/>
              </w:numPr>
              <w:spacing w:after="70" w:line="262"/>
            </w:pPr>
            <w:r>
              <w:rPr>
                <w:rFonts w:ascii="Arial" w:cs="Arial" w:eastAsia="Arial" w:hAnsi="Arial"/>
                <w:b/>
                <w:bCs/>
                <w:sz w:val="17"/>
                <w:szCs w:val="17"/>
              </w:rPr>
              <w:t xml:space="preserve">Aircraft Handler</w:t>
            </w:r>
            <w:r>
              <w:rPr>
                <w:rFonts w:ascii="Arial" w:cs="Arial" w:eastAsia="Arial" w:hAnsi="Arial"/>
                <w:sz w:val="17"/>
                <w:szCs w:val="17"/>
              </w:rPr>
              <w:t xml:space="preserve"> — </w:t>
            </w:r>
            <w:r>
              <w:rPr>
                <w:rFonts w:ascii="Arial" w:cs="Arial" w:eastAsia="Arial" w:hAnsi="Arial"/>
                <w:i/>
                <w:iCs/>
                <w:sz w:val="17"/>
                <w:szCs w:val="17"/>
              </w:rPr>
              <w:t xml:space="preserve">KBR-UK, Kandahar Airfield, Afghanistan</w:t>
            </w:r>
            <w:r>
              <w:rPr>
                <w:rFonts w:ascii="Arial" w:cs="Arial" w:eastAsia="Arial" w:hAnsi="Arial"/>
                <w:sz w:val="17"/>
                <w:szCs w:val="17"/>
              </w:rPr>
              <w:t xml:space="preserve"> (2013). Transient aircraft services for fixed- and rotary-wing aircraft; ground support equipment maintenance.</w:t>
            </w:r>
          </w:p>
          <w:p>
            <w:pPr>
              <w:pStyle w:val="ListParagraph"/>
              <w:numPr>
                <w:ilvl w:val="0"/>
                <w:numId w:val="2"/>
              </w:numPr>
              <w:spacing w:after="70" w:line="262"/>
            </w:pPr>
            <w:r>
              <w:rPr>
                <w:rFonts w:ascii="Arial" w:cs="Arial" w:eastAsia="Arial" w:hAnsi="Arial"/>
                <w:b/>
                <w:bCs/>
                <w:sz w:val="17"/>
                <w:szCs w:val="17"/>
              </w:rPr>
              <w:t xml:space="preserve">Aircraft Technician / Safety Officer</w:t>
            </w:r>
            <w:r>
              <w:rPr>
                <w:rFonts w:ascii="Arial" w:cs="Arial" w:eastAsia="Arial" w:hAnsi="Arial"/>
                <w:sz w:val="17"/>
                <w:szCs w:val="17"/>
              </w:rPr>
              <w:t xml:space="preserve"> — </w:t>
            </w:r>
            <w:r>
              <w:rPr>
                <w:rFonts w:ascii="Arial" w:cs="Arial" w:eastAsia="Arial" w:hAnsi="Arial"/>
                <w:i/>
                <w:iCs/>
                <w:sz w:val="17"/>
                <w:szCs w:val="17"/>
              </w:rPr>
              <w:t xml:space="preserve">Kenya Airways; Kenya Air Force</w:t>
            </w:r>
            <w:r>
              <w:rPr>
                <w:rFonts w:ascii="Arial" w:cs="Arial" w:eastAsia="Arial" w:hAnsi="Arial"/>
                <w:sz w:val="17"/>
                <w:szCs w:val="17"/>
              </w:rPr>
              <w:t xml:space="preserve"> (2003–2015). Engine and airframe maintenance, inspections, and safety compliance; supervision of technical staff.</w:t>
            </w:r>
          </w:p>
          <w:p>
            <w:pPr>
              <w:pStyle w:val="ListParagraph"/>
              <w:numPr>
                <w:ilvl w:val="0"/>
                <w:numId w:val="2"/>
              </w:numPr>
              <w:spacing w:after="70" w:line="262"/>
            </w:pPr>
            <w:r>
              <w:rPr>
                <w:rFonts w:ascii="Arial" w:cs="Arial" w:eastAsia="Arial" w:hAnsi="Arial"/>
                <w:b/>
                <w:bCs/>
                <w:sz w:val="17"/>
                <w:szCs w:val="17"/>
              </w:rPr>
              <w:t xml:space="preserve">Cyber Analyst</w:t>
            </w:r>
            <w:r>
              <w:rPr>
                <w:rFonts w:ascii="Arial" w:cs="Arial" w:eastAsia="Arial" w:hAnsi="Arial"/>
                <w:sz w:val="17"/>
                <w:szCs w:val="17"/>
              </w:rPr>
              <w:t xml:space="preserve"> — </w:t>
            </w:r>
            <w:r>
              <w:rPr>
                <w:rFonts w:ascii="Arial" w:cs="Arial" w:eastAsia="Arial" w:hAnsi="Arial"/>
                <w:i/>
                <w:iCs/>
                <w:sz w:val="17"/>
                <w:szCs w:val="17"/>
              </w:rPr>
              <w:t xml:space="preserve">Prescient Edge / Defense Intelligence Agency</w:t>
            </w:r>
            <w:r>
              <w:rPr>
                <w:rFonts w:ascii="Arial" w:cs="Arial" w:eastAsia="Arial" w:hAnsi="Arial"/>
                <w:sz w:val="17"/>
                <w:szCs w:val="17"/>
              </w:rPr>
              <w:t xml:space="preserve"> (Mar 2026–Present). Intelligence-driven threat assessments using GTI, Microsoft Sentinel, Splunk, and open-source intelligence; threat actor profiling; executive-level briefings.</w:t>
            </w:r>
          </w:p>
          <w:p>
            <w:pPr>
              <w:pStyle w:val="ListParagraph"/>
              <w:numPr>
                <w:ilvl w:val="0"/>
                <w:numId w:val="2"/>
              </w:numPr>
              <w:spacing w:after="70" w:line="262"/>
            </w:pPr>
            <w:r>
              <w:rPr>
                <w:rFonts w:ascii="Arial" w:cs="Arial" w:eastAsia="Arial" w:hAnsi="Arial"/>
                <w:b/>
                <w:bCs/>
                <w:sz w:val="17"/>
                <w:szCs w:val="17"/>
              </w:rPr>
              <w:t xml:space="preserve">Technical Cyber Threat Analyst</w:t>
            </w:r>
            <w:r>
              <w:rPr>
                <w:rFonts w:ascii="Arial" w:cs="Arial" w:eastAsia="Arial" w:hAnsi="Arial"/>
                <w:sz w:val="17"/>
                <w:szCs w:val="17"/>
              </w:rPr>
              <w:t xml:space="preserve"> — </w:t>
            </w:r>
            <w:r>
              <w:rPr>
                <w:rFonts w:ascii="Arial" w:cs="Arial" w:eastAsia="Arial" w:hAnsi="Arial"/>
                <w:i/>
                <w:iCs/>
                <w:sz w:val="17"/>
                <w:szCs w:val="17"/>
              </w:rPr>
              <w:t xml:space="preserve">Skye Tech Solutions / National Geospatial-Intelligence Agency</w:t>
            </w:r>
            <w:r>
              <w:rPr>
                <w:rFonts w:ascii="Arial" w:cs="Arial" w:eastAsia="Arial" w:hAnsi="Arial"/>
                <w:sz w:val="17"/>
                <w:szCs w:val="17"/>
              </w:rPr>
              <w:t xml:space="preserve"> (Feb 2023–Feb 2026). Cyber threat intelligence using Mandiant Advantage and Recorded Future; link analysis; structured analytic products for leadership and mission stakeholders.</w:t>
            </w:r>
          </w:p>
        </w:tc>
        <w:tc>
          <w:tcPr>
            <w:tcW w:type="dxa" w:w="276"/>
            <w:tcBorders>
              <w:top w:val="none" w:color="FFFFFF" w:sz="0"/>
              <w:left w:val="none" w:color="FFFFFF" w:sz="0"/>
              <w:bottom w:val="none" w:color="FFFFFF" w:sz="0"/>
              <w:right w:val="none" w:color="FFFFFF" w:sz="0"/>
            </w:tcBorders>
          </w:tcPr>
          <w:p/>
        </w:tc>
        <w:tc>
          <w:tcPr>
            <w:tcW w:type="dxa" w:w="4200"/>
            <w:tcBorders>
              <w:top w:val="none" w:color="FFFFFF" w:sz="0"/>
              <w:left w:val="none" w:color="FFFFFF" w:sz="0"/>
              <w:bottom w:val="none" w:color="FFFFFF" w:sz="0"/>
              <w:right w:val="none" w:color="FFFFFF" w:sz="0"/>
            </w:tcBorders>
            <w:tcMar>
              <w:left w:type="dxa" w:w="0"/>
              <w:right w:type="dxa" w:w="0"/>
            </w:tcMar>
          </w:tcPr>
          <w:p>
            <w:pPr>
              <w:shd w:fill="112E51" w:color="auto" w:val="clear"/>
              <w:spacing w:after="90" w:before="140"/>
              <w:ind w:left="40"/>
            </w:pPr>
            <w:r>
              <w:rPr>
                <w:rFonts w:ascii="Arial" w:cs="Arial" w:eastAsia="Arial" w:hAnsi="Arial"/>
                <w:b/>
                <w:bCs/>
                <w:color w:val="FFFFFF"/>
                <w:sz w:val="22"/>
                <w:szCs w:val="22"/>
              </w:rPr>
              <w:t xml:space="preserve">Company Data</w:t>
            </w:r>
          </w:p>
          <w:p>
            <w:pPr>
              <w:spacing w:after="40" w:before="150"/>
            </w:pPr>
            <w:r>
              <w:rPr>
                <w:rFonts w:ascii="Arial" w:cs="Arial" w:eastAsia="Arial" w:hAnsi="Arial"/>
                <w:b/>
                <w:bCs/>
                <w:sz w:val="18"/>
                <w:szCs w:val="18"/>
              </w:rPr>
              <w:t xml:space="preserve">Background</w:t>
            </w:r>
          </w:p>
          <w:p>
            <w:pPr>
              <w:spacing w:after="40" w:line="264"/>
            </w:pPr>
            <w:r>
              <w:rPr>
                <w:rFonts w:ascii="Arial" w:cs="Arial" w:eastAsia="Arial" w:hAnsi="Arial"/>
                <w:sz w:val="17"/>
                <w:szCs w:val="17"/>
              </w:rPr>
              <w:t xml:space="preserve">SmartChoice Multi Services LLC is a service-disabled veteran-owned small business in Alexandria, Virginia, founded and led by Raphael Kimanga. We bring 18+ years of aviation maintenance and leadership across military, airline, and deployed contract environments, complemented by Intelligence Community cyber threat intelligence experience, to deliver aviation maintenance, ground support equipment, and cyber services to government and commercial customers.</w:t>
            </w:r>
          </w:p>
          <w:p>
            <w:pPr>
              <w:spacing w:after="40" w:before="150"/>
            </w:pPr>
            <w:r>
              <w:rPr>
                <w:rFonts w:ascii="Arial" w:cs="Arial" w:eastAsia="Arial" w:hAnsi="Arial"/>
                <w:b/>
                <w:bCs/>
                <w:sz w:val="18"/>
                <w:szCs w:val="18"/>
              </w:rPr>
              <w:t xml:space="preserve">Contracting Readiness</w:t>
            </w:r>
          </w:p>
          <w:p>
            <w:pPr>
              <w:pStyle w:val="ListParagraph"/>
              <w:numPr>
                <w:ilvl w:val="0"/>
                <w:numId w:val="2"/>
              </w:numPr>
              <w:spacing w:after="70" w:line="262"/>
            </w:pPr>
            <w:r>
              <w:rPr>
                <w:rFonts w:ascii="Arial" w:cs="Arial" w:eastAsia="Arial" w:hAnsi="Arial"/>
                <w:sz w:val="17"/>
                <w:szCs w:val="17"/>
              </w:rPr>
              <w:t xml:space="preserve">SBA-certified SDVOSB &amp; VOSB (effective 03/06/2025; renewal due 03/06/2028)</w:t>
            </w:r>
          </w:p>
          <w:p>
            <w:pPr>
              <w:pStyle w:val="ListParagraph"/>
              <w:numPr>
                <w:ilvl w:val="0"/>
                <w:numId w:val="2"/>
              </w:numPr>
              <w:spacing w:after="70" w:line="262"/>
            </w:pPr>
            <w:r>
              <w:rPr>
                <w:rFonts w:ascii="Arial" w:cs="Arial" w:eastAsia="Arial" w:hAnsi="Arial"/>
                <w:sz w:val="17"/>
                <w:szCs w:val="17"/>
              </w:rPr>
              <w:t xml:space="preserve">Registered in SAM.gov and SBA DSBS</w:t>
            </w:r>
          </w:p>
          <w:p>
            <w:pPr>
              <w:pStyle w:val="ListParagraph"/>
              <w:numPr>
                <w:ilvl w:val="0"/>
                <w:numId w:val="2"/>
              </w:numPr>
              <w:spacing w:after="70" w:line="262"/>
            </w:pPr>
            <w:r>
              <w:rPr>
                <w:rFonts w:ascii="Arial" w:cs="Arial" w:eastAsia="Arial" w:hAnsi="Arial"/>
                <w:b/>
                <w:bCs/>
                <w:sz w:val="17"/>
                <w:szCs w:val="17"/>
              </w:rPr>
              <w:t xml:space="preserve">Open to subcontracting and teaming partnerships</w:t>
            </w:r>
            <w:r>
              <w:rPr>
                <w:rFonts w:ascii="Arial" w:cs="Arial" w:eastAsia="Arial" w:hAnsi="Arial"/>
                <w:sz w:val="17"/>
                <w:szCs w:val="17"/>
              </w:rPr>
              <w:t xml:space="preserve">, as well as prime contracts</w:t>
            </w:r>
          </w:p>
          <w:p>
            <w:pPr>
              <w:pStyle w:val="ListParagraph"/>
              <w:numPr>
                <w:ilvl w:val="0"/>
                <w:numId w:val="2"/>
              </w:numPr>
              <w:spacing w:after="70" w:line="262"/>
            </w:pPr>
            <w:r>
              <w:rPr>
                <w:rFonts w:ascii="Arial" w:cs="Arial" w:eastAsia="Arial" w:hAnsi="Arial"/>
                <w:sz w:val="17"/>
                <w:szCs w:val="17"/>
              </w:rPr>
              <w:t xml:space="preserve">Compliant with limitations on subcontracting (13 CFR 125.6)</w:t>
            </w:r>
          </w:p>
          <w:p>
            <w:pPr>
              <w:spacing w:after="10" w:line="264"/>
            </w:pPr>
            <w:r>
              <w:rPr>
                <w:rFonts w:ascii="Arial" w:cs="Arial" w:eastAsia="Arial" w:hAnsi="Arial"/>
                <w:b/>
                <w:bCs/>
                <w:sz w:val="17"/>
                <w:szCs w:val="17"/>
              </w:rPr>
              <w:t xml:space="preserve">UEI #: </w:t>
            </w:r>
            <w:r>
              <w:rPr>
                <w:rFonts w:ascii="Arial" w:cs="Arial" w:eastAsia="Arial" w:hAnsi="Arial"/>
                <w:sz w:val="17"/>
                <w:szCs w:val="17"/>
              </w:rPr>
              <w:t xml:space="preserve">SFMFL4AM3EB7</w:t>
            </w:r>
          </w:p>
          <w:p>
            <w:pPr>
              <w:spacing w:after="40" w:line="264"/>
            </w:pPr>
            <w:r>
              <w:rPr>
                <w:rFonts w:ascii="Arial" w:cs="Arial" w:eastAsia="Arial" w:hAnsi="Arial"/>
                <w:b/>
                <w:bCs/>
                <w:sz w:val="17"/>
                <w:szCs w:val="17"/>
              </w:rPr>
              <w:t xml:space="preserve">CAGE/NCAGE: </w:t>
            </w:r>
            <w:r>
              <w:rPr>
                <w:rFonts w:ascii="Arial" w:cs="Arial" w:eastAsia="Arial" w:hAnsi="Arial"/>
                <w:sz w:val="17"/>
                <w:szCs w:val="17"/>
              </w:rPr>
              <w:t xml:space="preserve">0SQJ7</w:t>
            </w:r>
          </w:p>
          <w:p>
            <w:pPr>
              <w:spacing w:after="40" w:before="150"/>
            </w:pPr>
            <w:r>
              <w:rPr>
                <w:rFonts w:ascii="Arial" w:cs="Arial" w:eastAsia="Arial" w:hAnsi="Arial"/>
                <w:b/>
                <w:bCs/>
                <w:sz w:val="18"/>
                <w:szCs w:val="18"/>
              </w:rPr>
              <w:t xml:space="preserve">NAICS Codes</w:t>
            </w:r>
          </w:p>
          <w:p>
            <w:pPr>
              <w:spacing w:after="40" w:line="264"/>
            </w:pPr>
            <w:r>
              <w:rPr>
                <w:rFonts w:ascii="Arial" w:cs="Arial" w:eastAsia="Arial" w:hAnsi="Arial"/>
                <w:b/>
                <w:bCs/>
                <w:sz w:val="17"/>
                <w:szCs w:val="17"/>
              </w:rPr>
              <w:t xml:space="preserve">Primary: </w:t>
            </w:r>
            <w:r>
              <w:rPr>
                <w:rFonts w:ascii="Arial" w:cs="Arial" w:eastAsia="Arial" w:hAnsi="Arial"/>
                <w:color w:val="B51D1D"/>
                <w:sz w:val="17"/>
                <w:szCs w:val="17"/>
              </w:rPr>
              <w:t xml:space="preserve">488190</w:t>
            </w:r>
            <w:r>
              <w:rPr>
                <w:rFonts w:ascii="Arial" w:cs="Arial" w:eastAsia="Arial" w:hAnsi="Arial"/>
                <w:sz w:val="17"/>
                <w:szCs w:val="17"/>
              </w:rPr>
              <w:t xml:space="preserve"> – Other Support Activities for Air Transportation (aircraft maintenance &amp; repair)</w:t>
            </w:r>
          </w:p>
          <w:p>
            <w:pPr>
              <w:spacing w:after="40" w:line="264"/>
            </w:pPr>
            <w:r>
              <w:rPr>
                <w:rFonts w:ascii="Arial" w:cs="Arial" w:eastAsia="Arial" w:hAnsi="Arial"/>
                <w:b/>
                <w:bCs/>
                <w:sz w:val="17"/>
                <w:szCs w:val="17"/>
              </w:rPr>
              <w:t xml:space="preserve">Aviation &amp; Equipment: </w:t>
            </w:r>
            <w:r>
              <w:rPr>
                <w:rFonts w:ascii="Arial" w:cs="Arial" w:eastAsia="Arial" w:hAnsi="Arial"/>
                <w:color w:val="B51D1D"/>
                <w:sz w:val="17"/>
                <w:szCs w:val="17"/>
              </w:rPr>
              <w:t xml:space="preserve">336411, 811310</w:t>
            </w:r>
          </w:p>
          <w:p>
            <w:pPr>
              <w:spacing w:after="40" w:line="264"/>
            </w:pPr>
            <w:r>
              <w:rPr>
                <w:rFonts w:ascii="Arial" w:cs="Arial" w:eastAsia="Arial" w:hAnsi="Arial"/>
                <w:b/>
                <w:bCs/>
                <w:sz w:val="17"/>
                <w:szCs w:val="17"/>
              </w:rPr>
              <w:t xml:space="preserve">Cyber &amp; IT: </w:t>
            </w:r>
            <w:r>
              <w:rPr>
                <w:rFonts w:ascii="Arial" w:cs="Arial" w:eastAsia="Arial" w:hAnsi="Arial"/>
                <w:color w:val="B51D1D"/>
                <w:sz w:val="17"/>
                <w:szCs w:val="17"/>
              </w:rPr>
              <w:t xml:space="preserve">541519, 541512, 541511</w:t>
            </w:r>
          </w:p>
          <w:p>
            <w:pPr>
              <w:spacing w:after="40" w:before="150"/>
            </w:pPr>
            <w:r>
              <w:rPr>
                <w:rFonts w:ascii="Arial" w:cs="Arial" w:eastAsia="Arial" w:hAnsi="Arial"/>
                <w:b/>
                <w:bCs/>
                <w:sz w:val="18"/>
                <w:szCs w:val="18"/>
              </w:rPr>
              <w:t xml:space="preserve">PSC Codes</w:t>
            </w:r>
          </w:p>
          <w:p>
            <w:pPr>
              <w:spacing w:after="40" w:line="264"/>
            </w:pPr>
            <w:r>
              <w:rPr>
                <w:rFonts w:ascii="Arial" w:cs="Arial" w:eastAsia="Arial" w:hAnsi="Arial"/>
                <w:b/>
                <w:bCs/>
                <w:sz w:val="17"/>
                <w:szCs w:val="17"/>
              </w:rPr>
              <w:t xml:space="preserve">Aviation &amp; Equipment Maint.: </w:t>
            </w:r>
            <w:r>
              <w:rPr>
                <w:rFonts w:ascii="Arial" w:cs="Arial" w:eastAsia="Arial" w:hAnsi="Arial"/>
                <w:color w:val="B51D1D"/>
                <w:sz w:val="17"/>
                <w:szCs w:val="17"/>
              </w:rPr>
              <w:t xml:space="preserve">J015, J016, J017</w:t>
            </w:r>
          </w:p>
          <w:p>
            <w:pPr>
              <w:spacing w:after="100" w:line="264"/>
            </w:pPr>
            <w:r>
              <w:rPr>
                <w:rFonts w:ascii="Arial" w:cs="Arial" w:eastAsia="Arial" w:hAnsi="Arial"/>
                <w:b/>
                <w:bCs/>
                <w:sz w:val="17"/>
                <w:szCs w:val="17"/>
              </w:rPr>
              <w:t xml:space="preserve">Cyber &amp; Intelligence: </w:t>
            </w:r>
            <w:r>
              <w:rPr>
                <w:rFonts w:ascii="Arial" w:cs="Arial" w:eastAsia="Arial" w:hAnsi="Arial"/>
                <w:color w:val="B51D1D"/>
                <w:sz w:val="17"/>
                <w:szCs w:val="17"/>
              </w:rPr>
              <w:t xml:space="preserve">DJ01, DA01, R423</w:t>
            </w:r>
          </w:p>
          <w:p>
            <w:pPr>
              <w:spacing w:after="80" w:line="264"/>
            </w:pPr>
            <w:r>
              <w:rPr>
                <w:rFonts w:ascii="Arial" w:cs="Arial" w:eastAsia="Arial" w:hAnsi="Arial"/>
                <w:b/>
                <w:bCs/>
                <w:sz w:val="17"/>
                <w:szCs w:val="17"/>
              </w:rPr>
              <w:t xml:space="preserve">Accepts Credit Cards</w:t>
            </w:r>
            <w:r>
              <w:rPr>
                <w:rFonts w:ascii="Arial" w:cs="Arial" w:eastAsia="Arial" w:hAnsi="Arial"/>
                <w:sz w:val="17"/>
                <w:szCs w:val="17"/>
              </w:rPr>
              <w:t xml:space="preserve"> (Government Purchase Card)</w:t>
            </w:r>
          </w:p>
          <w:p>
            <w:pPr>
              <w:spacing w:after="40" w:line="264"/>
            </w:pPr>
            <w:r>
              <w:rPr>
                <w:rFonts w:ascii="Arial" w:cs="Arial" w:eastAsia="Arial" w:hAnsi="Arial"/>
                <w:b/>
                <w:bCs/>
                <w:sz w:val="17"/>
                <w:szCs w:val="17"/>
              </w:rPr>
              <w:t xml:space="preserve">Certifications: </w:t>
            </w:r>
            <w:r>
              <w:rPr>
                <w:rFonts w:ascii="Arial" w:cs="Arial" w:eastAsia="Arial" w:hAnsi="Arial"/>
                <w:sz w:val="17"/>
                <w:szCs w:val="17"/>
              </w:rPr>
              <w:t xml:space="preserve">SBA SDVOSB, SBA VOSB</w:t>
            </w:r>
          </w:p>
          <w:p>
            <w:pPr>
              <w:spacing w:after="40" w:before="150"/>
            </w:pPr>
            <w:r>
              <w:rPr>
                <w:rFonts w:ascii="Arial" w:cs="Arial" w:eastAsia="Arial" w:hAnsi="Arial"/>
                <w:b/>
                <w:bCs/>
                <w:sz w:val="18"/>
                <w:szCs w:val="18"/>
              </w:rPr>
              <w:t xml:space="preserve">Contact:</w:t>
            </w:r>
          </w:p>
          <w:p>
            <w:pPr>
              <w:spacing w:after="30" w:line="276"/>
            </w:pPr>
            <w:r>
              <w:rPr>
                <w:rFonts w:ascii="Arial" w:cs="Arial" w:eastAsia="Arial" w:hAnsi="Arial"/>
                <w:sz w:val="17"/>
                <w:szCs w:val="17"/>
              </w:rPr>
              <w:t xml:space="preserve">Raphael Kimanga</w:t>
            </w:r>
            <w:r>
              <w:br/>
            </w:r>
            <w:r>
              <w:rPr>
                <w:rFonts w:ascii="Arial" w:cs="Arial" w:eastAsia="Arial" w:hAnsi="Arial"/>
                <w:sz w:val="17"/>
                <w:szCs w:val="17"/>
              </w:rPr>
              <w:t xml:space="preserve">Owner / Director</w:t>
            </w:r>
            <w:r>
              <w:br/>
            </w:r>
            <w:r>
              <w:rPr>
                <w:rFonts w:ascii="Arial" w:cs="Arial" w:eastAsia="Arial" w:hAnsi="Arial"/>
                <w:sz w:val="17"/>
                <w:szCs w:val="17"/>
              </w:rPr>
              <w:t xml:space="preserve">E: </w:t>
            </w:r>
            <w:r>
              <w:rPr>
                <w:rFonts w:ascii="Arial" w:cs="Arial" w:eastAsia="Arial" w:hAnsi="Arial"/>
                <w:color w:val="B51D1D"/>
                <w:sz w:val="17"/>
                <w:szCs w:val="17"/>
              </w:rPr>
              <w:t xml:space="preserve">rkimanga@smartchoice24.org</w:t>
            </w:r>
            <w:r>
              <w:br/>
            </w:r>
            <w:r>
              <w:rPr>
                <w:rFonts w:ascii="Arial" w:cs="Arial" w:eastAsia="Arial" w:hAnsi="Arial"/>
                <w:sz w:val="17"/>
                <w:szCs w:val="17"/>
              </w:rPr>
              <w:t xml:space="preserve">T: 785-317-0739</w:t>
            </w:r>
          </w:p>
          <w:p>
            <w:pPr>
              <w:spacing w:after="40" w:before="150"/>
            </w:pPr>
            <w:r>
              <w:rPr>
                <w:rFonts w:ascii="Arial" w:cs="Arial" w:eastAsia="Arial" w:hAnsi="Arial"/>
                <w:b/>
                <w:bCs/>
                <w:sz w:val="18"/>
                <w:szCs w:val="18"/>
              </w:rPr>
              <w:t xml:space="preserve">Qualifications:</w:t>
            </w:r>
          </w:p>
          <w:p>
            <w:pPr>
              <w:spacing w:after="30" w:line="276"/>
            </w:pPr>
            <w:r>
              <w:rPr>
                <w:rFonts w:ascii="Arial" w:cs="Arial" w:eastAsia="Arial" w:hAnsi="Arial"/>
                <w:sz w:val="17"/>
                <w:szCs w:val="17"/>
              </w:rPr>
              <w:t xml:space="preserve">B.S., Upper Iowa University</w:t>
            </w:r>
            <w:r>
              <w:br/>
            </w:r>
            <w:r>
              <w:rPr>
                <w:rFonts w:ascii="Arial" w:cs="Arial" w:eastAsia="Arial" w:hAnsi="Arial"/>
                <w:sz w:val="17"/>
                <w:szCs w:val="17"/>
              </w:rPr>
              <w:t xml:space="preserve">CompTIA Security+ | CySA+</w:t>
            </w:r>
            <w:r>
              <w:br/>
            </w:r>
            <w:r>
              <w:rPr>
                <w:rFonts w:ascii="Arial" w:cs="Arial" w:eastAsia="Arial" w:hAnsi="Arial"/>
                <w:sz w:val="17"/>
                <w:szCs w:val="17"/>
              </w:rPr>
              <w:t xml:space="preserve">DCITA Digital Forensics (CIRC)</w:t>
            </w:r>
          </w:p>
        </w:tc>
      </w:tr>
    </w:tbl>
    <w:sectPr>
      <w:footerReference w:type="default" r:id="rId6"/>
      <w:pgSz w:w="12240" w:h="15840" w:orient="portrait"/>
      <w:pgMar w:top="576" w:right="432" w:bottom="600" w:left="432" w:header="708" w:footer="3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A02A" w:sz="18" w:space="1"/>
      </w:pBdr>
      <w:shd w:fill="112E51" w:color="auto" w:val="clear"/>
      <w:spacing w:after="0" w:before="0"/>
      <w:jc w:val="center"/>
    </w:pPr>
    <w:r>
      <w:rPr>
        <w:rFonts w:ascii="Arial" w:cs="Arial" w:eastAsia="Arial" w:hAnsi="Arial"/>
        <w:b/>
        <w:bCs/>
        <w:color w:val="FFFFFF"/>
        <w:sz w:val="16"/>
        <w:szCs w:val="16"/>
      </w:rPr>
      <w:t xml:space="preserve">SmartChoice Multi Services LLC, 5604 Bismach Dr, Apt 204, Alexandria, VA 22312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5ab7d6c7eabed9a1cb2628cbf18c535bbc7196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SmartChoice Multi Services LLC - Capability Statement</dc:title>
  <dc:creator>SmartChoice Multi Services LLC</dc:creator>
  <cp:lastModifiedBy>Un-named</cp:lastModifiedBy>
  <cp:revision>1</cp:revision>
  <dcterms:created xsi:type="dcterms:W3CDTF">2026-10-28T06:21:01.675Z</dcterms:created>
  <dcterms:modified xsi:type="dcterms:W3CDTF">2026-10-28T06:21:01.675Z</dcterms:modified>
</cp:coreProperties>
</file>

<file path=docProps/custom.xml><?xml version="1.0" encoding="utf-8"?>
<Properties xmlns="http://schemas.openxmlformats.org/officeDocument/2006/custom-properties" xmlns:vt="http://schemas.openxmlformats.org/officeDocument/2006/docPropsVTypes"/>
</file>