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6.png" ContentType="image/png"/>
  <Override PartName="/word/media/rId48.png" ContentType="image/png"/>
  <Override PartName="/word/media/rId69.png" ContentType="image/png"/>
  <Override PartName="/word/media/rId58.png" ContentType="image/png"/>
  <Override PartName="/word/media/rId53.png" ContentType="image/png"/>
  <Override PartName="/word/media/rId6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5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14.png" ContentType="image/png"/>
  <Override PartName="/word/media/image16.png" ContentType="image/png"/>
  <Override PartName="/word/media/image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Boletim Trimestral do Mercado de Trabalho</w:t>
      </w:r>
    </w:p>
    <w:p>
      <w:pPr>
        <w:pStyle w:val="Subttulo"/>
      </w:pPr>
      <w:r>
        <w:t xml:space="preserve">Pau dos Ferros/RN e Alto Oeste Potiguar</w:t>
      </w:r>
    </w:p>
    <w:p>
      <w:pPr>
        <w:pStyle w:val="Author"/>
      </w:pPr>
      <w:r>
        <w:t xml:space="preserve">Raphael Lucena - Economista</w:t>
      </w:r>
    </w:p>
    <w:p>
      <w:pPr>
        <w:pStyle w:val="Date"/>
      </w:pPr>
      <w:r>
        <w:t xml:space="preserve">2027-01-05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síntese-executiva"/>
    <w:p>
      <w:pPr>
        <w:pStyle w:val="Ttulo1"/>
      </w:pPr>
      <w:r>
        <w:t xml:space="preserve">1. Síntese Executiva</w:t>
      </w:r>
    </w:p>
    <w:p>
      <w:pPr>
        <w:pStyle w:val="FirstParagraph"/>
      </w:pPr>
      <w:r>
        <w:t xml:space="preserve">Esta seção apresenta os indicadores-chave do mercado de trabalho formal de Pau dos Ferros/RN no 1º trimestre de 2026, oferecendo uma visão panorâmica dos resultados antes da análise detalhada por setor, perfil e território. Os dados são provenientes do Novo CAGED e compilados pelo Ministério do Trabalho e Emprego (MTE).</w:t>
      </w:r>
    </w:p>
    <w:p>
      <w:pPr>
        <w:pStyle w:val="BodyText"/>
      </w:pPr>
      <w:r>
        <w:rPr>
          <w:b/>
          <w:bCs/>
        </w:rPr>
        <w:t xml:space="preserve">Boletim nº 1/2026</w:t>
      </w:r>
      <w:r>
        <w:br/>
      </w:r>
      <w:r>
        <w:rPr>
          <w:b/>
          <w:bCs/>
        </w:rPr>
        <w:t xml:space="preserve">Período de referência:</w:t>
      </w:r>
      <w:r>
        <w:t xml:space="preserve"> </w:t>
      </w:r>
      <w:r>
        <w:t xml:space="preserve">2026T1 (01/01/2026 a 31/03/2026)</w:t>
      </w:r>
      <w:r>
        <w:br/>
      </w:r>
      <w:r>
        <w:rPr>
          <w:b/>
          <w:bCs/>
        </w:rPr>
        <w:t xml:space="preserve">Município focal:</w:t>
      </w:r>
      <w:r>
        <w:t xml:space="preserve"> </w:t>
      </w:r>
      <w:r>
        <w:t xml:space="preserve">Pau dos Ferros/RN</w:t>
      </w:r>
      <w:r>
        <w:br/>
      </w:r>
      <w:r>
        <w:rPr>
          <w:b/>
          <w:bCs/>
        </w:rPr>
        <w:t xml:space="preserve">Recorte regional:</w:t>
      </w:r>
      <w:r>
        <w:t xml:space="preserve"> </w:t>
      </w:r>
      <w:r>
        <w:t xml:space="preserve">Alto Oeste Potiguar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sinte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1: Indicadores-chave — Pau dos Ferros/RN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Indicador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Valor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Saldo trimestral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Admissões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496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Desligamentos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Estoque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4.716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Acumulado no ano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Saldo em 12 meses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Taxa de rotatividade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2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Fonte: Novo CAGED. Elaboração própria.</w:t>
                  </w:r>
                </w:p>
              </w:tc>
            </w:tr>
          </w:tbl>
          <w:bookmarkEnd w:id="39"/>
        </w:tc>
      </w:tr>
    </w:tbl>
    <w:p>
      <w:pPr>
        <w:pStyle w:val="BodyText"/>
      </w:pPr>
      <w:r>
        <w:t xml:space="preserve">No 1º trimestre de 2026, o mercado de trabalho formal de Pau dos Ferros/RN gerou um saldo positivo de 79 vínculos adicionais de emprego, resultado de 496 admissões e 417 desligamentos (ver Tabela 1). Esse resultado representa uma inversão de tendência relevante: após registrar saldo negativo de -35 vínculos no trimestre anterior, o mercado formal local retomou a trajetória de crescimento. O estoque estimado de empregos formais encerrou o período em 4.716 vínculos — uma variação de 1,7% em relação ao trimestre anterior e de 2,5% em relação ao 1º trimestre de 2025.</w:t>
      </w:r>
    </w:p>
    <w:p>
      <w:pPr>
        <w:pStyle w:val="BodyText"/>
      </w:pPr>
      <w:r>
        <w:t xml:space="preserve">Do ponto de vista setorial — ver</w:t>
      </w:r>
      <w:r>
        <w:t xml:space="preserve"> </w:t>
      </w:r>
      <w:hyperlink w:anchor="tbl-setor-mun">
        <w:r>
          <w:rPr>
            <w:rStyle w:val="Hyperlink"/>
          </w:rPr>
          <w:t xml:space="preserve">Tabela 6</w:t>
        </w:r>
      </w:hyperlink>
      <w:r>
        <w:t xml:space="preserve"> </w:t>
      </w:r>
      <w:r>
        <w:t xml:space="preserve">e</w:t>
      </w:r>
      <w:r>
        <w:t xml:space="preserve"> </w:t>
      </w:r>
      <w:hyperlink w:anchor="fig-setores-mun">
        <w:r>
          <w:rPr>
            <w:rStyle w:val="Hyperlink"/>
          </w:rPr>
          <w:t xml:space="preserve">Figura 4</w:t>
        </w:r>
      </w:hyperlink>
      <w:r>
        <w:t xml:space="preserve"> </w:t>
      </w:r>
      <w:r>
        <w:t xml:space="preserve">na Seção 3.3 — Comércio foi o principal vetor de crescimento do emprego formal, respondendo por 50 dos 79 vínculos adicionais gerados no trimestre — o equivalente a 63,3% do saldo total. Todos os setores registraram saldo positivo no trimestre, com Construção apresentando a menor contribuição (1 vínculos, ou 1,3% do total).</w:t>
      </w:r>
    </w:p>
    <w:p>
      <w:pPr>
        <w:pStyle w:val="BodyText"/>
      </w:pPr>
      <w:r>
        <w:t xml:space="preserve">Na comparação com o 1º trimestre de 2025, o resultado indica melhora em relação ao mesmo trimestre do ano anterior. A diferença absoluta foi de 19 vínculos, reflexo de uma melhora no ritmo de geração de empregos formais. Em termos de variação interanual do estoque, o município apresenta desempenho inferior ao da região (5,2% no mesmo período). Frente ao trimestre imediatamente anterior (2025T4), o mercado formal local registra aceleração da geração de empregos.</w:t>
      </w:r>
    </w:p>
    <w:bookmarkEnd w:id="40"/>
    <w:bookmarkStart w:id="47" w:name="panorama-regional---alto-oeste-potiguar"/>
    <w:p>
      <w:pPr>
        <w:pStyle w:val="Ttulo1"/>
      </w:pPr>
      <w:r>
        <w:t xml:space="preserve">2. Panorama Regional - Alto Oeste Potiguar</w:t>
      </w:r>
    </w:p>
    <w:p>
      <w:pPr>
        <w:pStyle w:val="FirstParagraph"/>
      </w:pPr>
      <w:r>
        <w:t xml:space="preserve">Esta seção apresenta os resultados do trimestre de referência para o Alto Oeste Potiguar como um todo: principais indicadores agregados, composição setorial e o posicionamento de cada município no ranking regional. A trajetória de longo prazo do estoque de empregos formais do município focal e do conjunto da região é tratada na Seção 3.1, onde os valores são analisados de forma integrada para evitar redundância.</w:t>
      </w:r>
    </w:p>
    <w:bookmarkStart w:id="42" w:name="resultado-trimestral"/>
    <w:p>
      <w:pPr>
        <w:pStyle w:val="Ttulo2"/>
      </w:pPr>
      <w:r>
        <w:t xml:space="preserve">2.1 Resultado Trimestral</w:t>
      </w:r>
    </w:p>
    <w:p>
      <w:pPr>
        <w:pStyle w:val="FirstParagraph"/>
      </w:pPr>
      <w:r>
        <w:t xml:space="preserve">A</w:t>
      </w:r>
      <w:r>
        <w:t xml:space="preserve"> </w:t>
      </w:r>
      <w:hyperlink w:anchor="tbl-regional">
        <w:r>
          <w:rPr>
            <w:rStyle w:val="Hyperlink"/>
          </w:rPr>
          <w:t xml:space="preserve">Tabela 2</w:t>
        </w:r>
      </w:hyperlink>
      <w:r>
        <w:t xml:space="preserve"> </w:t>
      </w:r>
      <w:r>
        <w:t xml:space="preserve">sintetiza os principais indicadores do fluxo de admissões e desligamentos registrados no Alto Oeste Potiguar durante o 1º trimestre de 2026. A variação do estoque é o indicador central para avaliar se o mercado regional gerou ou destruiu empregos formais no período.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regio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2: Mercado de trabalho formal — Alto Oeste Potiguar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Indicador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Valor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Admissões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Desligamentos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Estoque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9.771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Variação trimestral do estoque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2,5%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Variação interanual do estoque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5,2%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Acumulado no ano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Saldo em 12 meses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2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Fonte: Novo CAGED. Elaboração própria.</w:t>
                  </w:r>
                </w:p>
              </w:tc>
            </w:tr>
          </w:tbl>
          <w:bookmarkEnd w:id="41"/>
        </w:tc>
      </w:tr>
    </w:tbl>
    <w:p>
      <w:pPr>
        <w:pStyle w:val="BodyText"/>
      </w:pPr>
      <w:r>
        <w:t xml:space="preserve">No 1º trimestre de 2026, o conjunto dos municípios do Alto Oeste Potiguar gerou saldo líquido de 234 empregos formais, resultado de 992 admissões e 758 desligamentos. O estoque regional de vínculos ativos encerrou o período em 9.771, com variação trimestral de 2,5% e variação interanual de 5,2%. O comportamento regional indica crescimento acelerado, com saldo 280 vínculos acima do registrado no período anterior.</w:t>
      </w:r>
    </w:p>
    <w:bookmarkEnd w:id="42"/>
    <w:bookmarkStart w:id="44" w:name="estrutura-setorial-regional"/>
    <w:p>
      <w:pPr>
        <w:pStyle w:val="Ttulo2"/>
      </w:pPr>
      <w:r>
        <w:t xml:space="preserve">2.2 Estrutura Setorial Regional</w:t>
      </w:r>
    </w:p>
    <w:p>
      <w:pPr>
        <w:pStyle w:val="FirstParagraph"/>
      </w:pPr>
      <w:r>
        <w:t xml:space="preserve">A</w:t>
      </w:r>
      <w:r>
        <w:t xml:space="preserve"> </w:t>
      </w:r>
      <w:hyperlink w:anchor="tbl-setores-regiao">
        <w:r>
          <w:rPr>
            <w:rStyle w:val="Hyperlink"/>
          </w:rPr>
          <w:t xml:space="preserve">Tabela 3</w:t>
        </w:r>
      </w:hyperlink>
      <w:r>
        <w:t xml:space="preserve"> </w:t>
      </w:r>
      <w:r>
        <w:t xml:space="preserve">decompõe o saldo regional por setor — Agricultura, Indústria, Construção, Comércio e Serviços — identificando quais segmentos foram os principais motores e freios do emprego formal na região no trimestre.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setores-regia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3: Participação setorial nas movimentações e no saldo — Alto Oeste Potiguar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Setor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Admissões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Desligamentos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Δ T12025-T12026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saldo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Comércio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380,8%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53,4%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Construção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-525,0%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Serviços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-67,6%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14,5%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Indústria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-10,0%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7,7%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Agricultura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2,6%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992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758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234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100,0%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Δ T12025-T12026 (%): variação % do saldo entre o mesmo trimestre dos dois anos. Part. saldo: participação no saldo absoluto regional. Fonte: Novo CAGED.</w:t>
                  </w:r>
                </w:p>
              </w:tc>
            </w:tr>
          </w:tbl>
          <w:bookmarkEnd w:id="43"/>
        </w:tc>
      </w:tr>
    </w:tbl>
    <w:p>
      <w:pPr>
        <w:pStyle w:val="BodyText"/>
      </w:pPr>
      <w:r>
        <w:t xml:space="preserve">A análise setorial regional revela que Comércio foi o principal vetor de crescimento do emprego formal, com saldo de 125 vínculos e participação de 47,6% no total de movimentações da região. Esse protagonismo do Comércio é consistente com o perfil econômico do Alto Oeste Potiguar, onde atividades comerciais e de serviços concentram a maior parte do emprego formal registrado.</w:t>
      </w:r>
    </w:p>
    <w:bookmarkEnd w:id="44"/>
    <w:bookmarkStart w:id="46" w:name="ranking-municipal"/>
    <w:p>
      <w:pPr>
        <w:pStyle w:val="Ttulo2"/>
      </w:pPr>
      <w:r>
        <w:t xml:space="preserve">2.3 Ranking Municipal</w:t>
      </w:r>
    </w:p>
    <w:p>
      <w:pPr>
        <w:pStyle w:val="FirstParagraph"/>
      </w:pPr>
      <w:r>
        <w:t xml:space="preserve">A</w:t>
      </w:r>
      <w:r>
        <w:t xml:space="preserve"> </w:t>
      </w:r>
      <w:hyperlink w:anchor="tbl-ranking">
        <w:r>
          <w:rPr>
            <w:rStyle w:val="Hyperlink"/>
          </w:rPr>
          <w:t xml:space="preserve">Tabela 4</w:t>
        </w:r>
      </w:hyperlink>
      <w:r>
        <w:t xml:space="preserve"> </w:t>
      </w:r>
      <w:r>
        <w:t xml:space="preserve">apresenta os municípios do Alto Oeste Potiguar ordenados pelo saldo líquido de empregos formais no trimestre. A coluna</w:t>
      </w:r>
      <w:r>
        <w:t xml:space="preserve"> </w:t>
      </w:r>
      <w:r>
        <w:rPr>
          <w:i/>
          <w:iCs/>
        </w:rPr>
        <w:t xml:space="preserve">% saldo regional</w:t>
      </w:r>
      <w:r>
        <w:t xml:space="preserve"> </w:t>
      </w:r>
      <w:r>
        <w:t xml:space="preserve">indica a contribuição de cada município para o resultado agregado da região — valores positivos elevados indicam os principais polos de geração de empregos; valores negativos indicam municípios com mais desligamentos que admissões.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rank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4: Ranking municipal por saldo — Alto Oeste Potiguar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Posição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Município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Admissões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Desligamentos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% saldo regional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São Miguel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82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Pau dos Ferros/RN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Marcelino Vieira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8,1%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Martins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8,1%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Riacho da Cruz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4,7%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Tenente Ananias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Antônio Martins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Major Sales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Doutor Severiano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2,6%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João Dias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2,6%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% saldo regional: contribuição de cada município para o saldo total da região no trimestre. Fonte: Novo CAGED.</w:t>
                  </w:r>
                </w:p>
              </w:tc>
            </w:tr>
          </w:tbl>
          <w:bookmarkEnd w:id="45"/>
        </w:tc>
      </w:tr>
    </w:tbl>
    <w:p>
      <w:pPr>
        <w:pStyle w:val="BodyText"/>
      </w:pPr>
      <w:r>
        <w:t xml:space="preserve">No ranking regional do 1º trimestre de 2026 (ver</w:t>
      </w:r>
      <w:r>
        <w:t xml:space="preserve"> </w:t>
      </w:r>
      <w:hyperlink w:anchor="tbl-ranking">
        <w:r>
          <w:rPr>
            <w:rStyle w:val="Hyperlink"/>
          </w:rPr>
          <w:t xml:space="preserve">Tabela 4</w:t>
        </w:r>
      </w:hyperlink>
      <w:r>
        <w:t xml:space="preserve">), Pau dos Ferros/RN ocupou a 2ª posição entre os 27 municípios do Alto Oeste Potiguar com registros no CAGED, respondendo por 33,8% do saldo líquido regional. Os cinco municípios com maior saldo líquido no período foram: São Miguel, Pau dos Ferros/RN, Marcelino Vieira, Martins, Riacho da Cruz. A posição de Pau dos Ferros/RN no ranking confirma seu papel como principal polo de geração de emprego formal na mesorregião.</w:t>
      </w:r>
    </w:p>
    <w:bookmarkEnd w:id="46"/>
    <w:bookmarkEnd w:id="47"/>
    <w:bookmarkStart w:id="81" w:name="análise-detalhada---pau-dos-ferrosrn"/>
    <w:p>
      <w:pPr>
        <w:pStyle w:val="Ttulo1"/>
      </w:pPr>
      <w:r>
        <w:t xml:space="preserve">3. Análise Detalhada - Pau dos Ferros/RN</w:t>
      </w:r>
    </w:p>
    <w:p>
      <w:pPr>
        <w:pStyle w:val="FirstParagraph"/>
      </w:pPr>
      <w:r>
        <w:t xml:space="preserve">Esta seção aprofunda a análise do mercado de trabalho formal de Pau dos Ferros/RN, examinando a trajetória do estoque de empregos, a dinâmica trimestral, a estrutura setorial e o perfil dos trabalhadores movimentados. As análises seguem uma sequência lógica: do estoque (visão de médio prazo) para o fluxo trimestral, depois para a composição setorial e, por fim, para as características individuais dos vínculos gerados.</w:t>
      </w:r>
    </w:p>
    <w:bookmarkStart w:id="52" w:name="estoque-de-emprego"/>
    <w:p>
      <w:pPr>
        <w:pStyle w:val="Ttulo2"/>
      </w:pPr>
      <w:r>
        <w:t xml:space="preserve">3.1 Estoque de Emprego</w:t>
      </w:r>
    </w:p>
    <w:p>
      <w:pPr>
        <w:pStyle w:val="FirstParagraph"/>
      </w:pPr>
      <w:r>
        <w:t xml:space="preserve">O estoque representa o total estimado de vínculos formais ativos ao final do trimestre. Como o Novo CAGED registra apenas fluxos (admissões e desligamentos), o estoque é reconstruído a partir de um valor de referência (baseline) acumulando os saldos mensais. A</w:t>
      </w:r>
      <w:r>
        <w:t xml:space="preserve"> </w:t>
      </w:r>
      <w:hyperlink w:anchor="fig-estoque">
        <w:r>
          <w:rPr>
            <w:rStyle w:val="Hyperlink"/>
          </w:rPr>
          <w:t xml:space="preserve">Figura 1</w:t>
        </w:r>
      </w:hyperlink>
      <w:r>
        <w:t xml:space="preserve"> </w:t>
      </w:r>
      <w:r>
        <w:t xml:space="preserve">apresenta a evolução do estoque tanto para Pau dos Ferros/RN quanto para o conjunto do Alto Oeste Potiguar, permitindo dimensionar o peso do município no contexto regional e comparar suas trajetórias de crescimento. Os valores históricos são derivados da série mensal do MTE; os trimestres mais recentes são ancorados no último ponto histórico (Dez/2025) e atualizados com os saldos do CAGED.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estoque"/>
          <w:p>
            <w:pPr>
              <w:pStyle w:val="Compact"/>
              <w:jc w:val="left"/>
            </w:pPr>
            <w:r>
              <w:drawing>
                <wp:inline>
                  <wp:extent cx="5397500" cy="284186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oletim_files/figure-docx/fig-estoque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0" cy="284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Figura 1: Evolução do estoque de empregos formais — Pau dos Ferros/RN e Alto Oeste Potiguar — Jan/2020 a 2026T1. Série mensal MTE até Dez/2025; trimestral CAGED a partir de 2026 (ancorado no último valor histórico). Fonte: MTE/Novo CAGED. Elaboração própria.</w:t>
            </w:r>
          </w:p>
          <w:bookmarkEnd w:id="51"/>
        </w:tc>
      </w:tr>
    </w:tbl>
    <w:p>
      <w:pPr>
        <w:pStyle w:val="BodyText"/>
      </w:pPr>
      <w:r>
        <w:t xml:space="preserve">A</w:t>
      </w:r>
      <w:r>
        <w:t xml:space="preserve"> </w:t>
      </w:r>
      <w:hyperlink w:anchor="fig-estoque">
        <w:r>
          <w:rPr>
            <w:rStyle w:val="Hyperlink"/>
          </w:rPr>
          <w:t xml:space="preserve">Figura 1</w:t>
        </w:r>
      </w:hyperlink>
      <w:r>
        <w:t xml:space="preserve"> </w:t>
      </w:r>
      <w:r>
        <w:t xml:space="preserve">evidencia a trajetória de crescimento consistente do emprego formal em Pau dos Ferros/RN e o coloca em perspectiva com o conjunto do Alto Oeste Potiguar. Ao final do 1º trimestre de 2026, o município registrou 4.716 vínculos formais ativos — valor que representa 48,3% do estoque total estimado para o Alto Oeste Potiguar (9.771 vínculos). Essa concentração confirma o papel de Pau dos Ferros/RN como polo dominante do emprego formal na microrregião: sozinho, o município abriga praticamente metade de todos os vínculos formais registrados nos 30 municípios do Alto Oeste Potiguar. Em relação ao mesmo período de 2025, o estoque do município cresceu 2,5%, equivalente a aproximadamente 117 postos de trabalho adicionais — expansão que reforça a dinâmica econômica diferenciada do município frente ao interior potiguar. A análise da média móvel de quatro trimestres aponta tendência de alta no emprego formal do município, sinalizando um movimento estrutural e não apenas uma variação pontual de curto prazo. Esse indicador é relevante porque suaviza oscilações sazonais — comuns no primeiro trimestre do ano, período com menor atividade em setores como comércio e construção — e permite uma leitura mais robusta da direção do mercado de trabalho local.</w:t>
      </w:r>
    </w:p>
    <w:bookmarkEnd w:id="52"/>
    <w:bookmarkStart w:id="62" w:name="dinâmica-do-emprego"/>
    <w:p>
      <w:pPr>
        <w:pStyle w:val="Ttulo2"/>
      </w:pPr>
      <w:r>
        <w:t xml:space="preserve">3.2 Dinâmica do Emprego</w:t>
      </w:r>
    </w:p>
    <w:p>
      <w:pPr>
        <w:pStyle w:val="FirstParagraph"/>
      </w:pPr>
      <w:r>
        <w:t xml:space="preserve">Esta subseção analisa o fluxo trimestral de admissões e desligamentos, o saldo líquido resultante e a taxa de rotatividade. Enquanto o estoque captura o nível absoluto de empregos, a dinâmica revela o ritmo e a qualidade das movimentações — em especial, se os empregos gerados tendem a ser estáveis ou de curta duração.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saldo-municipio"/>
          <w:p>
            <w:pPr>
              <w:pStyle w:val="Compact"/>
              <w:jc w:val="left"/>
            </w:pPr>
            <w:r>
              <w:drawing>
                <wp:inline>
                  <wp:extent cx="5397500" cy="312605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boletim_files/figure-docx/fig-saldo-municipio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0" cy="3126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Figura 2: Saldo trimestral de empregos formais — Pau dos Ferros/RN. Linha tracejada: média móvel de 4 trimestres. Fonte: Novo CAGED. Elaboração própria.</w:t>
            </w:r>
          </w:p>
          <w:bookmarkEnd w:id="5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dinamic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5: Dinâmica do emprego formal — Pau dos Ferros/RN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Indicador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Valor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Nota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Saldo trimestral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Admissões: 496 | Desligamentos: 417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Saldo acumulado no ano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Soma dos saldos de todos os trimestres de 2026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Variação interanual do saldo (1T2026 vs. 1T2025)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Variação % do saldo do 1T2026 vs. 1T2025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Variação do estoque em 12 meses (4 trimestres)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2,5%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Soma dos saldos dos últimos 4 trimestres disponíveis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Taxa de rotatividade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8,8%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Menor valor entre admissões e desligamentos / estoque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3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Fonte: Novo CAGED. Elaboração própria.</w:t>
                  </w:r>
                </w:p>
              </w:tc>
            </w:tr>
          </w:tbl>
          <w:bookmarkEnd w:id="57"/>
        </w:tc>
      </w:tr>
    </w:tbl>
    <w:p>
      <w:pPr>
        <w:pStyle w:val="BodyText"/>
      </w:pPr>
      <w:r>
        <w:t xml:space="preserve">A</w:t>
      </w:r>
      <w:r>
        <w:t xml:space="preserve"> </w:t>
      </w:r>
      <w:hyperlink w:anchor="fig-saldo-municipio">
        <w:r>
          <w:rPr>
            <w:rStyle w:val="Hyperlink"/>
          </w:rPr>
          <w:t xml:space="preserve">Figura 2</w:t>
        </w:r>
      </w:hyperlink>
      <w:r>
        <w:t xml:space="preserve"> </w:t>
      </w:r>
      <w:r>
        <w:t xml:space="preserve">apresenta o histórico de saldos trimestrais dos últimos três anos, com a linha tracejada indicando a média móvel de 4 trimestres — instrumento que suaviza a sazonalidade e evidencia a tendência estrutural. No 1º trimestre de 2026, Pau dos Ferros/RN registrou saldo de 79 vínculos, resultado de 496 admissões e 417 desligamentos. Esse desempenho indica aceleração da geração de empregos em relação ao trimestre anterior — que havia registrado saldo de -35 vínculos. Esse resultado representa uma inversão de tendência relevante: após registrar saldo negativo de -35 vínculos no trimestre anterior, o mercado formal local retomou a trajetória de crescimento. Comparando o 1º trimestre de 2026 com o mesmo trimestre de 2025 — quando o saldo foi de 60 vínculos —, o resultado atual é 31,7% superior, indicando aceleração na geração de empregos formais na comparação interanual. Como o período de referência é o 1º trimestre, o saldo acumulado no ano de 2026 coincide com o resultado trimestral (79 vínculos). A</w:t>
      </w:r>
      <w:r>
        <w:t xml:space="preserve"> </w:t>
      </w:r>
      <w:hyperlink w:anchor="tbl-dinamica">
        <w:r>
          <w:rPr>
            <w:rStyle w:val="Hyperlink"/>
          </w:rPr>
          <w:t xml:space="preserve">Tabela 5</w:t>
        </w:r>
      </w:hyperlink>
      <w:r>
        <w:t xml:space="preserve"> </w:t>
      </w:r>
      <w:r>
        <w:t xml:space="preserve">consolida os principais indicadores dinâmicos do período: além do saldo trimestral e acumulado, destaca-se o saldo em 12 meses (123 vínculos), que captura a trajetória do emprego formal para além das variações sazonais, e a variação interanual do estoque (2,5%), que mede o crescimento estrutural do mercado de trabalho local. A taxa de rotatividade do trimestre foi de 8,8% — analisada em detalhe na</w:t>
      </w:r>
      <w:r>
        <w:t xml:space="preserve"> </w:t>
      </w:r>
      <w:hyperlink w:anchor="fig-rotatividade">
        <w:r>
          <w:rPr>
            <w:rStyle w:val="Hyperlink"/>
          </w:rPr>
          <w:t xml:space="preserve">Figura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rotatividade"/>
          <w:p>
            <w:pPr>
              <w:pStyle w:val="Compact"/>
              <w:jc w:val="left"/>
            </w:pPr>
            <w:r>
              <w:drawing>
                <wp:inline>
                  <wp:extent cx="5397500" cy="28055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oletim_files/figure-docx/fig-rotatividade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0" cy="280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Figura 3: Taxa de rotatividade do emprego formal — Pau dos Ferros/RN vs. Alto Oeste Potiguar. Rotatividade = mín(admissões, desligamentos) / estoque. Fonte: Novo CAGED. Elaboração própria.</w:t>
            </w:r>
          </w:p>
          <w:bookmarkEnd w:id="61"/>
        </w:tc>
      </w:tr>
    </w:tbl>
    <w:p>
      <w:pPr>
        <w:pStyle w:val="BodyText"/>
      </w:pPr>
      <w:r>
        <w:t xml:space="preserve">A taxa de rotatividade de Pau dos Ferros/RN no 1º trimestre de 2026 — detalhada na</w:t>
      </w:r>
      <w:r>
        <w:t xml:space="preserve"> </w:t>
      </w:r>
      <w:hyperlink w:anchor="fig-rotatividade">
        <w:r>
          <w:rPr>
            <w:rStyle w:val="Hyperlink"/>
          </w:rPr>
          <w:t xml:space="preserve">Figura 3</w:t>
        </w:r>
      </w:hyperlink>
      <w:r>
        <w:t xml:space="preserve"> </w:t>
      </w:r>
      <w:r>
        <w:t xml:space="preserve">— foi de 8,8%, considerada baixa. Para efeito de comparação, a região Alto Oeste Potiguar registrou rotatividade de 7,8% (baixa). O município apresentou rotatividade superior à média regional, o que pode indicar maior instabilidade nos vínculos formais locais — vagas sendo geradas e encerradas em ciclos mais curtos. Em perspectiva histórica, observa-se tendência de aumento da rotatividade nos últimos trimestres. Mercados com alta rotatividade e saldo positivo merecem atenção: o saldo líquido pode mascarar elevada reposição de mão de obra, com impacto sobre a qualidade e a permanência dos empregos gerados.</w:t>
      </w:r>
    </w:p>
    <w:bookmarkEnd w:id="62"/>
    <w:bookmarkStart w:id="74" w:name="estrutura-setorial"/>
    <w:p>
      <w:pPr>
        <w:pStyle w:val="Ttulo2"/>
      </w:pPr>
      <w:r>
        <w:t xml:space="preserve">3.3 Estrutura Setorial</w:t>
      </w:r>
    </w:p>
    <w:p>
      <w:pPr>
        <w:pStyle w:val="FirstParagraph"/>
      </w:pPr>
      <w:r>
        <w:t xml:space="preserve">A</w:t>
      </w:r>
      <w:r>
        <w:t xml:space="preserve"> </w:t>
      </w:r>
      <w:hyperlink w:anchor="tbl-setor-mun">
        <w:r>
          <w:rPr>
            <w:rStyle w:val="Hyperlink"/>
          </w:rPr>
          <w:t xml:space="preserve">Tabela 6</w:t>
        </w:r>
      </w:hyperlink>
      <w:r>
        <w:t xml:space="preserve"> </w:t>
      </w:r>
      <w:r>
        <w:t xml:space="preserve">apresenta o saldo de empregos formais por setor, a variação percentual em relação ao mesmo trimestre do ano anterior e a participação das mulheres no saldo de cada setor — permitindo identificar não apenas</w:t>
      </w:r>
      <w:r>
        <w:t xml:space="preserve"> </w:t>
      </w:r>
      <w:r>
        <w:rPr>
          <w:i/>
          <w:iCs/>
        </w:rPr>
        <w:t xml:space="preserve">quais</w:t>
      </w:r>
      <w:r>
        <w:t xml:space="preserve"> </w:t>
      </w:r>
      <w:r>
        <w:t xml:space="preserve">setores cresceram, mas também</w:t>
      </w:r>
      <w:r>
        <w:t xml:space="preserve"> </w:t>
      </w:r>
      <w:r>
        <w:rPr>
          <w:i/>
          <w:iCs/>
        </w:rPr>
        <w:t xml:space="preserve">para quem</w:t>
      </w:r>
      <w:r>
        <w:t xml:space="preserve"> </w:t>
      </w:r>
      <w:r>
        <w:t xml:space="preserve">as vagas foram geradas. A</w:t>
      </w:r>
      <w:r>
        <w:t xml:space="preserve"> </w:t>
      </w:r>
      <w:hyperlink w:anchor="fig-setores-mun">
        <w:r>
          <w:rPr>
            <w:rStyle w:val="Hyperlink"/>
          </w:rPr>
          <w:t xml:space="preserve">Figura 4</w:t>
        </w:r>
      </w:hyperlink>
      <w:r>
        <w:t xml:space="preserve"> </w:t>
      </w:r>
      <w:r>
        <w:t xml:space="preserve">complementa essa leitura mostrando a evolução trimestral do saldo por setor nos últimos trimestres, evidenciando se a estrutura setorial é estrutural ou pontual.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setor-mu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6: Saldo do emprego formal por setor — Pau dos Ferros/RN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Setor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Δ T12025-T12026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Mulher no Saldo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saldo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Comércio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-516,7%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Serviços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-66,1%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Indústria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-20,0%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37,5%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10,1%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Construção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-66,7%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-100,0%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57,0%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100,0%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Δ T12025-T12026 (%): variação % do saldo em relação ao mesmo trimestre do ano anterior. Part. Mulher no Saldo (%): participação feminina no saldo líquido do setor (apenas para setores com saldo positivo). Part. saldo: contribuição para o saldo total. Fonte: Novo CAGED.</w:t>
                  </w:r>
                </w:p>
              </w:tc>
            </w:tr>
          </w:tbl>
          <w:bookmarkEnd w:id="6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setores-mun"/>
          <w:p>
            <w:pPr>
              <w:pStyle w:val="Compact"/>
              <w:jc w:val="left"/>
            </w:pPr>
            <w:r>
              <w:drawing>
                <wp:inline>
                  <wp:extent cx="5397500" cy="284186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oletim_files/figure-docx/fig-setores-mun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0" cy="284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Figura 4: Saldo trimestral de empregos formais por setor — Pau dos Ferros/RN — do 1º trimestre de 2025 ao 1º trimestre de 2026. Fonte: Novo CAGED. Elaboração própria.</w:t>
            </w:r>
          </w:p>
          <w:bookmarkEnd w:id="67"/>
        </w:tc>
      </w:tr>
    </w:tbl>
    <w:p>
      <w:pPr>
        <w:pStyle w:val="BodyText"/>
      </w:pPr>
      <w:r>
        <w:t xml:space="preserve">A</w:t>
      </w:r>
      <w:r>
        <w:t xml:space="preserve"> </w:t>
      </w:r>
      <w:hyperlink w:anchor="tbl-setor-mun">
        <w:r>
          <w:rPr>
            <w:rStyle w:val="Hyperlink"/>
          </w:rPr>
          <w:t xml:space="preserve">Tabela 6</w:t>
        </w:r>
      </w:hyperlink>
      <w:r>
        <w:t xml:space="preserve"> </w:t>
      </w:r>
      <w:r>
        <w:t xml:space="preserve">apresenta o saldo de empregos formais por setor em Pau dos Ferros/RN no 1º trimestre de 2026, com a variação percentual em relação ao mesmo período de 2025 e a participação feminina no saldo de cada setor. 4 de 4 setores registraram saldo positivo. Comércio foi o segmento de maior dinamismo, respondendo pela maior geração líquida de vínculos (50 postos, equivalente a 63,3% do saldo total). Construção registrou a menor contribuição positiva (1 vínculos), sem contudo apresentar destruição líquida de postos. A</w:t>
      </w:r>
      <w:r>
        <w:t xml:space="preserve"> </w:t>
      </w:r>
      <w:hyperlink w:anchor="fig-setores-mun">
        <w:r>
          <w:rPr>
            <w:rStyle w:val="Hyperlink"/>
          </w:rPr>
          <w:t xml:space="preserve">Figura 4</w:t>
        </w:r>
      </w:hyperlink>
      <w:r>
        <w:t xml:space="preserve"> </w:t>
      </w:r>
      <w:r>
        <w:t xml:space="preserve">apresenta a evolução trimestral do saldo por setor nos últimos trimestres, permitindo verificar se a contribuição setorial atual é uma tendência consistente ou um movimento pontual. Sob a perspectiva de gênero, Serviços foi o setor com maior participação feminina no saldo positivo (65,0%) — sinal de que as vagas geradas nesse segmento beneficiam proporcionalmente mais as mulheres.</w:t>
      </w:r>
    </w:p>
    <w:bookmarkStart w:id="73" w:name="quociente-locacional"/>
    <w:p>
      <w:pPr>
        <w:pStyle w:val="Ttulo3"/>
      </w:pPr>
      <w:r>
        <w:t xml:space="preserve">3.3.1 Quociente Locacional</w:t>
      </w:r>
    </w:p>
    <w:p>
      <w:pPr>
        <w:pStyle w:val="FirstParagraph"/>
      </w:pPr>
      <w:r>
        <w:t xml:space="preserve">O Quociente Locacional (QL) é uma medida de especialização econômica relativa. Ele compara o peso de cada setor nas movimentações formais do município com o peso do mesmo setor na região. Setores com QL superior a 1,0 têm presença proporcionalmente maior em Pau dos Ferros/RN do que na média regional, sugerindo vocação econômica local nesses segmentos.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q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7: Quociente Locacional por setor — Pau dos Ferros/RN vs. Alto Oeste Potiguar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Setor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Mov. município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Mov. região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mun.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reg.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QL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Comércio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833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47,8%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1,19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Serviços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34,2%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DBEAFE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1,04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Construção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4,1%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8,4%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0,48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Indústria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3,5%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9,5%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0,37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QL &gt; 1: município mais especializado que a região. Fonte: Novo CAGED.</w:t>
                  </w:r>
                </w:p>
              </w:tc>
            </w:tr>
          </w:tbl>
          <w:bookmarkEnd w:id="6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ql"/>
          <w:p>
            <w:pPr>
              <w:pStyle w:val="Compact"/>
              <w:jc w:val="left"/>
            </w:pPr>
            <w:r>
              <w:drawing>
                <wp:inline>
                  <wp:extent cx="5397500" cy="299861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boletim_files/figure-docx/fig-ql-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0" cy="2998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Figura 5: Quociente Locacional por setor — Pau dos Ferros/RN vs. Alto Oeste Potiguar — 2026T1. Fonte: Novo CAGED. Elaboração própria.</w:t>
            </w:r>
          </w:p>
          <w:bookmarkEnd w:id="72"/>
        </w:tc>
      </w:tr>
    </w:tbl>
    <w:p>
      <w:pPr>
        <w:pStyle w:val="BodyText"/>
      </w:pPr>
      <w:r>
        <w:t xml:space="preserve">O Quociente Locacional (QL) por setor revela o perfil de especialização produtiva de Pau dos Ferros/RN em relação ao conjunto do Alto Oeste Potiguar. Os setores com maior especialização relativa — QL superior a 1,0 — são: Comércio (QL = 1.19), Serviços (QL = 1.04), indicando que esses segmentos têm peso proporcionalmente maior em Pau dos Ferros do que na média regional. Em contrapartida, Construção, Indústria apresentam QL inferior a 1,0, sinalizando menor presença relativa desses setores no município. Setores com QL elevado tendem a representar vocações econômicas locais consolidadas e podem ser priorizados em estratégias de promoção do desenvolvimento produtivo e de atração de investimentos complementares à base econômica existente.</w:t>
      </w:r>
    </w:p>
    <w:bookmarkEnd w:id="73"/>
    <w:bookmarkEnd w:id="74"/>
    <w:bookmarkStart w:id="76" w:name="perfil-do-trabalhador"/>
    <w:p>
      <w:pPr>
        <w:pStyle w:val="Ttulo2"/>
      </w:pPr>
      <w:r>
        <w:t xml:space="preserve">3.4 Perfil do Trabalhador</w:t>
      </w:r>
    </w:p>
    <w:p>
      <w:pPr>
        <w:pStyle w:val="FirstParagraph"/>
      </w:pPr>
      <w:r>
        <w:t xml:space="preserve">A</w:t>
      </w:r>
      <w:r>
        <w:t xml:space="preserve"> </w:t>
      </w:r>
      <w:hyperlink w:anchor="tbl-perfil-unificado">
        <w:r>
          <w:rPr>
            <w:rStyle w:val="Hyperlink"/>
          </w:rPr>
          <w:t xml:space="preserve">Tabela 8</w:t>
        </w:r>
      </w:hyperlink>
      <w:r>
        <w:t xml:space="preserve"> </w:t>
      </w:r>
      <w:r>
        <w:t xml:space="preserve">apresenta, em uma única tabela, as dimensões de escolaridade, faixa etária, faixa salarial e sexo dos trabalhadores envolvidos nas movimentações formais do trimestre. Para cada categoria, mostram-se o saldo líquido, a variação em relação ao mesmo trimestre de 2025 e a participação no saldo total — permitindo identificar tanto o desempenho atual quanto a evolução interanual de cada grupo.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perfil-unificad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8: Distribuição do saldo do emprego formal por atributos dos trabalhadores — Pau dos Ferros/RN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Categoria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Δ T12025-T12026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saldo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Escolaridade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Fundamental incompleto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-216,7%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-8,9%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Fundamental completo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-550,0%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-11,4%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Ensino médio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+110,8%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98,7%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Ensino superior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+27,3%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17,7%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Pós-graduação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-25,0%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Faixa etária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 a 24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+5,1%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51,9%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 a 39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-60,0%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 a 49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+375,0%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13,9%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 a 29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+220,0%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7,6%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 a 64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+121,4%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Até 17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-60,0%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2,5%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Faixa salarial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Até 1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+436,4%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&gt;1 a 1,5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-60,3%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36,7%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&gt;1,5 a 2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+233,3%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12,7%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Mais de 10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+200,0%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3,8%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&gt;2 a 3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+200,0%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&gt;5 a 10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&gt;3 a 5 SM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-1,3%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Sexo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EFF6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Mulher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+60,7%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Homem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+6,2%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Δ T12025-T12026 (%): variação % do saldo entre o mesmo trimestre dos dois anos (—: saldo base = 0 ou sem dado). Part. saldo (%): participação de cada categoria no saldo líquido total. Escolaridade agrupada em 5 níveis técnicos. Valores negativos indicam destruição líquida de vínculos.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Fonte: Novo CAGED. Elaboração própria.</w:t>
                  </w:r>
                </w:p>
              </w:tc>
            </w:tr>
          </w:tbl>
          <w:bookmarkEnd w:id="75"/>
        </w:tc>
      </w:tr>
    </w:tbl>
    <w:p>
      <w:pPr>
        <w:pStyle w:val="BodyText"/>
      </w:pPr>
      <w:r>
        <w:t xml:space="preserve">O perfil educacional dos trabalhadores movimentados em Pau dos Ferros/RN no 1º trimestre de 2026 mostra que</w:t>
      </w:r>
      <w:r>
        <w:t xml:space="preserve"> </w:t>
      </w:r>
      <w:r>
        <w:t xml:space="preserve">‘Ensino médio’</w:t>
      </w:r>
      <w:r>
        <w:t xml:space="preserve"> </w:t>
      </w:r>
      <w:r>
        <w:t xml:space="preserve">foi o nível de instrução predominante, respondendo por 73,2% das movimentações. Esse resultado é típico do mercado formal interiorano do Nordeste, onde a maioria das vagas demanda qualificação de nível médio. A concentração em torno desse nível educacional pode ser um limitador para a atração de atividades de maior valor agregado, como tecnologia e serviços especializados, que tendem a exigir formação superior.</w:t>
      </w:r>
    </w:p>
    <w:p>
      <w:pPr>
        <w:pStyle w:val="BodyText"/>
      </w:pPr>
      <w:r>
        <w:t xml:space="preserve">Em relação à distribuição etária, a faixa</w:t>
      </w:r>
      <w:r>
        <w:t xml:space="preserve"> </w:t>
      </w:r>
      <w:r>
        <w:t xml:space="preserve">‘18 a 24 anos’</w:t>
      </w:r>
      <w:r>
        <w:t xml:space="preserve"> </w:t>
      </w:r>
      <w:r>
        <w:t xml:space="preserve">concentrou a maior parte das movimentações (31,4% do total), o que é esperado em mercados de trabalho locais onde há rotatividade mais elevada entre jovens em início de carreira. A predominância dessa faixa merece atenção do ponto de vista da qualidade do emprego: trabalhadores mais jovens tendem a ocupar postos de menor remuneração e maior rotatividade, o que impacta a estabilidade dos vínculos gerados.</w:t>
      </w:r>
    </w:p>
    <w:p>
      <w:pPr>
        <w:pStyle w:val="BodyText"/>
      </w:pPr>
      <w:r>
        <w:t xml:space="preserve">A distribuição salarial evidencia a concentração estrutural do emprego formal local em faixas de remuneração mais baixas: 97,0% das movimentações corresponderam a trabalhadores que recebem até 2 salários mínimos, com destaque para a faixa</w:t>
      </w:r>
      <w:r>
        <w:t xml:space="preserve"> </w:t>
      </w:r>
      <w:r>
        <w:t xml:space="preserve">‘&gt;1 a 1,5 SM’</w:t>
      </w:r>
      <w:r>
        <w:t xml:space="preserve">, que sozinha respondeu por 79,8% do total. Esse perfil é consistente com a estrutura produtiva regional, mas representa um desafio para a mobilidade econômica dos trabalhadores locais. Políticas de qualificação profissional e atração de investimentos em setores de maior produtividade podem contribuir para elevar gradualmente o patamar salarial médio do mercado formal.</w:t>
      </w:r>
    </w:p>
    <w:bookmarkEnd w:id="76"/>
    <w:bookmarkStart w:id="78" w:name="top-ocupações-cbo"/>
    <w:p>
      <w:pPr>
        <w:pStyle w:val="Ttulo2"/>
      </w:pPr>
      <w:r>
        <w:t xml:space="preserve">3.5 Top Ocupações (CBO)</w:t>
      </w:r>
    </w:p>
    <w:p>
      <w:pPr>
        <w:pStyle w:val="FirstParagraph"/>
      </w:pPr>
      <w:r>
        <w:t xml:space="preserve">As ocupações são identificadas pela Classificação Brasileira de Ocupações (CBO). A</w:t>
      </w:r>
      <w:r>
        <w:t xml:space="preserve"> </w:t>
      </w:r>
      <w:hyperlink w:anchor="tbl-cbo-detalhado">
        <w:r>
          <w:rPr>
            <w:rStyle w:val="Hyperlink"/>
          </w:rPr>
          <w:t xml:space="preserve">Tabela 9</w:t>
        </w:r>
      </w:hyperlink>
      <w:r>
        <w:t xml:space="preserve"> </w:t>
      </w:r>
      <w:r>
        <w:t xml:space="preserve">apresenta as oito ocupações com maior</w:t>
      </w:r>
      <w:r>
        <w:t xml:space="preserve"> </w:t>
      </w:r>
      <w:r>
        <w:rPr>
          <w:b/>
          <w:bCs/>
        </w:rPr>
        <w:t xml:space="preserve">saldo líquido</w:t>
      </w:r>
      <w:r>
        <w:t xml:space="preserve"> </w:t>
      </w:r>
      <w:r>
        <w:t xml:space="preserve">no trimestre, enriquecidas com participação feminina, faixa etária predominante e salário médio de admissão. Quando o sistema identifica registros salariais incompatíveis com o cargo (acima de 10× o salário mínimo — prováveis erros de digitação no eSocial), eles são excluídos do cálculo e o valor exibido recebe um asterisco (*) indicando que se trata de uma média winsorizada. Essa ordenação por saldo garante consistência com as demais análises do boletim, destacando as funções que efetivamente ampliaram o estoque de vínculos formais.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cbo-detalhad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9: Top 8 ocupações por saldo líquido — Pau dos Ferros/RN — 2026T1: gênero, faixa etária e salário médio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  <w:t xml:space="preserve">Ocupação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  <w:t xml:space="preserve">% Mulheres (adm.)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  <w:t xml:space="preserve">F. etária modal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7"/>
                      <w:szCs w:val="17"/>
                      <w:color w:val="FFFFFF"/>
                    </w:rPr>
                    <w:t xml:space="preserve">Sal. médio (R$)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Repositor de Mercadorias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10,5%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18 a 24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R$ 1.607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Operador de Telemarketing Ativo 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Receptivo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25,0%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18 a 24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R$ 1.621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Operador de Caixa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41,4%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18 a 24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R$ 1.623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Atendente de Lojas e Mercados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37,5%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18 a 24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R$ 1.600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Assistente Administrativo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41,4%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18 a 24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R$ 1.692*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Fiscal de Loja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0,0%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30 a 39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R$ 1.743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Faxineiro (Desativado em 2010)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36,4%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30 a 39 anos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R$ 1.621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Pedreiro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0,0%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30 a 39 anos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DF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7"/>
                      <w:szCs w:val="17"/>
                      <w:color w:val="000000"/>
                    </w:rPr>
                    <w:t xml:space="preserve">R$ 2.052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* Salário winsorizado: foram identificados registros acima de 10× o salário mínimo nessa ocupação (prováveis erros de digitação no eSocial). O valor exibido é a média após exclusão desses registros, garantindo robustez ao indicador.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% Mulheres (adm.): participação feminina entre os admitidos. F. etária modal: faixa etária mais frequente entre os admitidos. Sal. médio: salário médio de admissão.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Fonte: Novo CAGED / CBO. Elaboração própria.</w:t>
                  </w:r>
                </w:p>
              </w:tc>
            </w:tr>
          </w:tbl>
          <w:bookmarkEnd w:id="77"/>
        </w:tc>
      </w:tr>
    </w:tbl>
    <w:p>
      <w:pPr>
        <w:pStyle w:val="BodyText"/>
      </w:pPr>
      <w:r>
        <w:t xml:space="preserve">A</w:t>
      </w:r>
      <w:r>
        <w:t xml:space="preserve"> </w:t>
      </w:r>
      <w:hyperlink w:anchor="tbl-cbo-detalhado">
        <w:r>
          <w:rPr>
            <w:rStyle w:val="Hyperlink"/>
          </w:rPr>
          <w:t xml:space="preserve">Tabela 9</w:t>
        </w:r>
      </w:hyperlink>
      <w:r>
        <w:t xml:space="preserve"> </w:t>
      </w:r>
      <w:r>
        <w:t xml:space="preserve">apresenta as oito ocupações com maior saldo líquido em Pau dos Ferros/RN no 1º trimestre de 2026, complementadas por informações de gênero, faixa etária e remuneração. A ordenação por saldo — e não por admissões brutas — reflete a qualidade líquida da geração de empregos, destacando as funções que efetivamente ampliaram o estoque de vínculos formais. As três ocupações com maior saldo foram: Repositor de Mercadorias, Operador de Telemarketing Ativo e Receptivo, Operador de Caixa. Na ocupação de maior destaque, 10,5% das admissões foram de mulheres, com salário médio de admissão de R$ 1.607. A análise conjunta de saldo, participação feminina e remuneração permite identificar se as vagas geradas são de boa qualidade e se beneficiam diferentes grupos de trabalhadores. Nota metodológica: em 1 ocupação(ões) foram identificados registros salariais acima de 10× o salário mínimo — prováveis erros de digitação no sistema do empregador. Esses valores foram excluídos do cálculo do salário médio; o valor apresentado reflete a média dos registros válidos.</w:t>
      </w:r>
    </w:p>
    <w:bookmarkEnd w:id="78"/>
    <w:bookmarkStart w:id="80" w:name="porte-do-estabelecimento"/>
    <w:p>
      <w:pPr>
        <w:pStyle w:val="Ttulo2"/>
      </w:pPr>
      <w:r>
        <w:t xml:space="preserve">3.6 Porte do Estabelecimento</w:t>
      </w:r>
    </w:p>
    <w:p>
      <w:pPr>
        <w:pStyle w:val="FirstParagraph"/>
      </w:pPr>
      <w:r>
        <w:t xml:space="preserve">A</w:t>
      </w:r>
      <w:r>
        <w:t xml:space="preserve"> </w:t>
      </w:r>
      <w:hyperlink w:anchor="tbl-porte">
        <w:r>
          <w:rPr>
            <w:rStyle w:val="Hyperlink"/>
          </w:rPr>
          <w:t xml:space="preserve">Tabela 10</w:t>
        </w:r>
      </w:hyperlink>
      <w:r>
        <w:t xml:space="preserve"> </w:t>
      </w:r>
      <w:r>
        <w:t xml:space="preserve">revela a estrutura do mercado de trabalho formal local segundo o tamanho do estabelecimento empregador. A coluna</w:t>
      </w:r>
      <w:r>
        <w:t xml:space="preserve"> </w:t>
      </w:r>
      <w:r>
        <w:rPr>
          <w:i/>
          <w:iCs/>
        </w:rPr>
        <w:t xml:space="preserve">Var. (%)</w:t>
      </w:r>
      <w:r>
        <w:t xml:space="preserve"> </w:t>
      </w:r>
      <w:r>
        <w:t xml:space="preserve">mostra a variação percentual do saldo em relação ao mesmo trimestre do ano anterior — um indicador mais comparável do que a variação absoluta, pois neutraliza diferenças de escala entre os segmentos de porte. Estabelecimentos de menor porte tendem a apresentar maior rotatividade; os de médio e grande porte, maior estabilidade dos vínculos.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por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10: Saldo do emprego formal por porte do estabelecimento — Pau dos Ferros/RN — 2026T1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Porte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Saldo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Δ T12025-T12026 (%)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1F4E79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FFFFFF"/>
                    </w:rPr>
                    <w:t xml:space="preserve">Part. saldo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Microempresa (até 4)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71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+39,2%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12" w:space="0" w:color="1F4E79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89,9%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Pequena (5 a 9)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-11,1%</w:t>
                  </w:r>
                </w:p>
              </w:tc>
              <w:tc>
                <w:tcPr>
                  <w:tcBorders>
                    <w:bottom w:val="single" w:sz="4" w:space="0" w:color="BDBDBD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10,1%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single" w:sz="12" w:space="0" w:color="1F4E79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none" w:sz="0" w:space="0" w:color="000000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single" w:sz="12" w:space="0" w:color="1F4E79"/>
                    <w:top w:val="single" w:sz="4" w:space="0" w:color="BDBDBD"/>
                    <w:left w:val="none" w:sz="0" w:space="0" w:color="000000"/>
                    <w:right w:val="single" w:sz="12" w:space="0" w:color="1F4E79"/>
                  </w:tcBorders>
                  <w:shd w:val="clear" w:color="auto" w:fill="F0F4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100,0%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12" w:space="0" w:color="1F4E79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Nota: Δ T12025-T12026 (%): variação % do saldo entre o mesmo trimestre dos dois anos (—: saldo base = 0 ou sem dado). Part. saldo: contribuição para o saldo líquido total. Fonte: Novo CAGED.</w:t>
                  </w:r>
                </w:p>
              </w:tc>
            </w:tr>
          </w:tbl>
          <w:bookmarkEnd w:id="79"/>
        </w:tc>
      </w:tr>
    </w:tbl>
    <w:p>
      <w:pPr>
        <w:pStyle w:val="BodyText"/>
      </w:pPr>
      <w:r>
        <w:t xml:space="preserve">A distribuição do saldo por porte do estabelecimento empregador oferece uma dimensão importante sobre a estrutura do mercado de trabalho formal em Pau dos Ferros/RN. Os estabelecimentos de porte</w:t>
      </w:r>
      <w:r>
        <w:t xml:space="preserve"> </w:t>
      </w:r>
      <w:r>
        <w:t xml:space="preserve">‘Microempresa (até 4)’</w:t>
      </w:r>
      <w:r>
        <w:t xml:space="preserve"> </w:t>
      </w:r>
      <w:r>
        <w:t xml:space="preserve">foram os maiores geradores líquidos de vínculos no trimestre (71 postos). Nenhum porte registrou saldo negativo no período. A predominância de determinado segmento de porte na geração de empregos tem implicações para a política local de desenvolvimento econômico: quando micro e pequenas empresas lideram a absorção, o mercado tende a ser mais pulverizado e vulnerável a choques; quando grandes estabelecimentos dominam, há maior estabilidade, mas também maior concentração de risco.</w:t>
      </w:r>
    </w:p>
    <w:bookmarkEnd w:id="80"/>
    <w:bookmarkEnd w:id="81"/>
    <w:bookmarkStart w:id="90" w:name="notas-metodológicas"/>
    <w:p>
      <w:pPr>
        <w:pStyle w:val="Ttulo1"/>
      </w:pPr>
      <w:r>
        <w:t xml:space="preserve">4. Notas Metodológicas</w:t>
      </w:r>
    </w:p>
    <w:p>
      <w:pPr>
        <w:pStyle w:val="FirstParagraph"/>
      </w:pPr>
      <w:r>
        <w:t xml:space="preserve">Esta seção descreve as fontes de dados, os conceitos utilizados e os procedimentos metodológicos adotados na elaboração do boletim. A leitura desta seção é recomendada para compreender as limitações e o escopo de cada indicador apresentado.</w:t>
      </w:r>
    </w:p>
    <w:bookmarkStart w:id="82" w:name="fonte-e-metodologia-geral"/>
    <w:p>
      <w:pPr>
        <w:pStyle w:val="Ttulo2"/>
      </w:pPr>
      <w:r>
        <w:t xml:space="preserve">4.1 Fonte e metodologia geral</w:t>
      </w:r>
    </w:p>
    <w:p>
      <w:pPr>
        <w:pStyle w:val="FirstParagraph"/>
      </w:pPr>
      <w:r>
        <w:t xml:space="preserve">Este boletim utiliza os microdados mensais do</w:t>
      </w:r>
      <w:r>
        <w:t xml:space="preserve"> </w:t>
      </w:r>
      <w:r>
        <w:rPr>
          <w:b/>
          <w:bCs/>
        </w:rPr>
        <w:t xml:space="preserve">Novo CAGED</w:t>
      </w:r>
      <w:r>
        <w:t xml:space="preserve"> </w:t>
      </w:r>
      <w:r>
        <w:t xml:space="preserve">(Cadastro Geral de Empregados e Desempregados), divulgados pelo Ministério do Trabalho e Emprego (MTE). Os dados são agregados por trimestre de referência. O</w:t>
      </w:r>
      <w:r>
        <w:t xml:space="preserve"> </w:t>
      </w:r>
      <w:r>
        <w:rPr>
          <w:b/>
          <w:bCs/>
        </w:rPr>
        <w:t xml:space="preserve">saldo</w:t>
      </w:r>
      <w:r>
        <w:t xml:space="preserve"> </w:t>
      </w:r>
      <w:r>
        <w:t xml:space="preserve">corresponde à diferença entre admissões e desligamentos registrados no período. O</w:t>
      </w:r>
      <w:r>
        <w:t xml:space="preserve"> </w:t>
      </w:r>
      <w:r>
        <w:rPr>
          <w:b/>
          <w:bCs/>
        </w:rPr>
        <w:t xml:space="preserve">resultado acumulado no ano</w:t>
      </w:r>
      <w:r>
        <w:t xml:space="preserve"> </w:t>
      </w:r>
      <w:r>
        <w:t xml:space="preserve">soma os saldos trimestrais do ano corrente até o período de referência. O</w:t>
      </w:r>
      <w:r>
        <w:t xml:space="preserve"> </w:t>
      </w:r>
      <w:r>
        <w:rPr>
          <w:b/>
          <w:bCs/>
        </w:rPr>
        <w:t xml:space="preserve">saldo em 12 meses</w:t>
      </w:r>
      <w:r>
        <w:t xml:space="preserve"> </w:t>
      </w:r>
      <w:r>
        <w:t xml:space="preserve">agrega os quatro últimos trimestres disponíveis, oferecendo uma visão de médio prazo independente da sazonalidade.</w:t>
      </w:r>
    </w:p>
    <w:bookmarkEnd w:id="82"/>
    <w:bookmarkStart w:id="83" w:name="taxa-de-rotatividade"/>
    <w:p>
      <w:pPr>
        <w:pStyle w:val="Ttulo2"/>
      </w:pPr>
      <w:r>
        <w:t xml:space="preserve">4.2 Taxa de rotatividade</w:t>
      </w:r>
    </w:p>
    <w:p>
      <w:pPr>
        <w:pStyle w:val="FirstParagraph"/>
      </w:pPr>
      <w:r>
        <w:t xml:space="preserve">A taxa de rotatividade é calculada como o menor valor entre admissões e desligamentos do trimestre, dividido pelo estoque estimado de vínculos ativos no período, expresso em percentual. Essa métrica complementa a leitura do saldo líquido: um resultado positivo acompanhado de rotatividade elevada pode mascarar instabilidade dos vínculos, com ciclos intensos de contratação e desligamento. O boletim inclui a evolução histórica da rotatividade, comparando o desempenho do município com a média da região.</w:t>
      </w:r>
    </w:p>
    <w:bookmarkEnd w:id="83"/>
    <w:bookmarkStart w:id="84" w:name="médias-móveis-e-tendência"/>
    <w:p>
      <w:pPr>
        <w:pStyle w:val="Ttulo2"/>
      </w:pPr>
      <w:r>
        <w:t xml:space="preserve">4.3 Médias móveis e tendência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média móvel de 4 trimestres</w:t>
      </w:r>
      <w:r>
        <w:t xml:space="preserve"> </w:t>
      </w:r>
      <w:r>
        <w:t xml:space="preserve">(linha tracejada nos gráficos de saldo e rotatividade) suaviza a variação sazonal e evidencia a tendência estrutural do mercado de trabalho. Quando o saldo trimestral oscila em torno da média móvel, o mercado está em trajetória estável; quando diverge de forma consistente, há aceleração ou desaceleração da tendência.</w:t>
      </w:r>
    </w:p>
    <w:bookmarkEnd w:id="84"/>
    <w:bookmarkStart w:id="85" w:name="quociente-locacional-ql"/>
    <w:p>
      <w:pPr>
        <w:pStyle w:val="Ttulo2"/>
      </w:pPr>
      <w:r>
        <w:t xml:space="preserve">4.4 Quociente Locacional (QL)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Quociente Locacional</w:t>
      </w:r>
      <w:r>
        <w:t xml:space="preserve"> </w:t>
      </w:r>
      <w:r>
        <w:t xml:space="preserve">compara a participação de cada setor nas movimentações do município com a participação do mesmo setor nas movimentações da região de referência. Formalmente: QL = (movimentações_setor_município / total_município) ÷ (movimentações_setor_região / total_região). Valores</w:t>
      </w:r>
      <w:r>
        <w:t xml:space="preserve"> </w:t>
      </w:r>
      <w:r>
        <w:rPr>
          <w:b/>
          <w:bCs/>
        </w:rPr>
        <w:t xml:space="preserve">QL &gt; 1</w:t>
      </w:r>
      <w:r>
        <w:t xml:space="preserve"> </w:t>
      </w:r>
      <w:r>
        <w:t xml:space="preserve">indicam especialização relativa — o setor tem peso proporcionalmente maior no município do que na região. Valores</w:t>
      </w:r>
      <w:r>
        <w:t xml:space="preserve"> </w:t>
      </w:r>
      <w:r>
        <w:rPr>
          <w:b/>
          <w:bCs/>
        </w:rPr>
        <w:t xml:space="preserve">QL &lt; 1</w:t>
      </w:r>
      <w:r>
        <w:t xml:space="preserve"> </w:t>
      </w:r>
      <w:r>
        <w:t xml:space="preserve">indicam sub-representação relativa.</w:t>
      </w:r>
    </w:p>
    <w:bookmarkEnd w:id="85"/>
    <w:bookmarkStart w:id="89" w:name="estimativa-do-estoque"/>
    <w:p>
      <w:pPr>
        <w:pStyle w:val="Ttulo2"/>
      </w:pPr>
      <w:r>
        <w:t xml:space="preserve">4.5 Estimativa do estoque</w:t>
      </w:r>
    </w:p>
    <w:p>
      <w:pPr>
        <w:pStyle w:val="FirstParagraph"/>
      </w:pPr>
      <w:r>
        <w:t xml:space="preserve">O Novo CAGED registra fluxos (admissões e desligamentos), não estoques. Para estimar o estoque de vínculos ativos, este boletim utiliza como ponto de ancoragem o valor de</w:t>
      </w:r>
      <w:r>
        <w:t xml:space="preserve"> </w:t>
      </w:r>
      <w:r>
        <w:rPr>
          <w:b/>
          <w:bCs/>
        </w:rPr>
        <w:t xml:space="preserve">3.856 vínculos formais</w:t>
      </w:r>
      <w:r>
        <w:t xml:space="preserve"> </w:t>
      </w:r>
      <w:r>
        <w:t xml:space="preserve">registrado em janeiro de 2023 para Pau dos Ferros/RN, conforme informado pela equipe técnica municipal. A partir desse baseline, o estoque é recalculado mensalmente pela acumulação dos saldos líquidos do CAGED. Para os demais municípios da região, o estoque deve ser interpretado como estimativa operacional relativa, sem ancoragem em valor absoluto validado externamente.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C:\Users\Cliente\AppData\Local\Programs\Quarto\share\formats\docx\note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Cobertura dos dados: emprego formal vs. total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Novo CAGED captura exclusivamente vínculos celetistas (CLT), não cobrindo servidores estatutários, trabalhadores por conta própria, empregados domésticos sem CTPS, nem trabalhadores informais. Para municípios do interior do Nordeste, a taxa de informalidade tende a ser elevada. A PNAD Contínua é a fonte recomendada para estimar o tamanho do mercado informal e a proporção de trabalhadores sem carteira. Os resultados deste boletim devem ser lidos como retrato do</w:t>
            </w:r>
            <w:r>
              <w:t xml:space="preserve"> </w:t>
            </w:r>
            <w:r>
              <w:rPr>
                <w:b/>
                <w:bCs/>
              </w:rPr>
              <w:t xml:space="preserve">emprego formal CLT</w:t>
            </w:r>
            <w:r>
              <w:t xml:space="preserve"> </w:t>
            </w:r>
            <w:r>
              <w:t xml:space="preserve">— segmento relevante, mas parcial, do mercado de trabalho local.</w:t>
            </w:r>
          </w:p>
          <w:p/>
        </w:tc>
      </w:tr>
    </w:tbl>
    <w:bookmarkEnd w:id="89"/>
    <w:bookmarkEnd w:id="90"/>
    <w:sectPr w:rsidR="005E1457" w:rsidRPr="00814257">
      <w:headerReference r:id="rId29" w:type="default"/>
      <w:footerReference r:id="rId30" w:type="default"/>
      <w:pgSz w:h="16838" w:w="11906"/>
      <w:pgMar w:bottom="1417" w:footer="708" w:gutter="0" w:header="708" w:left="1701" w:right="1701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4FF5" w14:textId="7E2F20D5" w:rsidR="00814257" w:rsidRDefault="00814257">
    <w:pPr>
      <w:pStyle w:val="Rodap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0B75C6" wp14:editId="0057DDF7">
          <wp:simplePos x="0" y="0"/>
          <wp:positionH relativeFrom="page">
            <wp:align>left</wp:align>
          </wp:positionH>
          <wp:positionV relativeFrom="paragraph">
            <wp:posOffset>-297930</wp:posOffset>
          </wp:positionV>
          <wp:extent cx="7940573" cy="926276"/>
          <wp:effectExtent l="0" t="0" r="3810" b="7620"/>
          <wp:wrapNone/>
          <wp:docPr id="689610104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610104" name="Imagem 6896101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6342" cy="936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FC37" w14:textId="41A7A45E" w:rsidR="00C35DEA" w:rsidRDefault="00814257">
    <w:pPr>
      <w:pStyle w:val="Cabealho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F183C6" wp14:editId="044EE3F1">
              <wp:simplePos x="0" y="0"/>
              <wp:positionH relativeFrom="column">
                <wp:posOffset>-1080135</wp:posOffset>
              </wp:positionH>
              <wp:positionV relativeFrom="paragraph">
                <wp:posOffset>-428625</wp:posOffset>
              </wp:positionV>
              <wp:extent cx="7639685" cy="457200"/>
              <wp:effectExtent l="0" t="0" r="18415" b="19050"/>
              <wp:wrapNone/>
              <wp:docPr id="1181581331" name="Retâ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685" cy="4572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"/>
                          <a:lumOff val="9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46DE221" id="Retângulo 17" o:spid="_x0000_s1026" style="position:absolute;margin-left:-85.05pt;margin-top:-33.75pt;width:601.5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" fillcolor="#dceaf7 [351]" strokecolor="white [3212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A43F123" wp14:editId="4F0B6C84">
              <wp:simplePos x="0" y="0"/>
              <wp:positionH relativeFrom="margin">
                <wp:posOffset>95250</wp:posOffset>
              </wp:positionH>
              <wp:positionV relativeFrom="paragraph">
                <wp:posOffset>-310515</wp:posOffset>
              </wp:positionV>
              <wp:extent cx="2478405" cy="312420"/>
              <wp:effectExtent l="0" t="0" r="0" b="0"/>
              <wp:wrapNone/>
              <wp:docPr id="108013797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8405" cy="312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F1044D" w14:textId="77777777" w:rsidR="00814257" w:rsidRPr="00166DF0" w:rsidRDefault="00814257" w:rsidP="00814257">
                          <w:r w:rsidRPr="00166DF0">
                            <w:t>TEMA – MÊS/ANO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43F123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5pt;margin-top:-24.45pt;width:195.15pt;height:24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" filled="f" stroked="f">
              <v:textbox>
                <w:txbxContent>
                  <w:p w14:paraId="32F1044D" w14:textId="77777777" w:rsidR="00814257" w:rsidRPr="00166DF0" w:rsidRDefault="00814257" w:rsidP="00814257">
                    <w:r w:rsidRPr="00166DF0">
                      <w:t>TEMA – MÊS/ANO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17F8FD6" wp14:editId="44997ADE">
              <wp:simplePos x="0" y="0"/>
              <wp:positionH relativeFrom="column">
                <wp:posOffset>4525125</wp:posOffset>
              </wp:positionH>
              <wp:positionV relativeFrom="paragraph">
                <wp:posOffset>-297972</wp:posOffset>
              </wp:positionV>
              <wp:extent cx="1744312" cy="312822"/>
              <wp:effectExtent l="0" t="0" r="0" b="0"/>
              <wp:wrapNone/>
              <wp:docPr id="115653809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4312" cy="3128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D95B89" w14:textId="77777777" w:rsidR="00814257" w:rsidRDefault="00814257" w:rsidP="00814257">
                          <w:r>
                            <w:t xml:space="preserve">SEPLAN – ANO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7F8FD6" id="_x0000_s1031" type="#_x0000_t202" style="position:absolute;margin-left:356.3pt;margin-top:-23.45pt;width:137.35pt;height:24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" filled="f" stroked="f">
              <v:textbox>
                <w:txbxContent>
                  <w:p w14:paraId="79D95B89" w14:textId="77777777" w:rsidR="00814257" w:rsidRDefault="00814257" w:rsidP="00814257">
                    <w:r>
                      <w:t xml:space="preserve">SEPLAN – ANO </w:t>
                    </w:r>
                  </w:p>
                </w:txbxContent>
              </v:textbox>
            </v:shape>
          </w:pict>
        </mc:Fallback>
      </mc:AlternateContent>
    </w:r>
  </w:p>
  <w:p w14:paraId="1FEDEE42" w14:textId="42943010" w:rsidR="00C35DEA" w:rsidRDefault="00C35DEA">
    <w:pPr>
      <w:pStyle w:val="Cabealho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EA"/>
    <w:rsid w:val="00077B67"/>
    <w:rsid w:val="00093811"/>
    <w:rsid w:val="0015092C"/>
    <w:rsid w:val="00166DF0"/>
    <w:rsid w:val="001B139E"/>
    <w:rsid w:val="002C354A"/>
    <w:rsid w:val="00340F3C"/>
    <w:rsid w:val="003B6C71"/>
    <w:rsid w:val="003E6F92"/>
    <w:rsid w:val="003F3676"/>
    <w:rsid w:val="00504DDE"/>
    <w:rsid w:val="00567147"/>
    <w:rsid w:val="0058449F"/>
    <w:rsid w:val="00597F46"/>
    <w:rsid w:val="005E1457"/>
    <w:rsid w:val="00674C7A"/>
    <w:rsid w:val="006B7B5E"/>
    <w:rsid w:val="006C7306"/>
    <w:rsid w:val="007774DF"/>
    <w:rsid w:val="00814257"/>
    <w:rsid w:val="008628C1"/>
    <w:rsid w:val="00863ED2"/>
    <w:rsid w:val="008B0539"/>
    <w:rsid w:val="00961985"/>
    <w:rsid w:val="00970606"/>
    <w:rsid w:val="009868C6"/>
    <w:rsid w:val="009F4A4B"/>
    <w:rsid w:val="00B16271"/>
    <w:rsid w:val="00B27751"/>
    <w:rsid w:val="00B65B27"/>
    <w:rsid w:val="00B92A4B"/>
    <w:rsid w:val="00BE444C"/>
    <w:rsid w:val="00C153B0"/>
    <w:rsid w:val="00C35DEA"/>
    <w:rsid w:val="00C82803"/>
    <w:rsid w:val="00C92122"/>
    <w:rsid w:val="00DE49BA"/>
    <w:rsid w:val="00DF4C29"/>
    <w:rsid w:val="00F2283C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pt-B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har"/>
    <w:uiPriority w:val="9"/>
    <w:qFormat/>
    <w:rsid w:val="003E6F92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Normal"/>
    <w:link w:val="Ttulo2Char"/>
    <w:uiPriority w:val="9"/>
    <w:semiHidden/>
    <w:unhideWhenUsed/>
    <w:qFormat/>
    <w:rsid w:val="00C35DE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C35DEA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C35DE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C35DE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C35DEA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C35DEA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C35DEA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C35DEA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Legenda" w:type="paragraph">
    <w:name w:val="caption"/>
    <w:basedOn w:val="Ttulo1"/>
    <w:next w:val="Normal"/>
    <w:uiPriority w:val="35"/>
    <w:unhideWhenUsed/>
    <w:qFormat/>
    <w:rsid w:val="003E6F92"/>
    <w:pPr>
      <w:spacing w:after="0" w:before="0" w:line="240" w:lineRule="auto"/>
    </w:pPr>
    <w:rPr>
      <w:rFonts w:ascii="Times New Roman" w:hAnsi="Times New Roman"/>
      <w:iCs/>
      <w:color w:themeColor="text1" w:val="000000"/>
      <w:kern w:val="0"/>
      <w:sz w:val="24"/>
      <w:szCs w:val="18"/>
      <w:lang w:eastAsia="pt-BR"/>
      <w14:ligatures w14:val="none"/>
    </w:rPr>
  </w:style>
  <w:style w:customStyle="1" w:styleId="Ttulo1Char" w:type="character">
    <w:name w:val="Título 1 Char"/>
    <w:basedOn w:val="Fontepargpadro"/>
    <w:link w:val="Ttulo1"/>
    <w:uiPriority w:val="9"/>
    <w:rsid w:val="003E6F92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C35DEA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C35DEA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C35DEA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C35DEA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C35DEA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C35DEA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C35DEA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C35DEA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har"/>
    <w:uiPriority w:val="10"/>
    <w:qFormat/>
    <w:rsid w:val="00C35DEA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C35DE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har"/>
    <w:uiPriority w:val="11"/>
    <w:qFormat/>
    <w:rsid w:val="00C35DEA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C35DEA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o" w:type="paragraph">
    <w:name w:val="Quote"/>
    <w:basedOn w:val="Normal"/>
    <w:next w:val="Normal"/>
    <w:link w:val="CitaoChar"/>
    <w:uiPriority w:val="29"/>
    <w:qFormat/>
    <w:rsid w:val="00C35DEA"/>
    <w:pPr>
      <w:spacing w:before="160"/>
      <w:jc w:val="center"/>
    </w:pPr>
    <w:rPr>
      <w:i/>
      <w:iCs/>
      <w:color w:themeColor="text1" w:themeTint="BF" w:val="404040"/>
    </w:rPr>
  </w:style>
  <w:style w:customStyle="1" w:styleId="CitaoChar" w:type="character">
    <w:name w:val="Citação Char"/>
    <w:basedOn w:val="Fontepargpadro"/>
    <w:link w:val="Citao"/>
    <w:uiPriority w:val="29"/>
    <w:rsid w:val="00C35DEA"/>
    <w:rPr>
      <w:i/>
      <w:iCs/>
      <w:color w:themeColor="text1" w:themeTint="BF" w:val="404040"/>
    </w:rPr>
  </w:style>
  <w:style w:styleId="PargrafodaLista" w:type="paragraph">
    <w:name w:val="List Paragraph"/>
    <w:basedOn w:val="Normal"/>
    <w:uiPriority w:val="34"/>
    <w:qFormat/>
    <w:rsid w:val="00C35DEA"/>
    <w:pPr>
      <w:ind w:left="720"/>
      <w:contextualSpacing/>
    </w:pPr>
  </w:style>
  <w:style w:styleId="nfaseIntensa" w:type="character">
    <w:name w:val="Intense Emphasis"/>
    <w:basedOn w:val="Fontepargpadro"/>
    <w:uiPriority w:val="21"/>
    <w:qFormat/>
    <w:rsid w:val="00C35DEA"/>
    <w:rPr>
      <w:i/>
      <w:iCs/>
      <w:color w:themeColor="accent1" w:themeShade="BF" w:val="0F4761"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C35DE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C35DEA"/>
    <w:rPr>
      <w:i/>
      <w:iCs/>
      <w:color w:themeColor="accent1" w:themeShade="BF" w:val="0F4761"/>
    </w:rPr>
  </w:style>
  <w:style w:styleId="RefernciaIntensa" w:type="character">
    <w:name w:val="Intense Reference"/>
    <w:basedOn w:val="Fontepargpadro"/>
    <w:uiPriority w:val="32"/>
    <w:qFormat/>
    <w:rsid w:val="00C35DEA"/>
    <w:rPr>
      <w:b/>
      <w:bCs/>
      <w:smallCaps/>
      <w:color w:themeColor="accent1" w:themeShade="BF" w:val="0F4761"/>
      <w:spacing w:val="5"/>
    </w:rPr>
  </w:style>
  <w:style w:styleId="Cabealho" w:type="paragraph">
    <w:name w:val="header"/>
    <w:basedOn w:val="Normal"/>
    <w:link w:val="CabealhoChar"/>
    <w:uiPriority w:val="99"/>
    <w:unhideWhenUsed/>
    <w:rsid w:val="00C35DEA"/>
    <w:pPr>
      <w:tabs>
        <w:tab w:pos="4252" w:val="center"/>
        <w:tab w:pos="8504" w:val="right"/>
      </w:tabs>
      <w:spacing w:after="0" w:line="240" w:lineRule="auto"/>
    </w:pPr>
  </w:style>
  <w:style w:customStyle="1" w:styleId="CabealhoChar" w:type="character">
    <w:name w:val="Cabeçalho Char"/>
    <w:basedOn w:val="Fontepargpadro"/>
    <w:link w:val="Cabealho"/>
    <w:uiPriority w:val="99"/>
    <w:rsid w:val="00C35DEA"/>
  </w:style>
  <w:style w:styleId="Rodap" w:type="paragraph">
    <w:name w:val="footer"/>
    <w:basedOn w:val="Normal"/>
    <w:link w:val="RodapChar"/>
    <w:uiPriority w:val="99"/>
    <w:unhideWhenUsed/>
    <w:rsid w:val="00C35DEA"/>
    <w:pPr>
      <w:tabs>
        <w:tab w:pos="4252" w:val="center"/>
        <w:tab w:pos="8504" w:val="right"/>
      </w:tabs>
      <w:spacing w:after="0" w:line="240" w:lineRule="auto"/>
    </w:pPr>
  </w:style>
  <w:style w:customStyle="1" w:styleId="RodapChar" w:type="character">
    <w:name w:val="Rodapé Char"/>
    <w:basedOn w:val="Fontepargpadro"/>
    <w:link w:val="Rodap"/>
    <w:uiPriority w:val="99"/>
    <w:rsid w:val="00C35DEA"/>
  </w:style>
  <w:style w:styleId="Sumrio1" w:type="paragraph">
    <w:name w:val="toc 1"/>
    <w:basedOn w:val="Normal"/>
    <w:next w:val="Normal"/>
    <w:autoRedefine/>
    <w:uiPriority w:val="39"/>
    <w:unhideWhenUsed/>
    <w:rsid w:val="009F4A4B"/>
    <w:pPr>
      <w:spacing w:after="100"/>
    </w:pPr>
  </w:style>
  <w:style w:styleId="Sumrio2" w:type="paragraph">
    <w:name w:val="toc 2"/>
    <w:basedOn w:val="Normal"/>
    <w:next w:val="Normal"/>
    <w:autoRedefine/>
    <w:uiPriority w:val="39"/>
    <w:unhideWhenUsed/>
    <w:rsid w:val="009F4A4B"/>
    <w:pPr>
      <w:spacing w:after="100"/>
      <w:ind w:left="220"/>
    </w:pPr>
  </w:style>
  <w:style w:styleId="Hyperlink" w:type="character">
    <w:name w:val="Hyperlink"/>
    <w:basedOn w:val="Fontepargpadro"/>
    <w:uiPriority w:val="99"/>
    <w:unhideWhenUsed/>
    <w:rsid w:val="009F4A4B"/>
    <w:rPr>
      <w:color w:themeColor="hyperlink" w:val="467886"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4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8" Target="numbering.xml" /><Relationship Type="http://schemas.openxmlformats.org/officeDocument/2006/relationships/styles" Id="rId37" Target="styles.xml" /><Relationship Type="http://schemas.openxmlformats.org/officeDocument/2006/relationships/settings" Id="rId36" Target="settings.xml" /><Relationship Type="http://schemas.openxmlformats.org/officeDocument/2006/relationships/webSettings" Id="rId35" Target="webSettings.xml" /><Relationship Type="http://schemas.openxmlformats.org/officeDocument/2006/relationships/fontTable" Id="rId34" Target="fontTable.xml" /><Relationship Type="http://schemas.openxmlformats.org/officeDocument/2006/relationships/theme" Id="rId33" Target="theme/theme1.xml" /><Relationship Type="http://schemas.openxmlformats.org/officeDocument/2006/relationships/footnotes" Id="rId32" Target="footnotes.xml" /><Relationship Type="http://schemas.openxmlformats.org/officeDocument/2006/relationships/comments" Id="rId31" Target="comments.xml" /><Relationship Id="rId8" Target="media/image3.png" Type="http://schemas.openxmlformats.org/officeDocument/2006/relationships/image" /><Relationship Id="rId13" Target="media/image8.png" Type="http://schemas.openxmlformats.org/officeDocument/2006/relationships/image" /><Relationship Id="rId18" Target="media/image13.png" Type="http://schemas.openxmlformats.org/officeDocument/2006/relationships/image" /><Relationship Id="rId26" Target="media/image21.png" Type="http://schemas.openxmlformats.org/officeDocument/2006/relationships/image" /><Relationship Id="rId21" Target="media/image16.png" Type="http://schemas.openxmlformats.org/officeDocument/2006/relationships/image" /><Relationship Id="rId7" Target="media/image2.png" Type="http://schemas.openxmlformats.org/officeDocument/2006/relationships/image" /><Relationship Id="rId12" Target="media/image7.png" Type="http://schemas.openxmlformats.org/officeDocument/2006/relationships/image" /><Relationship Id="rId17" Target="media/image12.png" Type="http://schemas.openxmlformats.org/officeDocument/2006/relationships/image" /><Relationship Id="rId25" Target="media/image20.png" Type="http://schemas.openxmlformats.org/officeDocument/2006/relationships/image" /><Relationship Id="rId16" Target="media/image11.png" Type="http://schemas.openxmlformats.org/officeDocument/2006/relationships/image" /><Relationship Id="rId20" Target="media/image15.png" Type="http://schemas.openxmlformats.org/officeDocument/2006/relationships/image" /><Relationship Id="rId29" Target="header1.xml" Type="http://schemas.openxmlformats.org/officeDocument/2006/relationships/header" /><Relationship Id="rId6" Target="media/image1.png" Type="http://schemas.openxmlformats.org/officeDocument/2006/relationships/image" /><Relationship Id="rId11" Target="media/image6.png" Type="http://schemas.openxmlformats.org/officeDocument/2006/relationships/image" /><Relationship Id="rId24" Target="media/image19.png" Type="http://schemas.openxmlformats.org/officeDocument/2006/relationships/image" /><Relationship Id="rId15" Target="media/image10.png" Type="http://schemas.openxmlformats.org/officeDocument/2006/relationships/image" /><Relationship Id="rId23" Target="media/image18.png" Type="http://schemas.openxmlformats.org/officeDocument/2006/relationships/image" /><Relationship Id="rId28" Target="media/image23.png" Type="http://schemas.openxmlformats.org/officeDocument/2006/relationships/image" /><Relationship Id="rId10" Target="media/image5.png" Type="http://schemas.openxmlformats.org/officeDocument/2006/relationships/image" /><Relationship Id="rId19" Target="media/image14.png" Type="http://schemas.openxmlformats.org/officeDocument/2006/relationships/image" /><Relationship Id="rId9" Target="media/image4.png" Type="http://schemas.openxmlformats.org/officeDocument/2006/relationships/image" /><Relationship Id="rId14" Target="media/image9.png" Type="http://schemas.openxmlformats.org/officeDocument/2006/relationships/image" /><Relationship Id="rId22" Target="media/image17.png" Type="http://schemas.openxmlformats.org/officeDocument/2006/relationships/image" /><Relationship Id="rId27" Target="media/image22.png" Type="http://schemas.openxmlformats.org/officeDocument/2006/relationships/image" /><Relationship Id="rId30" Target="footer1.xml" Type="http://schemas.openxmlformats.org/officeDocument/2006/relationships/footer" /><Relationship Type="http://schemas.openxmlformats.org/officeDocument/2006/relationships/image" Id="rId86" Target="media/rId86.png" /><Relationship Type="http://schemas.openxmlformats.org/officeDocument/2006/relationships/image" Id="rId48" Target="media/rId48.png" /><Relationship Type="http://schemas.openxmlformats.org/officeDocument/2006/relationships/image" Id="rId69" Target="media/rId69.png" /><Relationship Type="http://schemas.openxmlformats.org/officeDocument/2006/relationships/image" Id="rId58" Target="media/rId58.png" /><Relationship Type="http://schemas.openxmlformats.org/officeDocument/2006/relationships/image" Id="rId53" Target="media/rId53.png" /><Relationship Type="http://schemas.openxmlformats.org/officeDocument/2006/relationships/image" Id="rId64" Target="media/rId64.pn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27</Pages>
  <Words>4181</Words>
  <Characters>22583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Boletim Trimestral do Mercado de Trabalho</dc:title>
  <dc:creator>Raphael Lucena - Economista</dc:creator>
  <dc:language>pt-BR</dc:language>
  <cp:keywords/>
  <dcterms:created xsi:type="dcterms:W3CDTF">2026-05-13T16:55:52Z</dcterms:created>
  <dcterms:modified xsi:type="dcterms:W3CDTF">2026-05-13T16:55:52Z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2027-01-05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params">
    <vt:lpwstr/>
  </property>
  <property fmtid="{D5CDD505-2E9C-101B-9397-08002B2CF9AE}" pid="15" name="subtitle">
    <vt:lpwstr>Pau dos Ferros/RN e Alto Oeste Potiguar</vt:lpwstr>
  </property>
  <property fmtid="{D5CDD505-2E9C-101B-9397-08002B2CF9AE}" pid="16" name="tbl-cap-location">
    <vt:lpwstr>top</vt:lpwstr>
  </property>
  <property fmtid="{D5CDD505-2E9C-101B-9397-08002B2CF9AE}" pid="17" name="title-block-banner">
    <vt:lpwstr>#1F4E79</vt:lpwstr>
  </property>
  <property fmtid="{D5CDD505-2E9C-101B-9397-08002B2CF9AE}" pid="18" name="title-block-banner-color">
    <vt:lpwstr>white</vt:lpwstr>
  </property>
  <property fmtid="{D5CDD505-2E9C-101B-9397-08002B2CF9AE}" pid="19" name="toc-title">
    <vt:lpwstr>Índice</vt:lpwstr>
  </property>
</Properties>
</file>