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58" w:before="58"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Séance 2 : La réputation comme phénomène social</w:t>
      </w:r>
    </w:p>
    <w:p w:rsidR="00000000" w:rsidDel="00000000" w:rsidP="00000000" w:rsidRDefault="00000000" w:rsidRPr="00000000" w14:paraId="00000002">
      <w:pPr>
        <w:pageBreakBefore w:val="0"/>
        <w:spacing w:after="58" w:before="58"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pageBreakBefore w:val="0"/>
        <w:spacing w:after="58" w:before="58" w:lineRule="auto"/>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The Lost City of Z</w:t>
      </w:r>
      <w:r w:rsidDel="00000000" w:rsidR="00000000" w:rsidRPr="00000000">
        <w:rPr>
          <w:rFonts w:ascii="Arial Unicode MS" w:cs="Arial Unicode MS" w:eastAsia="Arial Unicode MS" w:hAnsi="Arial Unicode MS"/>
          <w:b w:val="0"/>
          <w:i w:val="0"/>
          <w:sz w:val="22"/>
          <w:szCs w:val="22"/>
          <w:rtl w:val="0"/>
        </w:rPr>
        <w:t xml:space="preserve">, 2016, James Gray. S'inscrit dans la cinématographie classique du réalisateur (films classiques/néo-classiques). Angleterre du début du XXème siècle → racisme, sexisme et scientisme de conquête. Conception étroite de la rationalité humaine ; expéditions pour faire progresser humanité et civilisation occidentale → figure de l'explorateur fortement valorisée. Pas de place institutionnelle pour les minorités dans le savoir scientifique. </w:t>
      </w:r>
      <w:r w:rsidDel="00000000" w:rsidR="00000000" w:rsidRPr="00000000">
        <w:rPr>
          <w:rtl w:val="0"/>
        </w:rPr>
      </w:r>
    </w:p>
    <w:p w:rsidR="00000000" w:rsidDel="00000000" w:rsidP="00000000" w:rsidRDefault="00000000" w:rsidRPr="00000000" w14:paraId="00000004">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Percy Fawcett, mission d'exploration sur fond de lutte économique autour du caoutchouc, conflits de territoires, fleuve et forêt dont personne ne revient ; nature comme objet de conquête. Perçue comme dangereuse quand elle ne peut être domestiquée. </w:t>
      </w:r>
    </w:p>
    <w:p w:rsidR="00000000" w:rsidDel="00000000" w:rsidP="00000000" w:rsidRDefault="00000000" w:rsidRPr="00000000" w14:paraId="00000005">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Scène d'ouverture : chasse à courre, spécifique à un monde social supérieur, notamment à la noblesse anglaise. Colonel Percy Fawcett est sujet à un exploit : c'est lui qui réussit à mettre à mort le cerf grâce à son habileté de cavalier. Mais son nom de famille l'oblige à un triomphe modeste : son père était mal réputé, car aimait le jeu et l'alcool. On lui présente une mission en Bolivie sous la forme d'une rédemption réputationnelle. </w:t>
      </w:r>
    </w:p>
    <w:p w:rsidR="00000000" w:rsidDel="00000000" w:rsidP="00000000" w:rsidRDefault="00000000" w:rsidRPr="00000000" w14:paraId="00000006">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Sur le bateau qui le mène en Amérique du Sud, présente sa mission par « ma réputation en tant qu'homme repose exclusivement sur le succès de notre mission ». </w:t>
      </w:r>
    </w:p>
    <w:p w:rsidR="00000000" w:rsidDel="00000000" w:rsidP="00000000" w:rsidRDefault="00000000" w:rsidRPr="00000000" w14:paraId="00000007">
      <w:pPr>
        <w:pageBreakBefore w:val="0"/>
        <w:spacing w:after="58" w:before="58" w:lineRule="auto"/>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08">
      <w:pPr>
        <w:pageBreakBefore w:val="0"/>
        <w:numPr>
          <w:ilvl w:val="0"/>
          <w:numId w:val="2"/>
        </w:numPr>
        <w:spacing w:after="58" w:before="58" w:lineRule="auto"/>
        <w:ind w:left="720" w:hanging="360"/>
        <w:jc w:val="both"/>
        <w:rPr>
          <w:b w:val="1"/>
          <w:i w:val="0"/>
        </w:rPr>
      </w:pPr>
      <w:r w:rsidDel="00000000" w:rsidR="00000000" w:rsidRPr="00000000">
        <w:rPr>
          <w:rFonts w:ascii="Arial" w:cs="Arial" w:eastAsia="Arial" w:hAnsi="Arial"/>
          <w:b w:val="1"/>
          <w:i w:val="0"/>
          <w:sz w:val="22"/>
          <w:szCs w:val="22"/>
          <w:rtl w:val="0"/>
        </w:rPr>
        <w:t xml:space="preserve">La réputation-trophée</w:t>
      </w:r>
    </w:p>
    <w:p w:rsidR="00000000" w:rsidDel="00000000" w:rsidP="00000000" w:rsidRDefault="00000000" w:rsidRPr="00000000" w14:paraId="00000009">
      <w:pPr>
        <w:pageBreakBefore w:val="0"/>
        <w:spacing w:after="58" w:before="58" w:lineRule="auto"/>
        <w:jc w:val="both"/>
        <w:rPr>
          <w:rFonts w:ascii="Arial" w:cs="Arial" w:eastAsia="Arial" w:hAnsi="Arial"/>
          <w:b w:val="0"/>
          <w:i w:val="1"/>
          <w:sz w:val="22"/>
          <w:szCs w:val="22"/>
        </w:rPr>
      </w:pPr>
      <w:r w:rsidDel="00000000" w:rsidR="00000000" w:rsidRPr="00000000">
        <w:rPr>
          <w:rFonts w:ascii="Arial Unicode MS" w:cs="Arial Unicode MS" w:eastAsia="Arial Unicode MS" w:hAnsi="Arial Unicode MS"/>
          <w:b w:val="0"/>
          <w:i w:val="0"/>
          <w:sz w:val="22"/>
          <w:szCs w:val="22"/>
          <w:rtl w:val="0"/>
        </w:rPr>
        <w:t xml:space="preserve">→ </w:t>
      </w:r>
      <w:r w:rsidDel="00000000" w:rsidR="00000000" w:rsidRPr="00000000">
        <w:rPr>
          <w:rFonts w:ascii="Arial" w:cs="Arial" w:eastAsia="Arial" w:hAnsi="Arial"/>
          <w:b w:val="1"/>
          <w:i w:val="0"/>
          <w:sz w:val="22"/>
          <w:szCs w:val="22"/>
          <w:rtl w:val="0"/>
        </w:rPr>
        <w:t xml:space="preserve">Réputation-trophée</w:t>
      </w:r>
      <w:r w:rsidDel="00000000" w:rsidR="00000000" w:rsidRPr="00000000">
        <w:rPr>
          <w:rFonts w:ascii="Arial Unicode MS" w:cs="Arial Unicode MS" w:eastAsia="Arial Unicode MS" w:hAnsi="Arial Unicode MS"/>
          <w:b w:val="0"/>
          <w:i w:val="0"/>
          <w:sz w:val="22"/>
          <w:szCs w:val="22"/>
          <w:rtl w:val="0"/>
        </w:rPr>
        <w:t xml:space="preserve"> : accomplissement particulièrement valorisé par une société en vigueur → réputation comme </w:t>
      </w:r>
      <w:r w:rsidDel="00000000" w:rsidR="00000000" w:rsidRPr="00000000">
        <w:rPr>
          <w:rFonts w:ascii="Arial" w:cs="Arial" w:eastAsia="Arial" w:hAnsi="Arial"/>
          <w:b w:val="1"/>
          <w:i w:val="0"/>
          <w:sz w:val="22"/>
          <w:szCs w:val="22"/>
          <w:rtl w:val="0"/>
        </w:rPr>
        <w:t xml:space="preserve">bien de convention</w:t>
      </w:r>
      <w:r w:rsidDel="00000000" w:rsidR="00000000" w:rsidRPr="00000000">
        <w:rPr>
          <w:rFonts w:ascii="Arial" w:cs="Arial" w:eastAsia="Arial" w:hAnsi="Arial"/>
          <w:b w:val="0"/>
          <w:i w:val="0"/>
          <w:sz w:val="22"/>
          <w:szCs w:val="22"/>
          <w:rtl w:val="0"/>
        </w:rPr>
        <w:t xml:space="preserve"> en fonction de critères d'évaluation partagés à un moment et un endroit donnés (cf. Howard Becker, </w:t>
      </w:r>
      <w:r w:rsidDel="00000000" w:rsidR="00000000" w:rsidRPr="00000000">
        <w:rPr>
          <w:rFonts w:ascii="Arial" w:cs="Arial" w:eastAsia="Arial" w:hAnsi="Arial"/>
          <w:b w:val="0"/>
          <w:i w:val="1"/>
          <w:sz w:val="22"/>
          <w:szCs w:val="22"/>
          <w:rtl w:val="0"/>
        </w:rPr>
        <w:t xml:space="preserve">Les mondes de l'art</w:t>
      </w:r>
      <w:r w:rsidDel="00000000" w:rsidR="00000000" w:rsidRPr="00000000">
        <w:rPr>
          <w:rFonts w:ascii="Arial" w:cs="Arial" w:eastAsia="Arial" w:hAnsi="Arial"/>
          <w:b w:val="0"/>
          <w:i w:val="0"/>
          <w:sz w:val="22"/>
          <w:szCs w:val="22"/>
          <w:rtl w:val="0"/>
        </w:rPr>
        <w:t xml:space="preserve">). Réputation ne reflète pas que les talents et qualités intrinsèques, elles est socialement construite. Phénomène fondamentalement social, aussi ancien que l'humanité, </w:t>
      </w:r>
      <w:r w:rsidDel="00000000" w:rsidR="00000000" w:rsidRPr="00000000">
        <w:rPr>
          <w:rFonts w:ascii="Arial" w:cs="Arial" w:eastAsia="Arial" w:hAnsi="Arial"/>
          <w:b w:val="1"/>
          <w:i w:val="0"/>
          <w:sz w:val="22"/>
          <w:szCs w:val="22"/>
          <w:rtl w:val="0"/>
        </w:rPr>
        <w:t xml:space="preserve">fait social</w:t>
      </w:r>
      <w:r w:rsidDel="00000000" w:rsidR="00000000" w:rsidRPr="00000000">
        <w:rPr>
          <w:rFonts w:ascii="Arial" w:cs="Arial" w:eastAsia="Arial" w:hAnsi="Arial"/>
          <w:b w:val="0"/>
          <w:i w:val="0"/>
          <w:sz w:val="22"/>
          <w:szCs w:val="22"/>
          <w:rtl w:val="0"/>
        </w:rPr>
        <w:t xml:space="preserve"> (c'est-à-dire extérieur et coercitif). </w:t>
      </w:r>
      <w:r w:rsidDel="00000000" w:rsidR="00000000" w:rsidRPr="00000000">
        <w:rPr>
          <w:rtl w:val="0"/>
        </w:rPr>
      </w:r>
    </w:p>
    <w:p w:rsidR="00000000" w:rsidDel="00000000" w:rsidP="00000000" w:rsidRDefault="00000000" w:rsidRPr="00000000" w14:paraId="0000000A">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Réputation pèse sur les actions humaines. Réputation pèse aussi sur les désirs humains, notamment désir de réputation positive ; à la fois désir d'identification par/au sein d'un groupe/autrui, et en même temps désir de reconnaissance de singularité. Pèse aussi sur la construction de la valeur sociale, sur les jeux de valeur sociale. </w:t>
      </w:r>
    </w:p>
    <w:p w:rsidR="00000000" w:rsidDel="00000000" w:rsidP="00000000" w:rsidRDefault="00000000" w:rsidRPr="00000000" w14:paraId="0000000B">
      <w:pPr>
        <w:pageBreakBefore w:val="0"/>
        <w:spacing w:after="58" w:before="58" w:lineRule="auto"/>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Bien volatile, difficilement contrôlable, mais poursuivi avec constance. Relativité sociale des labels, des trophées, etc.</w:t>
      </w:r>
    </w:p>
    <w:p w:rsidR="00000000" w:rsidDel="00000000" w:rsidP="00000000" w:rsidRDefault="00000000" w:rsidRPr="00000000" w14:paraId="0000000C">
      <w:pPr>
        <w:pageBreakBefore w:val="0"/>
        <w:spacing w:after="58" w:before="58" w:lineRule="auto"/>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0D">
      <w:pPr>
        <w:pageBreakBefore w:val="0"/>
        <w:spacing w:after="58" w:before="58" w:lineRule="auto"/>
        <w:ind w:left="395"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La quête de Percy Fawcett est une quête de réputation, certes, mais aussi une quête métaphysique, d'absolu, de nature vierge et de rapport à un monde ancien. </w:t>
      </w:r>
    </w:p>
    <w:p w:rsidR="00000000" w:rsidDel="00000000" w:rsidP="00000000" w:rsidRDefault="00000000" w:rsidRPr="00000000" w14:paraId="0000000E">
      <w:pPr>
        <w:pageBreakBefore w:val="0"/>
        <w:spacing w:after="58" w:before="58" w:lineRule="auto"/>
        <w:ind w:left="395"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Quête de réputation = centrifuge, elle éloigne du centre de soi-même, de son « for intérieur ». </w:t>
      </w:r>
    </w:p>
    <w:p w:rsidR="00000000" w:rsidDel="00000000" w:rsidP="00000000" w:rsidRDefault="00000000" w:rsidRPr="00000000" w14:paraId="0000000F">
      <w:pPr>
        <w:pageBreakBefore w:val="0"/>
        <w:spacing w:after="58" w:before="58" w:lineRule="auto"/>
        <w:ind w:left="395"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Illusio (Bourdieu) = ce qui fait courir les acteurs sociaux, spécifique à chaque champ d'activité. </w:t>
      </w:r>
    </w:p>
    <w:p w:rsidR="00000000" w:rsidDel="00000000" w:rsidP="00000000" w:rsidRDefault="00000000" w:rsidRPr="00000000" w14:paraId="00000010">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1">
      <w:pPr>
        <w:pageBreakBefore w:val="0"/>
        <w:numPr>
          <w:ilvl w:val="0"/>
          <w:numId w:val="2"/>
        </w:numPr>
        <w:spacing w:after="58" w:before="58" w:lineRule="auto"/>
        <w:ind w:left="0" w:right="0" w:firstLine="0"/>
        <w:jc w:val="both"/>
        <w:rPr>
          <w:b w:val="1"/>
          <w:i w:val="0"/>
        </w:rPr>
      </w:pPr>
      <w:r w:rsidDel="00000000" w:rsidR="00000000" w:rsidRPr="00000000">
        <w:rPr>
          <w:rFonts w:ascii="Arial" w:cs="Arial" w:eastAsia="Arial" w:hAnsi="Arial"/>
          <w:b w:val="1"/>
          <w:i w:val="0"/>
          <w:sz w:val="22"/>
          <w:szCs w:val="22"/>
          <w:rtl w:val="0"/>
        </w:rPr>
        <w:t xml:space="preserve">Une réputation masculine</w:t>
      </w:r>
    </w:p>
    <w:p w:rsidR="00000000" w:rsidDel="00000000" w:rsidP="00000000" w:rsidRDefault="00000000" w:rsidRPr="00000000" w14:paraId="00000012">
      <w:pPr>
        <w:pageBreakBefore w:val="0"/>
        <w:spacing w:after="58" w:before="58" w:lineRule="auto"/>
        <w:ind w:left="0" w:right="0" w:firstLine="0"/>
        <w:jc w:val="both"/>
        <w:rPr>
          <w:rFonts w:ascii="Arial" w:cs="Arial" w:eastAsia="Arial" w:hAnsi="Arial"/>
          <w:b w:val="0"/>
          <w:i w:val="1"/>
          <w:sz w:val="22"/>
          <w:szCs w:val="22"/>
        </w:rPr>
      </w:pPr>
      <w:r w:rsidDel="00000000" w:rsidR="00000000" w:rsidRPr="00000000">
        <w:rPr>
          <w:rFonts w:ascii="Arial" w:cs="Arial" w:eastAsia="Arial" w:hAnsi="Arial"/>
          <w:b w:val="0"/>
          <w:i w:val="0"/>
          <w:sz w:val="22"/>
          <w:szCs w:val="22"/>
          <w:rtl w:val="0"/>
        </w:rPr>
        <w:t xml:space="preserve">Réputation-trophée telle qu'elle apparaît dans ce film = </w:t>
      </w:r>
      <w:r w:rsidDel="00000000" w:rsidR="00000000" w:rsidRPr="00000000">
        <w:rPr>
          <w:rFonts w:ascii="Arial" w:cs="Arial" w:eastAsia="Arial" w:hAnsi="Arial"/>
          <w:b w:val="1"/>
          <w:i w:val="0"/>
          <w:sz w:val="22"/>
          <w:szCs w:val="22"/>
          <w:rtl w:val="0"/>
        </w:rPr>
        <w:t xml:space="preserve">principalement masculine</w:t>
      </w:r>
      <w:r w:rsidDel="00000000" w:rsidR="00000000" w:rsidRPr="00000000">
        <w:rPr>
          <w:rFonts w:ascii="Arial" w:cs="Arial" w:eastAsia="Arial" w:hAnsi="Arial"/>
          <w:b w:val="0"/>
          <w:i w:val="0"/>
          <w:sz w:val="22"/>
          <w:szCs w:val="22"/>
          <w:rtl w:val="0"/>
        </w:rPr>
        <w:t xml:space="preserve">. Caractéristiques morales comme la bravoure, le courage, l'intrépidité, le dépassement de soi, l'endurance, et la maîtrise de techniques de survie en terres présumées hostile. Réputation des hommes repose en grande partie sur leurs exploits, notamment guerriers, politiques. L'homme blanc, fort et vigoureux est le seul préposé à de tels exploits à cette époque. </w:t>
      </w:r>
      <w:r w:rsidDel="00000000" w:rsidR="00000000" w:rsidRPr="00000000">
        <w:rPr>
          <w:rtl w:val="0"/>
        </w:rPr>
      </w:r>
    </w:p>
    <w:p w:rsidR="00000000" w:rsidDel="00000000" w:rsidP="00000000" w:rsidRDefault="00000000" w:rsidRPr="00000000" w14:paraId="00000013">
      <w:pPr>
        <w:pageBreakBefore w:val="0"/>
        <w:spacing w:after="58" w:before="58" w:lineRule="auto"/>
        <w:ind w:left="0" w:right="0" w:firstLine="0"/>
        <w:jc w:val="both"/>
        <w:rPr>
          <w:rFonts w:ascii="Arial" w:cs="Arial" w:eastAsia="Arial" w:hAnsi="Arial"/>
          <w:b w:val="0"/>
          <w:i w:val="1"/>
          <w:sz w:val="22"/>
          <w:szCs w:val="22"/>
        </w:rPr>
      </w:pPr>
      <w:r w:rsidDel="00000000" w:rsidR="00000000" w:rsidRPr="00000000">
        <w:rPr>
          <w:rFonts w:ascii="Arial" w:cs="Arial" w:eastAsia="Arial" w:hAnsi="Arial"/>
          <w:b w:val="0"/>
          <w:i w:val="0"/>
          <w:sz w:val="22"/>
          <w:szCs w:val="22"/>
          <w:rtl w:val="0"/>
        </w:rPr>
        <w:t xml:space="preserve">Femmes également considérées comme trophées, bien réputationnels ou statutaires pour les hommes : cf. Thorstein Veblen, </w:t>
      </w:r>
      <w:r w:rsidDel="00000000" w:rsidR="00000000" w:rsidRPr="00000000">
        <w:rPr>
          <w:rFonts w:ascii="Arial" w:cs="Arial" w:eastAsia="Arial" w:hAnsi="Arial"/>
          <w:b w:val="0"/>
          <w:i w:val="1"/>
          <w:sz w:val="22"/>
          <w:szCs w:val="22"/>
          <w:rtl w:val="0"/>
        </w:rPr>
        <w:t xml:space="preserve">Théorie de la classe de loisirs</w:t>
      </w:r>
      <w:r w:rsidDel="00000000" w:rsidR="00000000" w:rsidRPr="00000000">
        <w:rPr>
          <w:rFonts w:ascii="Arial" w:cs="Arial" w:eastAsia="Arial" w:hAnsi="Arial"/>
          <w:b w:val="0"/>
          <w:i w:val="0"/>
          <w:sz w:val="22"/>
          <w:szCs w:val="22"/>
          <w:rtl w:val="0"/>
        </w:rPr>
        <w:t xml:space="preserve">, dépenses qui visent à montrer la statut social de la personne et de son foyer. Place des femmes et du patriarcat dans son analyse critique (malgré conception encore biologique du sexe) ; </w:t>
      </w:r>
      <w:r w:rsidDel="00000000" w:rsidR="00000000" w:rsidRPr="00000000">
        <w:rPr>
          <w:rFonts w:ascii="Arial" w:cs="Arial" w:eastAsia="Arial" w:hAnsi="Arial"/>
          <w:b w:val="0"/>
          <w:i w:val="1"/>
          <w:sz w:val="22"/>
          <w:szCs w:val="22"/>
          <w:rtl w:val="0"/>
        </w:rPr>
        <w:t xml:space="preserve">The economic theory of women's dress </w:t>
      </w:r>
      <w:r w:rsidDel="00000000" w:rsidR="00000000" w:rsidRPr="00000000">
        <w:rPr>
          <w:rFonts w:ascii="Arial" w:cs="Arial" w:eastAsia="Arial" w:hAnsi="Arial"/>
          <w:b w:val="0"/>
          <w:i w:val="0"/>
          <w:sz w:val="22"/>
          <w:szCs w:val="22"/>
          <w:rtl w:val="0"/>
        </w:rPr>
        <w:t xml:space="preserve">et </w:t>
      </w:r>
      <w:r w:rsidDel="00000000" w:rsidR="00000000" w:rsidRPr="00000000">
        <w:rPr>
          <w:rFonts w:ascii="Arial Unicode MS" w:cs="Arial Unicode MS" w:eastAsia="Arial Unicode MS" w:hAnsi="Arial Unicode MS"/>
          <w:b w:val="0"/>
          <w:i w:val="1"/>
          <w:sz w:val="22"/>
          <w:szCs w:val="22"/>
          <w:rtl w:val="0"/>
        </w:rPr>
        <w:t xml:space="preserve">The Barbarian Status of Women → </w:t>
      </w:r>
      <w:r w:rsidDel="00000000" w:rsidR="00000000" w:rsidRPr="00000000">
        <w:rPr>
          <w:rFonts w:ascii="Arial" w:cs="Arial" w:eastAsia="Arial" w:hAnsi="Arial"/>
          <w:b w:val="0"/>
          <w:i w:val="0"/>
          <w:sz w:val="22"/>
          <w:szCs w:val="22"/>
          <w:u w:val="none"/>
          <w:rtl w:val="0"/>
        </w:rPr>
        <w:t xml:space="preserve">femmes comme biens statutaires, vestiges de temps barbares : « </w:t>
      </w:r>
      <w:r w:rsidDel="00000000" w:rsidR="00000000" w:rsidRPr="00000000">
        <w:rPr>
          <w:rFonts w:ascii="Arial" w:cs="Arial" w:eastAsia="Arial" w:hAnsi="Arial"/>
          <w:b w:val="0"/>
          <w:i w:val="0"/>
          <w:sz w:val="22"/>
          <w:szCs w:val="22"/>
          <w:highlight w:val="cyan"/>
          <w:u w:val="none"/>
          <w:rtl w:val="0"/>
        </w:rPr>
        <w:t xml:space="preserve">the struggle is substantially a race for reputability on the basis of inviduous comparison</w:t>
      </w:r>
      <w:r w:rsidDel="00000000" w:rsidR="00000000" w:rsidRPr="00000000">
        <w:rPr>
          <w:rFonts w:ascii="Arial" w:cs="Arial" w:eastAsia="Arial" w:hAnsi="Arial"/>
          <w:b w:val="0"/>
          <w:i w:val="0"/>
          <w:sz w:val="22"/>
          <w:szCs w:val="22"/>
          <w:u w:val="none"/>
          <w:rtl w:val="0"/>
        </w:rPr>
        <w:t xml:space="preserve"> »</w:t>
      </w:r>
      <w:r w:rsidDel="00000000" w:rsidR="00000000" w:rsidRPr="00000000">
        <w:rPr>
          <w:rFonts w:ascii="Arial" w:cs="Arial" w:eastAsia="Arial" w:hAnsi="Arial"/>
          <w:b w:val="0"/>
          <w:i w:val="0"/>
          <w:sz w:val="22"/>
          <w:szCs w:val="22"/>
          <w:rtl w:val="0"/>
        </w:rPr>
        <w:t xml:space="preserve">. cf. Philippe Broda, « L'institution de la famille », dans </w:t>
      </w:r>
      <w:r w:rsidDel="00000000" w:rsidR="00000000" w:rsidRPr="00000000">
        <w:rPr>
          <w:rFonts w:ascii="Arial" w:cs="Arial" w:eastAsia="Arial" w:hAnsi="Arial"/>
          <w:b w:val="0"/>
          <w:i w:val="1"/>
          <w:sz w:val="22"/>
          <w:szCs w:val="22"/>
          <w:rtl w:val="0"/>
        </w:rPr>
        <w:t xml:space="preserve">La Revue économique</w:t>
      </w:r>
      <w:r w:rsidDel="00000000" w:rsidR="00000000" w:rsidRPr="00000000">
        <w:rPr>
          <w:rFonts w:ascii="Arial" w:cs="Arial" w:eastAsia="Arial" w:hAnsi="Arial"/>
          <w:b w:val="0"/>
          <w:i w:val="0"/>
          <w:sz w:val="22"/>
          <w:szCs w:val="22"/>
          <w:rtl w:val="0"/>
        </w:rPr>
        <w:t xml:space="preserve">, qui discute les théories « institutionnalistes » de Veblen et Commons. </w:t>
      </w:r>
      <w:r w:rsidDel="00000000" w:rsidR="00000000" w:rsidRPr="00000000">
        <w:rPr>
          <w:rtl w:val="0"/>
        </w:rPr>
      </w:r>
    </w:p>
    <w:p w:rsidR="00000000" w:rsidDel="00000000" w:rsidP="00000000" w:rsidRDefault="00000000" w:rsidRPr="00000000" w14:paraId="00000014">
      <w:pPr>
        <w:pageBreakBefore w:val="0"/>
        <w:spacing w:after="58" w:before="58" w:lineRule="auto"/>
        <w:ind w:left="0" w:right="0" w:firstLine="0"/>
        <w:jc w:val="both"/>
        <w:rPr>
          <w:rFonts w:ascii="Arial" w:cs="Arial" w:eastAsia="Arial" w:hAnsi="Arial"/>
          <w:b w:val="0"/>
          <w:i w:val="1"/>
          <w:sz w:val="22"/>
          <w:szCs w:val="22"/>
        </w:rPr>
      </w:pPr>
      <w:r w:rsidDel="00000000" w:rsidR="00000000" w:rsidRPr="00000000">
        <w:rPr>
          <w:rFonts w:ascii="Arial" w:cs="Arial" w:eastAsia="Arial" w:hAnsi="Arial"/>
          <w:b w:val="0"/>
          <w:i w:val="0"/>
          <w:sz w:val="22"/>
          <w:szCs w:val="22"/>
          <w:rtl w:val="0"/>
        </w:rPr>
        <w:t xml:space="preserve">221 occurrences de « réput- » vs. status 86 fois dans </w:t>
      </w:r>
      <w:r w:rsidDel="00000000" w:rsidR="00000000" w:rsidRPr="00000000">
        <w:rPr>
          <w:rFonts w:ascii="Arial" w:cs="Arial" w:eastAsia="Arial" w:hAnsi="Arial"/>
          <w:b w:val="0"/>
          <w:i w:val="1"/>
          <w:sz w:val="22"/>
          <w:szCs w:val="22"/>
          <w:rtl w:val="0"/>
        </w:rPr>
        <w:t xml:space="preserve">La théorie de la classe de loisirs</w:t>
      </w:r>
      <w:r w:rsidDel="00000000" w:rsidR="00000000" w:rsidRPr="00000000">
        <w:rPr>
          <w:rFonts w:ascii="Arial Unicode MS" w:cs="Arial Unicode MS" w:eastAsia="Arial Unicode MS" w:hAnsi="Arial Unicode MS"/>
          <w:b w:val="0"/>
          <w:i w:val="0"/>
          <w:sz w:val="22"/>
          <w:szCs w:val="22"/>
          <w:rtl w:val="0"/>
        </w:rPr>
        <w:t xml:space="preserve"> → poids de la question de réputabilité, et de ce après quoi courent les acteurs. </w:t>
      </w:r>
      <w:r w:rsidDel="00000000" w:rsidR="00000000" w:rsidRPr="00000000">
        <w:rPr>
          <w:rtl w:val="0"/>
        </w:rPr>
      </w:r>
    </w:p>
    <w:p w:rsidR="00000000" w:rsidDel="00000000" w:rsidP="00000000" w:rsidRDefault="00000000" w:rsidRPr="00000000" w14:paraId="00000015">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Articulation bataille pour les richesses matérielles // richesses symboliques. Chez Veblen, comme chez Weber, la position de richesse (héritée ou conquise) est l'une des bases de la réputation (ou du statut chez Weber), condition souvent nécessaire de réputabilité générale à la fin du XIXème siècle. Pour être reconnu de manière exceptionnel, richesse n'est pas suffisante : les honneurs de la logique de prédation, de l'exploit guerrier, sont prévalents. </w:t>
      </w:r>
    </w:p>
    <w:p w:rsidR="00000000" w:rsidDel="00000000" w:rsidP="00000000" w:rsidRDefault="00000000" w:rsidRPr="00000000" w14:paraId="00000016">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7">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8">
      <w:pPr>
        <w:pageBreakBefore w:val="0"/>
        <w:numPr>
          <w:ilvl w:val="0"/>
          <w:numId w:val="3"/>
        </w:numPr>
        <w:spacing w:after="58" w:before="58" w:lineRule="auto"/>
        <w:ind w:left="0" w:right="0" w:firstLine="0"/>
        <w:jc w:val="both"/>
        <w:rPr>
          <w:b w:val="1"/>
          <w:i w:val="0"/>
        </w:rPr>
      </w:pPr>
      <w:r w:rsidDel="00000000" w:rsidR="00000000" w:rsidRPr="00000000">
        <w:rPr>
          <w:rFonts w:ascii="Arial" w:cs="Arial" w:eastAsia="Arial" w:hAnsi="Arial"/>
          <w:b w:val="1"/>
          <w:i w:val="0"/>
          <w:sz w:val="22"/>
          <w:szCs w:val="22"/>
          <w:rtl w:val="0"/>
        </w:rPr>
        <w:t xml:space="preserve">La réputation accomplissement</w:t>
      </w:r>
    </w:p>
    <w:p w:rsidR="00000000" w:rsidDel="00000000" w:rsidP="00000000" w:rsidRDefault="00000000" w:rsidRPr="00000000" w14:paraId="00000019">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Unicode MS" w:cs="Arial Unicode MS" w:eastAsia="Arial Unicode MS" w:hAnsi="Arial Unicode MS"/>
          <w:b w:val="0"/>
          <w:i w:val="0"/>
          <w:sz w:val="22"/>
          <w:szCs w:val="22"/>
          <w:rtl w:val="0"/>
        </w:rPr>
        <w:t xml:space="preserve">→ La réputation de Percy Fawcett repose sur un accomplissement individuel et est en interaction avec sa réputation familiale. Film permet de souligner l'étroite relation entre les réputations collectives, notamment familiales, et les réputations individuelles. Il existe une forme de « solidarité » entre réputation des individus et réputation du collectif d'appartenance (en premier lieu duquel se trouve la famille). → d'un côté, une réputation acquise personnellement, ancrée sur une performance individuelle (figure de l'explorateur), et de l'autre, une réputation héritée. Dans le film, tension entre les deux réputations parce qu'il y a solidarité. </w:t>
      </w:r>
    </w:p>
    <w:p w:rsidR="00000000" w:rsidDel="00000000" w:rsidP="00000000" w:rsidRDefault="00000000" w:rsidRPr="00000000" w14:paraId="0000001A">
      <w:pPr>
        <w:pageBreakBefore w:val="0"/>
        <w:spacing w:after="58" w:before="58" w:lineRule="auto"/>
        <w:ind w:left="0" w:right="0" w:firstLine="0"/>
        <w:jc w:val="both"/>
        <w:rPr>
          <w:rFonts w:ascii="Arial" w:cs="Arial" w:eastAsia="Arial" w:hAnsi="Arial"/>
          <w:b w:val="0"/>
          <w:i w:val="1"/>
          <w:sz w:val="22"/>
          <w:szCs w:val="22"/>
        </w:rPr>
      </w:pPr>
      <w:r w:rsidDel="00000000" w:rsidR="00000000" w:rsidRPr="00000000">
        <w:rPr>
          <w:rFonts w:ascii="Arial Unicode MS" w:cs="Arial Unicode MS" w:eastAsia="Arial Unicode MS" w:hAnsi="Arial Unicode MS"/>
          <w:b w:val="0"/>
          <w:i w:val="0"/>
          <w:sz w:val="22"/>
          <w:szCs w:val="22"/>
          <w:rtl w:val="0"/>
        </w:rPr>
        <w:t xml:space="preserve">→ </w:t>
      </w:r>
      <w:r w:rsidDel="00000000" w:rsidR="00000000" w:rsidRPr="00000000">
        <w:rPr>
          <w:rFonts w:ascii="Arial" w:cs="Arial" w:eastAsia="Arial" w:hAnsi="Arial"/>
          <w:b w:val="1"/>
          <w:i w:val="0"/>
          <w:sz w:val="22"/>
          <w:szCs w:val="22"/>
          <w:rtl w:val="0"/>
        </w:rPr>
        <w:t xml:space="preserve">transfert de réputation </w:t>
      </w:r>
      <w:r w:rsidDel="00000000" w:rsidR="00000000" w:rsidRPr="00000000">
        <w:rPr>
          <w:rFonts w:ascii="Arial Unicode MS" w:cs="Arial Unicode MS" w:eastAsia="Arial Unicode MS" w:hAnsi="Arial Unicode MS"/>
          <w:b w:val="0"/>
          <w:i w:val="0"/>
          <w:sz w:val="22"/>
          <w:szCs w:val="22"/>
          <w:rtl w:val="0"/>
        </w:rPr>
        <w:t xml:space="preserve">(pollution symbolique entre individus, transferts négatifs, chez Marie Douglas, mais aussi chez Malinowski, circulation des rayonnements symboliques des biens qui circulent → si on touche un bien impur, on est aussi contaminés). </w:t>
      </w:r>
      <w:r w:rsidDel="00000000" w:rsidR="00000000" w:rsidRPr="00000000">
        <w:rPr>
          <w:rtl w:val="0"/>
        </w:rPr>
      </w:r>
    </w:p>
    <w:p w:rsidR="00000000" w:rsidDel="00000000" w:rsidP="00000000" w:rsidRDefault="00000000" w:rsidRPr="00000000" w14:paraId="0000001B">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C">
      <w:pPr>
        <w:pageBreakBefore w:val="0"/>
        <w:spacing w:after="58" w:before="58" w:lineRule="auto"/>
        <w:ind w:left="0" w:right="0" w:firstLine="0"/>
        <w:jc w:val="both"/>
        <w:rPr>
          <w:rFonts w:ascii="Arial" w:cs="Arial" w:eastAsia="Arial" w:hAnsi="Arial"/>
          <w:b w:val="0"/>
          <w:i w:val="1"/>
          <w:sz w:val="22"/>
          <w:szCs w:val="22"/>
        </w:rPr>
      </w:pPr>
      <w:r w:rsidDel="00000000" w:rsidR="00000000" w:rsidRPr="00000000">
        <w:rPr>
          <w:rFonts w:ascii="Arial" w:cs="Arial" w:eastAsia="Arial" w:hAnsi="Arial"/>
          <w:b w:val="0"/>
          <w:i w:val="0"/>
          <w:sz w:val="22"/>
          <w:szCs w:val="22"/>
          <w:rtl w:val="0"/>
        </w:rPr>
        <w:t xml:space="preserve">Réputation cristallisée dans le nom propre n'est pas nouveau : la </w:t>
      </w:r>
      <w:r w:rsidDel="00000000" w:rsidR="00000000" w:rsidRPr="00000000">
        <w:rPr>
          <w:rFonts w:ascii="Arial" w:cs="Arial" w:eastAsia="Arial" w:hAnsi="Arial"/>
          <w:b w:val="0"/>
          <w:i w:val="1"/>
          <w:sz w:val="22"/>
          <w:szCs w:val="22"/>
          <w:rtl w:val="0"/>
        </w:rPr>
        <w:t xml:space="preserve">fama</w:t>
      </w:r>
      <w:r w:rsidDel="00000000" w:rsidR="00000000" w:rsidRPr="00000000">
        <w:rPr>
          <w:rFonts w:ascii="Arial" w:cs="Arial" w:eastAsia="Arial" w:hAnsi="Arial"/>
          <w:b w:val="0"/>
          <w:i w:val="0"/>
          <w:sz w:val="22"/>
          <w:szCs w:val="22"/>
          <w:rtl w:val="0"/>
        </w:rPr>
        <w:t xml:space="preserve"> en Rome antique (à la fois bonne et mauvaise) que l'on retrouve dans les écrits de Cicéron sur la gloire, le renom et la </w:t>
      </w:r>
      <w:r w:rsidDel="00000000" w:rsidR="00000000" w:rsidRPr="00000000">
        <w:rPr>
          <w:rFonts w:ascii="Arial" w:cs="Arial" w:eastAsia="Arial" w:hAnsi="Arial"/>
          <w:b w:val="0"/>
          <w:i w:val="1"/>
          <w:sz w:val="22"/>
          <w:szCs w:val="22"/>
          <w:rtl w:val="0"/>
        </w:rPr>
        <w:t xml:space="preserve">fama</w:t>
      </w:r>
      <w:r w:rsidDel="00000000" w:rsidR="00000000" w:rsidRPr="00000000">
        <w:rPr>
          <w:rFonts w:ascii="Arial Unicode MS" w:cs="Arial Unicode MS" w:eastAsia="Arial Unicode MS" w:hAnsi="Arial Unicode MS"/>
          <w:b w:val="0"/>
          <w:i w:val="0"/>
          <w:sz w:val="22"/>
          <w:szCs w:val="22"/>
          <w:rtl w:val="0"/>
        </w:rPr>
        <w:t xml:space="preserve">. Elle est définie comme notoriété colorée par une valeur morale. Elle n'est pas une propriété individuelle, elle appartient à la collectivité familiale → patrimoine commun qui se transmet de génération en génération. cf. Nicole Dalmeda, </w:t>
      </w:r>
      <w:r w:rsidDel="00000000" w:rsidR="00000000" w:rsidRPr="00000000">
        <w:rPr>
          <w:rFonts w:ascii="Arial" w:cs="Arial" w:eastAsia="Arial" w:hAnsi="Arial"/>
          <w:b w:val="0"/>
          <w:i w:val="1"/>
          <w:sz w:val="22"/>
          <w:szCs w:val="22"/>
          <w:rtl w:val="0"/>
        </w:rPr>
        <w:t xml:space="preserve">La société du jugement</w:t>
      </w:r>
      <w:r w:rsidDel="00000000" w:rsidR="00000000" w:rsidRPr="00000000">
        <w:rPr>
          <w:rFonts w:ascii="Arial" w:cs="Arial" w:eastAsia="Arial" w:hAnsi="Arial"/>
          <w:b w:val="0"/>
          <w:i w:val="0"/>
          <w:sz w:val="22"/>
          <w:szCs w:val="22"/>
          <w:rtl w:val="0"/>
        </w:rPr>
        <w:t xml:space="preserve">, « le nom, la carrière, les actes mémorables des anciens membres de la famille, étaient gravées dans l'atrium des demeures sénatoriales. Cette conservation figée mais ostentatoire est mise en mouvement lors de chaque décès. </w:t>
      </w:r>
      <w:r w:rsidDel="00000000" w:rsidR="00000000" w:rsidRPr="00000000">
        <w:rPr>
          <w:rtl w:val="0"/>
        </w:rPr>
      </w:r>
    </w:p>
    <w:p w:rsidR="00000000" w:rsidDel="00000000" w:rsidP="00000000" w:rsidRDefault="00000000" w:rsidRPr="00000000" w14:paraId="0000001D">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Encore le cas dans toutes les communautés d'interconnaissances fortes avec connaissance des ascendances et transmission des mémoires familiales. De même, dans les hautes sphères, patronymes glorieux/peu glorieux qui pèsent sur la descendance. </w:t>
      </w:r>
    </w:p>
    <w:p w:rsidR="00000000" w:rsidDel="00000000" w:rsidP="00000000" w:rsidRDefault="00000000" w:rsidRPr="00000000" w14:paraId="0000001E">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1F">
      <w:pPr>
        <w:pageBreakBefore w:val="0"/>
        <w:numPr>
          <w:ilvl w:val="0"/>
          <w:numId w:val="4"/>
        </w:numPr>
        <w:spacing w:after="58" w:before="58" w:lineRule="auto"/>
        <w:ind w:left="0" w:right="0" w:firstLine="0"/>
        <w:jc w:val="both"/>
        <w:rPr>
          <w:b w:val="1"/>
          <w:i w:val="0"/>
        </w:rPr>
      </w:pPr>
      <w:r w:rsidDel="00000000" w:rsidR="00000000" w:rsidRPr="00000000">
        <w:rPr>
          <w:rFonts w:ascii="Arial" w:cs="Arial" w:eastAsia="Arial" w:hAnsi="Arial"/>
          <w:b w:val="1"/>
          <w:i w:val="0"/>
          <w:sz w:val="22"/>
          <w:szCs w:val="22"/>
          <w:rtl w:val="0"/>
        </w:rPr>
        <w:t xml:space="preserve">Obsession de la réputation</w:t>
      </w:r>
    </w:p>
    <w:p w:rsidR="00000000" w:rsidDel="00000000" w:rsidP="00000000" w:rsidRDefault="00000000" w:rsidRPr="00000000" w14:paraId="00000020">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Obstination pour atteindre cette réputation, jusqu'au risque de sa propre mort, jusqu'au vertige de l'absurdité de la quête. </w:t>
      </w:r>
    </w:p>
    <w:p w:rsidR="00000000" w:rsidDel="00000000" w:rsidP="00000000" w:rsidRDefault="00000000" w:rsidRPr="00000000" w14:paraId="00000021">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22">
      <w:pPr>
        <w:pageBreakBefore w:val="0"/>
        <w:numPr>
          <w:ilvl w:val="0"/>
          <w:numId w:val="1"/>
        </w:numPr>
        <w:spacing w:after="58" w:before="58" w:lineRule="auto"/>
        <w:ind w:left="0" w:right="0" w:firstLine="0"/>
        <w:jc w:val="both"/>
        <w:rPr>
          <w:b w:val="1"/>
          <w:i w:val="0"/>
        </w:rPr>
      </w:pPr>
      <w:r w:rsidDel="00000000" w:rsidR="00000000" w:rsidRPr="00000000">
        <w:rPr>
          <w:rFonts w:ascii="Arial" w:cs="Arial" w:eastAsia="Arial" w:hAnsi="Arial"/>
          <w:b w:val="1"/>
          <w:i w:val="0"/>
          <w:sz w:val="22"/>
          <w:szCs w:val="22"/>
          <w:rtl w:val="0"/>
        </w:rPr>
        <w:t xml:space="preserve">Invisibilité des réputations féminines</w:t>
      </w:r>
    </w:p>
    <w:p w:rsidR="00000000" w:rsidDel="00000000" w:rsidP="00000000" w:rsidRDefault="00000000" w:rsidRPr="00000000" w14:paraId="00000023">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cf. les menaces réputationnelles dans l'espace médiatique ajd dans les affichages de figures masculines. Les réputations pèsent plus sur les femmes, mais de manière plus ordinaire, donc moins visibles. Souvent négative, réputation aussi portée par les femmes (plus soumises à ce genre de problème notamment en matière de corps et de sexualité. </w:t>
      </w:r>
    </w:p>
    <w:p w:rsidR="00000000" w:rsidDel="00000000" w:rsidP="00000000" w:rsidRDefault="00000000" w:rsidRPr="00000000" w14:paraId="00000024">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Ne pas oublier aussi la réputation des classes sociales inférieures : pas que les personnalités plus publiques qui ont une réputation. </w:t>
      </w:r>
    </w:p>
    <w:p w:rsidR="00000000" w:rsidDel="00000000" w:rsidP="00000000" w:rsidRDefault="00000000" w:rsidRPr="00000000" w14:paraId="00000025">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Monde de réputations qui tombent sur des individus, des organisations ou des collectifs en raison de ce qu'on pourrait appeler les lois/quasi-lois de la réputation, qu'il s'agit de révéler en tant que sociologue. </w:t>
      </w:r>
    </w:p>
    <w:p w:rsidR="00000000" w:rsidDel="00000000" w:rsidP="00000000" w:rsidRDefault="00000000" w:rsidRPr="00000000" w14:paraId="00000026">
      <w:pPr>
        <w:pageBreakBefore w:val="0"/>
        <w:spacing w:after="58" w:before="58" w:lineRule="auto"/>
        <w:ind w:left="0" w:right="0" w:firstLine="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27">
      <w:pPr>
        <w:pageBreakBefore w:val="0"/>
        <w:spacing w:after="58" w:before="58" w:lineRule="auto"/>
        <w:ind w:left="0" w:right="0" w:firstLine="0"/>
        <w:jc w:val="both"/>
        <w:rPr>
          <w:rFonts w:ascii="Arial" w:cs="Arial" w:eastAsia="Arial" w:hAnsi="Arial"/>
          <w:b w:val="0"/>
          <w:i w:val="1"/>
          <w:sz w:val="22"/>
          <w:szCs w:val="22"/>
        </w:rPr>
      </w:pPr>
      <w:r w:rsidDel="00000000" w:rsidR="00000000" w:rsidRPr="00000000">
        <w:rPr>
          <w:rFonts w:ascii="Arial Unicode MS" w:cs="Arial Unicode MS" w:eastAsia="Arial Unicode MS" w:hAnsi="Arial Unicode MS"/>
          <w:b w:val="0"/>
          <w:i w:val="0"/>
          <w:sz w:val="22"/>
          <w:szCs w:val="22"/>
          <w:rtl w:val="0"/>
        </w:rPr>
        <w:t xml:space="preserve">Même si la déviance est basée sur des actes déviants qui se sont passés, c'est une déviance car c'est étiqueté comme tel par la société → jamais de réputation non extérieure à l'individu. Cf. les entrepreneurs de morale chez Becker (</w:t>
      </w:r>
      <w:r w:rsidDel="00000000" w:rsidR="00000000" w:rsidRPr="00000000">
        <w:rPr>
          <w:rFonts w:ascii="Arial" w:cs="Arial" w:eastAsia="Arial" w:hAnsi="Arial"/>
          <w:b w:val="0"/>
          <w:i w:val="1"/>
          <w:sz w:val="22"/>
          <w:szCs w:val="22"/>
          <w:rtl w:val="0"/>
        </w:rPr>
        <w:t xml:space="preserve">Outsiders</w:t>
      </w:r>
      <w:r w:rsidDel="00000000" w:rsidR="00000000" w:rsidRPr="00000000">
        <w:rPr>
          <w:rFonts w:ascii="Arial" w:cs="Arial" w:eastAsia="Arial" w:hAnsi="Arial"/>
          <w:b w:val="0"/>
          <w:i w:val="0"/>
          <w:sz w:val="22"/>
          <w:szCs w:val="22"/>
          <w:rtl w:val="0"/>
        </w:rPr>
        <w:t xml:space="preserve">). </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3"/>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4"/>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