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56540" w14:textId="77777777" w:rsidR="003A5725" w:rsidRDefault="003A5725" w:rsidP="003A5725">
      <w:pPr>
        <w:rPr>
          <w:sz w:val="72"/>
          <w:szCs w:val="72"/>
        </w:rPr>
      </w:pPr>
      <w:r w:rsidRPr="00B120B0">
        <w:rPr>
          <w:sz w:val="72"/>
          <w:szCs w:val="72"/>
        </w:rPr>
        <w:t xml:space="preserve">Immigration : </w:t>
      </w:r>
    </w:p>
    <w:p w14:paraId="0ECA405D" w14:textId="77777777" w:rsidR="003A5725" w:rsidRPr="003A5725" w:rsidRDefault="003A5725" w:rsidP="003A5725">
      <w:pPr>
        <w:pStyle w:val="Standard"/>
        <w:rPr>
          <w:lang w:val="fr-FR"/>
        </w:rPr>
      </w:pPr>
      <w:r w:rsidRPr="003A5725">
        <w:rPr>
          <w:rFonts w:ascii="Calibri" w:hAnsi="Calibri" w:cs="Calibri"/>
          <w:color w:val="0000FF"/>
          <w:sz w:val="22"/>
          <w:szCs w:val="22"/>
          <w:u w:val="single"/>
          <w:shd w:val="clear" w:color="auto" w:fill="9999FF"/>
          <w:lang w:val="fr-FR"/>
        </w:rPr>
        <w:t>Robert Redfield, Ralph Linton, Meyers Herskovits</w:t>
      </w:r>
      <w:r w:rsidRPr="003A5725">
        <w:rPr>
          <w:rFonts w:ascii="Calibri" w:hAnsi="Calibri" w:cs="Calibri"/>
          <w:color w:val="0000FF"/>
          <w:sz w:val="22"/>
          <w:szCs w:val="22"/>
          <w:u w:val="single"/>
          <w:shd w:val="clear" w:color="auto" w:fill="9999FF"/>
          <w:lang w:val="fr-FR"/>
        </w:rPr>
        <w:br/>
      </w:r>
      <w:r w:rsidRPr="003A5725">
        <w:rPr>
          <w:rFonts w:ascii="Calibri" w:hAnsi="Calibri" w:cs="Calibri"/>
          <w:sz w:val="22"/>
          <w:szCs w:val="22"/>
          <w:shd w:val="clear" w:color="auto" w:fill="FFFFFF"/>
          <w:lang w:val="fr-FR"/>
        </w:rPr>
        <w:t>(Acc = acculturation)</w:t>
      </w:r>
    </w:p>
    <w:p w14:paraId="0013E9DC" w14:textId="77777777" w:rsidR="003A5725" w:rsidRDefault="003A5725" w:rsidP="003A5725">
      <w:pPr>
        <w:pStyle w:val="Standard"/>
        <w:rPr>
          <w:rFonts w:ascii="Calibri" w:hAnsi="Calibri" w:cs="Calibri"/>
          <w:sz w:val="22"/>
          <w:szCs w:val="22"/>
          <w:shd w:val="clear" w:color="auto" w:fill="FFFFFF"/>
          <w:lang w:val="fr-FR"/>
        </w:rPr>
      </w:pPr>
      <w:r>
        <w:rPr>
          <w:rFonts w:ascii="Calibri" w:hAnsi="Calibri" w:cs="Calibri"/>
          <w:sz w:val="22"/>
          <w:szCs w:val="22"/>
          <w:shd w:val="clear" w:color="auto" w:fill="FFFFFF"/>
          <w:lang w:val="fr-FR"/>
        </w:rPr>
        <w:t>Acculturation : ensemble des phénomènes qui résultent d’un contact continu et direct btw grp d’indis de C dif et qui entraine des changements ds les modèles initiaux de l’un ds deux grp</w:t>
      </w:r>
    </w:p>
    <w:p w14:paraId="087B396C" w14:textId="16FF47A2" w:rsidR="004A493C" w:rsidRDefault="003A5725" w:rsidP="003A5725">
      <w:r>
        <w:rPr>
          <w:rFonts w:ascii="Calibri" w:hAnsi="Calibri" w:cs="Calibri"/>
          <w:shd w:val="clear" w:color="auto" w:fill="FFFFFF"/>
        </w:rPr>
        <w:t>3 caté de résult d’Acc (de rencontre de 2 sociétés) :</w:t>
      </w:r>
      <w:r>
        <w:rPr>
          <w:rFonts w:ascii="Calibri" w:hAnsi="Calibri" w:cs="Calibri"/>
          <w:shd w:val="clear" w:color="auto" w:fill="FFFFFF"/>
        </w:rPr>
        <w:br/>
      </w:r>
      <w:r>
        <w:rPr>
          <w:rFonts w:ascii="Calibri" w:hAnsi="Calibri" w:cs="Calibri"/>
          <w:u w:val="single"/>
          <w:shd w:val="clear" w:color="auto" w:fill="FFFFFF"/>
        </w:rPr>
        <w:t>Conflit Culturel ouvert</w:t>
      </w:r>
      <w:r>
        <w:rPr>
          <w:rFonts w:ascii="Calibri" w:hAnsi="Calibri" w:cs="Calibri"/>
          <w:u w:val="single"/>
          <w:shd w:val="clear" w:color="auto" w:fill="FFFFFF"/>
        </w:rPr>
        <w:br/>
        <w:t>assimilation totale</w:t>
      </w:r>
      <w:r>
        <w:rPr>
          <w:rFonts w:ascii="Calibri" w:hAnsi="Calibri" w:cs="Calibri"/>
          <w:u w:val="single"/>
          <w:shd w:val="clear" w:color="auto" w:fill="FFFFFF"/>
        </w:rPr>
        <w:br/>
        <w:t>syncrétisme</w:t>
      </w:r>
      <w:r>
        <w:rPr>
          <w:rFonts w:ascii="Calibri" w:hAnsi="Calibri" w:cs="Calibri"/>
          <w:shd w:val="clear" w:color="auto" w:fill="FFFFFF"/>
        </w:rPr>
        <w:t xml:space="preserve"> (un peu des 2)</w:t>
      </w:r>
      <w:r>
        <w:rPr>
          <w:rFonts w:ascii="Calibri" w:hAnsi="Calibri" w:cs="Calibri"/>
          <w:shd w:val="clear" w:color="auto" w:fill="FFFFFF"/>
        </w:rPr>
        <w:br/>
        <w:t>=&gt; mais en vraie c’est pas si simple (regard sur les cdt de tel ou tel résult)</w:t>
      </w:r>
      <w:r>
        <w:rPr>
          <w:rFonts w:ascii="Calibri" w:hAnsi="Calibri" w:cs="Calibri"/>
          <w:shd w:val="clear" w:color="auto" w:fill="FFFFFF"/>
        </w:rPr>
        <w:br/>
      </w:r>
      <w:r>
        <w:rPr>
          <w:rFonts w:ascii="Calibri" w:hAnsi="Calibri" w:cs="Calibri"/>
          <w:shd w:val="clear" w:color="auto" w:fill="FFFFFF"/>
        </w:rPr>
        <w:br/>
      </w:r>
      <w:r>
        <w:rPr>
          <w:rFonts w:ascii="Calibri" w:hAnsi="Calibri" w:cs="Calibri"/>
          <w:color w:val="4472C4"/>
          <w:u w:val="single"/>
          <w:shd w:val="clear" w:color="auto" w:fill="FFFFFF"/>
        </w:rPr>
        <w:t>Nicola Jounin</w:t>
      </w:r>
      <w:r>
        <w:rPr>
          <w:rFonts w:ascii="Calibri" w:hAnsi="Calibri" w:cs="Calibri"/>
          <w:color w:val="4472C4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t xml:space="preserve">: </w:t>
      </w:r>
      <w:r>
        <w:rPr>
          <w:rStyle w:val="Accentuation"/>
          <w:rFonts w:ascii="Calibri" w:hAnsi="Calibri" w:cs="Calibri"/>
          <w:color w:val="00B0F0"/>
        </w:rPr>
        <w:t>De l’ouvrier immigré au travailleur sans papiers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Fonts w:ascii="Calibri" w:hAnsi="Calibri" w:cs="Calibri"/>
          <w:color w:val="000000"/>
          <w:u w:val="single"/>
          <w:shd w:val="clear" w:color="auto" w:fill="FFFFFF"/>
        </w:rPr>
        <w:t>Division ethnique du travail sur les chantiers</w:t>
      </w:r>
      <w:r>
        <w:rPr>
          <w:rFonts w:ascii="Calibri" w:hAnsi="Calibri" w:cs="Calibri"/>
          <w:color w:val="000000"/>
          <w:shd w:val="clear" w:color="auto" w:fill="FFFFFF"/>
        </w:rPr>
        <w:t>, (mécanisme de cristallisation des inégalités : étranger – pauvre – métiers précaires)</w:t>
      </w:r>
      <w:r>
        <w:rPr>
          <w:rFonts w:ascii="Calibri" w:hAnsi="Calibri" w:cs="Calibri"/>
          <w:color w:val="000000"/>
          <w:shd w:val="clear" w:color="auto" w:fill="FFFFFF"/>
        </w:rPr>
        <w:br/>
      </w:r>
      <w:bookmarkStart w:id="0" w:name="_GoBack"/>
      <w:bookmarkEnd w:id="0"/>
    </w:p>
    <w:sectPr w:rsidR="004A4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9E"/>
    <w:rsid w:val="003A5725"/>
    <w:rsid w:val="004A493C"/>
    <w:rsid w:val="0055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E0DDA4-8D00-4A3C-B8D0-925378C3C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57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3A572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ccentuation">
    <w:name w:val="Emphasis"/>
    <w:rsid w:val="003A57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573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Tertrais-Flamand</dc:creator>
  <cp:keywords/>
  <dc:description/>
  <cp:lastModifiedBy>Léo Tertrais-Flamand</cp:lastModifiedBy>
  <cp:revision>2</cp:revision>
  <dcterms:created xsi:type="dcterms:W3CDTF">2018-09-24T15:58:00Z</dcterms:created>
  <dcterms:modified xsi:type="dcterms:W3CDTF">2018-09-24T15:59:00Z</dcterms:modified>
</cp:coreProperties>
</file>