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Fonts w:ascii="Avenir Next Regular" w:hAnsi="Avenir Next Regular"/>
          <w:spacing w:val="36"/>
          <w:sz w:val="36"/>
          <w:szCs w:val="36"/>
          <w:rtl w:val="0"/>
          <w:lang w:val="en-US"/>
        </w:rPr>
        <w:t xml:space="preserve">TAX TIME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2771484</wp:posOffset>
                </wp:positionV>
                <wp:extent cx="2948705" cy="72005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INCOM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705" cy="72005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INCOME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Employment income (including foreign income)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Australian government pensions and allowances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Interest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Dividends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Trust and partnership distributions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Investments (purchased and sold)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Other income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Shares/options under employment share scheme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Superannuation lump sum payments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Grants and scholarships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Private practice income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GENERAL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Child support payments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HECS/HELP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Private health insurance annual statement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Medicare Levy Exemption certificate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Superannuation annual statement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Spouse income tax return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RENTAL PROPERTY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Advertising for tenants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Bank charges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Body corporate fees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Borrowing expenses, interest on loans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Real estate agent commission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Capital works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Cleaning, gardening, pest control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Repairs and maintenance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Council rates, land tax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Water service charges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Depreciation report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Insurance premiums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Rental statement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218.2pt;width:232.2pt;height:56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INCOME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Employment income (including foreign income)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Australian government pensions and allowances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Interest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Dividends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Trust and partnership distributions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Investments (purchased and sold)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Other income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Shares/options under employment share scheme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Superannuation lump sum payments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Grants and scholarships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Private practice income</w:t>
                      </w:r>
                    </w:p>
                    <w:p>
                      <w:pPr>
                        <w:pStyle w:val="Body"/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pP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GENERAL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Child support payments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HECS/HELP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Private health insurance annual statement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Medicare Levy Exemption certificate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Superannuation annual statement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Spouse income tax return</w:t>
                      </w:r>
                    </w:p>
                    <w:p>
                      <w:pPr>
                        <w:pStyle w:val="Body"/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pP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RENTAL PROPERTY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Advertising for tenants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Bank charges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Body corporate fees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Borrowing expenses, interest on loans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Real estate agent commission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Capital works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Cleaning, gardening, pest control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Repairs and maintenance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Council rates, land tax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Water service charges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Depreciation report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Insurance premiums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Rental statement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3891351</wp:posOffset>
                </wp:positionH>
                <wp:positionV relativeFrom="page">
                  <wp:posOffset>2771484</wp:posOffset>
                </wp:positionV>
                <wp:extent cx="2948705" cy="72005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PERSONAL DEDUCTION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705" cy="72005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PERSONAL DEDUCTIONS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Car travel/vehicle expenses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Occupation-specific clothing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Laundry/dry cleaning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Professional subscriptions/memberships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Conference/seminars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Education expenses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Reference books, apps, software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Stationery, printing, postage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Equipment (PC, mobile device, medical equipment)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Home office (average hours per week, utilities costs)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Mobile phone, internet for work use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Income protection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Indemnity insurance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Investment expenses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Working with Children Check, Police Check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Donations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Tax advice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Billing fees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Work bag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6.4pt;margin-top:218.2pt;width:232.2pt;height:56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PERSONAL DEDUCTIONS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Car travel/vehicle expenses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Occupation-specific clothing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Laundry/dry cleaning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Professional subscriptions/memberships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Conference/seminars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Education expenses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Reference books, apps, software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Stationery, printing, postage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Equipment (PC, mobile device, medical equipment)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Home office (average hours per week, utilities costs)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Mobile phone, internet for work use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Income protection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Indemnity insurance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Investment expenses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Working with Children Check, Police Check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Donations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Tax advice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Billing fees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Work bag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venir Next Regular" w:hAnsi="Avenir Next Regular"/>
          <w:spacing w:val="36"/>
          <w:sz w:val="36"/>
          <w:szCs w:val="36"/>
          <w:rtl w:val="0"/>
          <w:lang w:val="en-US"/>
        </w:rPr>
        <w:t>CHECKLIST</w:t>
      </w:r>
      <w:r>
        <w:rPr>
          <w:rFonts w:ascii="Avenir Next Regular" w:cs="Avenir Next Regular" w:hAnsi="Avenir Next Regular" w:eastAsia="Avenir Next Regular"/>
          <w:spacing w:val="36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1083059"/>
            <wp:effectExtent l="0" t="0" r="0" b="0"/>
            <wp:wrapTopAndBottom distT="152400" distB="152400"/>
            <wp:docPr id="1073741825" name="officeArt object" descr="Image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>
                      <a:hlinkClick r:id="rId4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83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Regular" w:cs="Avenir Next Regular" w:hAnsi="Avenir Next Regular" w:eastAsia="Avenir Next Regular"/>
          <w:spacing w:val="36"/>
          <w:sz w:val="36"/>
          <w:szCs w:val="36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8" type="#_x0000_t75" style="visibility:visible;width:20.2pt;height:20.2pt;">
        <v:imagedata r:id="rId1" o:title="bullet_circle-blk-resize.png"/>
      </v:shape>
    </w:pict>
  </w:numPicBullet>
  <w:abstractNum w:abstractNumId="0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aintandspire.com.au" TargetMode="External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