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40"/>
        <w:jc w:val="center"/>
      </w:pPr>
      <w:r>
        <w:rPr>
          <w:rFonts w:ascii="Arial" w:cs="Arial" w:eastAsia="Arial" w:hAnsi="Arial"/>
          <w:b/>
          <w:bCs/>
          <w:color w:val="1B2A4A"/>
          <w:sz w:val="44"/>
          <w:szCs w:val="44"/>
        </w:rPr>
        <w:t xml:space="preserve">HR POLICY DOCUMENT</w:t>
      </w:r>
    </w:p>
    <w:p>
      <w:pPr>
        <w:spacing w:after="30" w:before="0"/>
        <w:jc w:val="center"/>
      </w:pPr>
      <w:r>
        <w:rPr>
          <w:rFonts w:ascii="Arial" w:cs="Arial" w:eastAsia="Arial" w:hAnsi="Arial"/>
          <w:b/>
          <w:bCs/>
          <w:color w:val="0D7377"/>
          <w:sz w:val="26"/>
          <w:szCs w:val="26"/>
        </w:rPr>
        <w:t xml:space="preserve">Human Resource Executive Startup</w:t>
      </w:r>
    </w:p>
    <w:p>
      <w:pPr>
        <w:spacing w:after="20" w:before="0"/>
      </w:pPr>
      <w:r>
        <w:t xml:space="preserve"/>
      </w:r>
    </w:p>
    <w:tbl>
      <w:tblPr>
        <w:tblW w:type="dxa" w:w="8160"/>
        <w:jc w:val="center"/>
        <w:tblBorders>
          <w:top w:val="single" w:color="auto" w:sz="4"/>
          <w:bottom w:val="single" w:color="auto" w:sz="4"/>
          <w:right w:val="single" w:color="auto" w:sz="4"/>
          <w:insideH w:val="single" w:color="auto" w:sz="4"/>
          <w:insideV w:val="single" w:color="auto" w:sz="4"/>
        </w:tblBorders>
      </w:tblPr>
      <w:tblGrid>
        <w:gridCol w:w="2200"/>
        <w:gridCol w:w="5960"/>
      </w:tblGrid>
      <w:tr>
        <w:tc>
          <w:tcPr>
            <w:tcW w:type="dxa" w:w="2200"/>
            <w:tcBorders>
              <w:top w:val="single" w:color="D1D9E6" w:sz="1"/>
              <w:left w:val="single" w:color="D1D9E6" w:sz="1"/>
              <w:bottom w:val="single" w:color="D1D9E6" w:sz="1"/>
              <w:right w:val="single" w:color="D1D9E6" w:sz="1"/>
            </w:tcBorders>
            <w:shd w:fill="EEF4FB" w:val="clear"/>
            <w:tcMar>
              <w:top w:type="dxa" w:w="55"/>
              <w:left w:type="dxa" w:w="100"/>
              <w:bottom w:type="dxa" w:w="55"/>
              <w:right w:type="dxa" w:w="100"/>
            </w:tcMar>
          </w:tcPr>
          <w:p>
            <w:r>
              <w:rPr>
                <w:rFonts w:ascii="Arial" w:cs="Arial" w:eastAsia="Arial" w:hAnsi="Arial"/>
                <w:b/>
                <w:bCs/>
                <w:color w:val="1B2A4A"/>
                <w:sz w:val="19"/>
                <w:szCs w:val="19"/>
              </w:rPr>
              <w:t xml:space="preserve">Prepared by</w:t>
            </w:r>
          </w:p>
        </w:tc>
        <w:tc>
          <w:tcPr>
            <w:tcW w:type="dxa" w:w="5960"/>
            <w:tcBorders>
              <w:top w:val="single" w:color="D1D9E6" w:sz="1"/>
              <w:left w:val="single" w:color="D1D9E6" w:sz="1"/>
              <w:bottom w:val="single" w:color="D1D9E6" w:sz="1"/>
              <w:right w:val="single" w:color="D1D9E6" w:sz="1"/>
            </w:tcBorders>
            <w:tcMar>
              <w:top w:type="dxa" w:w="55"/>
              <w:left w:type="dxa" w:w="100"/>
              <w:bottom w:type="dxa" w:w="55"/>
              <w:right w:type="dxa" w:w="100"/>
            </w:tcMar>
          </w:tcPr>
          <w:p>
            <w:r>
              <w:rPr>
                <w:rFonts w:ascii="Arial" w:cs="Arial" w:eastAsia="Arial" w:hAnsi="Arial"/>
                <w:color w:val="2D3748"/>
                <w:sz w:val="19"/>
                <w:szCs w:val="19"/>
              </w:rPr>
              <w:t xml:space="preserve">Okpabu Raphael  |  HR Assistant</w:t>
            </w:r>
          </w:p>
        </w:tc>
      </w:tr>
      <w:tr>
        <w:tc>
          <w:tcPr>
            <w:tcW w:type="dxa" w:w="2200"/>
            <w:tcBorders>
              <w:top w:val="single" w:color="D1D9E6" w:sz="1"/>
              <w:left w:val="single" w:color="D1D9E6" w:sz="1"/>
              <w:bottom w:val="single" w:color="D1D9E6" w:sz="1"/>
              <w:right w:val="single" w:color="D1D9E6" w:sz="1"/>
            </w:tcBorders>
            <w:shd w:fill="EEF4FB" w:val="clear"/>
            <w:tcMar>
              <w:top w:type="dxa" w:w="55"/>
              <w:left w:type="dxa" w:w="100"/>
              <w:bottom w:type="dxa" w:w="55"/>
              <w:right w:type="dxa" w:w="100"/>
            </w:tcMar>
          </w:tcPr>
          <w:p>
            <w:r>
              <w:rPr>
                <w:rFonts w:ascii="Arial" w:cs="Arial" w:eastAsia="Arial" w:hAnsi="Arial"/>
                <w:b/>
                <w:bCs/>
                <w:color w:val="1B2A4A"/>
                <w:sz w:val="19"/>
                <w:szCs w:val="19"/>
              </w:rPr>
              <w:t xml:space="preserve">Contact</w:t>
            </w:r>
          </w:p>
        </w:tc>
        <w:tc>
          <w:tcPr>
            <w:tcW w:type="dxa" w:w="5960"/>
            <w:tcBorders>
              <w:top w:val="single" w:color="D1D9E6" w:sz="1"/>
              <w:left w:val="single" w:color="D1D9E6" w:sz="1"/>
              <w:bottom w:val="single" w:color="D1D9E6" w:sz="1"/>
              <w:right w:val="single" w:color="D1D9E6" w:sz="1"/>
            </w:tcBorders>
            <w:tcMar>
              <w:top w:type="dxa" w:w="55"/>
              <w:left w:type="dxa" w:w="100"/>
              <w:bottom w:type="dxa" w:w="55"/>
              <w:right w:type="dxa" w:w="100"/>
            </w:tcMar>
          </w:tcPr>
          <w:p>
            <w:r>
              <w:rPr>
                <w:rFonts w:ascii="Arial" w:cs="Arial" w:eastAsia="Arial" w:hAnsi="Arial"/>
                <w:color w:val="2D3748"/>
                <w:sz w:val="19"/>
                <w:szCs w:val="19"/>
              </w:rPr>
              <w:t xml:space="preserve">+2348134297310  |  raphaelokpabu@gmail.com</w:t>
            </w:r>
          </w:p>
        </w:tc>
      </w:tr>
      <w:tr>
        <w:tc>
          <w:tcPr>
            <w:tcW w:type="dxa" w:w="2200"/>
            <w:tcBorders>
              <w:top w:val="single" w:color="D1D9E6" w:sz="1"/>
              <w:left w:val="single" w:color="D1D9E6" w:sz="1"/>
              <w:bottom w:val="single" w:color="D1D9E6" w:sz="1"/>
              <w:right w:val="single" w:color="D1D9E6" w:sz="1"/>
            </w:tcBorders>
            <w:shd w:fill="EEF4FB" w:val="clear"/>
            <w:tcMar>
              <w:top w:type="dxa" w:w="55"/>
              <w:left w:type="dxa" w:w="100"/>
              <w:bottom w:type="dxa" w:w="55"/>
              <w:right w:type="dxa" w:w="100"/>
            </w:tcMar>
          </w:tcPr>
          <w:p>
            <w:r>
              <w:rPr>
                <w:rFonts w:ascii="Arial" w:cs="Arial" w:eastAsia="Arial" w:hAnsi="Arial"/>
                <w:b/>
                <w:bCs/>
                <w:color w:val="1B2A4A"/>
                <w:sz w:val="19"/>
                <w:szCs w:val="19"/>
              </w:rPr>
              <w:t xml:space="preserve">Effective Date</w:t>
            </w:r>
          </w:p>
        </w:tc>
        <w:tc>
          <w:tcPr>
            <w:tcW w:type="dxa" w:w="5960"/>
            <w:tcBorders>
              <w:top w:val="single" w:color="D1D9E6" w:sz="1"/>
              <w:left w:val="single" w:color="D1D9E6" w:sz="1"/>
              <w:bottom w:val="single" w:color="D1D9E6" w:sz="1"/>
              <w:right w:val="single" w:color="D1D9E6" w:sz="1"/>
            </w:tcBorders>
            <w:tcMar>
              <w:top w:type="dxa" w:w="55"/>
              <w:left w:type="dxa" w:w="100"/>
              <w:bottom w:type="dxa" w:w="55"/>
              <w:right w:type="dxa" w:w="100"/>
            </w:tcMar>
          </w:tcPr>
          <w:p>
            <w:r>
              <w:rPr>
                <w:rFonts w:ascii="Arial" w:cs="Arial" w:eastAsia="Arial" w:hAnsi="Arial"/>
                <w:color w:val="2D3748"/>
                <w:sz w:val="19"/>
                <w:szCs w:val="19"/>
              </w:rPr>
              <w:t xml:space="preserve">May 10, 2026  |  Review: May 10, 2027</w:t>
            </w:r>
          </w:p>
        </w:tc>
      </w:tr>
      <w:tr>
        <w:tc>
          <w:tcPr>
            <w:tcW w:type="dxa" w:w="2200"/>
            <w:tcBorders>
              <w:top w:val="single" w:color="D1D9E6" w:sz="1"/>
              <w:left w:val="single" w:color="D1D9E6" w:sz="1"/>
              <w:bottom w:val="single" w:color="D1D9E6" w:sz="1"/>
              <w:right w:val="single" w:color="D1D9E6" w:sz="1"/>
            </w:tcBorders>
            <w:shd w:fill="EEF4FB" w:val="clear"/>
            <w:tcMar>
              <w:top w:type="dxa" w:w="55"/>
              <w:left w:type="dxa" w:w="100"/>
              <w:bottom w:type="dxa" w:w="55"/>
              <w:right w:type="dxa" w:w="100"/>
            </w:tcMar>
          </w:tcPr>
          <w:p>
            <w:r>
              <w:rPr>
                <w:rFonts w:ascii="Arial" w:cs="Arial" w:eastAsia="Arial" w:hAnsi="Arial"/>
                <w:b/>
                <w:bCs/>
                <w:color w:val="1B2A4A"/>
                <w:sz w:val="19"/>
                <w:szCs w:val="19"/>
              </w:rPr>
              <w:t xml:space="preserve">Version</w:t>
            </w:r>
          </w:p>
        </w:tc>
        <w:tc>
          <w:tcPr>
            <w:tcW w:type="dxa" w:w="5960"/>
            <w:tcBorders>
              <w:top w:val="single" w:color="D1D9E6" w:sz="1"/>
              <w:left w:val="single" w:color="D1D9E6" w:sz="1"/>
              <w:bottom w:val="single" w:color="D1D9E6" w:sz="1"/>
              <w:right w:val="single" w:color="D1D9E6" w:sz="1"/>
            </w:tcBorders>
            <w:tcMar>
              <w:top w:type="dxa" w:w="55"/>
              <w:left w:type="dxa" w:w="100"/>
              <w:bottom w:type="dxa" w:w="55"/>
              <w:right w:type="dxa" w:w="100"/>
            </w:tcMar>
          </w:tcPr>
          <w:p>
            <w:r>
              <w:rPr>
                <w:rFonts w:ascii="Arial" w:cs="Arial" w:eastAsia="Arial" w:hAnsi="Arial"/>
                <w:color w:val="2D3748"/>
                <w:sz w:val="19"/>
                <w:szCs w:val="19"/>
              </w:rPr>
              <w:t xml:space="preserve">1.0 — Initial Release  |  Work Model: Fully Remote</w:t>
            </w:r>
          </w:p>
        </w:tc>
      </w:tr>
    </w:tbl>
    <w:p>
      <w:pPr>
        <w:spacing w:after="20" w:before="0"/>
      </w:pPr>
      <w:r>
        <w:t xml:space="preserve"/>
      </w:r>
    </w:p>
    <w:p>
      <w:pPr>
        <w:pBdr>
          <w:top w:val="single" w:color="0D7377" w:sz="3"/>
          <w:bottom w:val="single" w:color="0D7377" w:sz="3"/>
          <w:left w:val="single" w:color="E8A020" w:sz="12"/>
        </w:pBdr>
        <w:shd w:fill="EEF4FB" w:val="clear"/>
        <w:spacing w:after="0" w:before="0"/>
        <w:ind w:left="100" w:right="100"/>
        <w:jc w:val="both"/>
      </w:pPr>
      <w:r>
        <w:rPr>
          <w:rFonts w:ascii="Arial" w:cs="Arial" w:eastAsia="Arial" w:hAnsi="Arial"/>
          <w:i/>
          <w:iCs/>
          <w:color w:val="6B7280"/>
          <w:sz w:val="19"/>
          <w:szCs w:val="19"/>
        </w:rPr>
        <w:t xml:space="preserve">This document contains three foundational HR policies applicable to all full-time employees, part-time staff, and contractors. All personnel are required to read, understand, and comply with the provisions herein.</w:t>
      </w:r>
    </w:p>
    <w:p>
      <w:pPr>
        <w:spacing w:after="40" w:before="0"/>
      </w:pPr>
      <w:r>
        <w:t xml:space="preserve"/>
      </w:r>
    </w:p>
    <w:p>
      <w:pPr>
        <w:shd w:fill="1B2A4A" w:val="clear"/>
        <w:spacing w:after="100" w:before="180"/>
        <w:ind w:left="100" w:right="100"/>
        <w:jc w:val="left"/>
      </w:pPr>
      <w:r>
        <w:rPr>
          <w:rFonts w:ascii="Arial" w:cs="Arial" w:eastAsia="Arial" w:hAnsi="Arial"/>
          <w:b/>
          <w:bCs/>
          <w:color w:val="FFFFFF"/>
          <w:sz w:val="26"/>
          <w:szCs w:val="26"/>
        </w:rPr>
        <w:t xml:space="preserve">SECTION 1: LEAVE POLICY</w:t>
      </w:r>
    </w:p>
    <w:p>
      <w:pPr>
        <w:pBdr>
          <w:bottom w:val="single" w:color="E8A020" w:sz="3" w:space="1"/>
        </w:pBdr>
        <w:spacing w:after="50" w:before="120"/>
      </w:pPr>
      <w:r>
        <w:rPr>
          <w:rFonts w:ascii="Arial" w:cs="Arial" w:eastAsia="Arial" w:hAnsi="Arial"/>
          <w:b/>
          <w:bCs/>
          <w:color w:val="0D7377"/>
          <w:sz w:val="22"/>
          <w:szCs w:val="22"/>
        </w:rPr>
        <w:t xml:space="preserve">1.1  Purpose &amp; Scope</w:t>
      </w:r>
    </w:p>
    <w:p>
      <w:pPr>
        <w:spacing w:after="50" w:before="0"/>
        <w:jc w:val="both"/>
      </w:pPr>
      <w:r>
        <w:rPr>
          <w:rFonts w:ascii="Arial" w:cs="Arial" w:eastAsia="Arial" w:hAnsi="Arial"/>
          <w:color w:val="2D3748"/>
          <w:sz w:val="20"/>
          <w:szCs w:val="20"/>
        </w:rPr>
        <w:t xml:space="preserve">This Leave Policy establishes a fair and consistent framework for managing employee time off. It applies to all employees regardless of role or contract type, designed to promote work-life balance, wellbeing, and sustained organisational productivity.</w:t>
      </w:r>
    </w:p>
    <w:p>
      <w:pPr>
        <w:pBdr>
          <w:bottom w:val="single" w:color="E8A020" w:sz="3" w:space="1"/>
        </w:pBdr>
        <w:spacing w:after="50" w:before="120"/>
      </w:pPr>
      <w:r>
        <w:rPr>
          <w:rFonts w:ascii="Arial" w:cs="Arial" w:eastAsia="Arial" w:hAnsi="Arial"/>
          <w:b/>
          <w:bCs/>
          <w:color w:val="0D7377"/>
          <w:sz w:val="22"/>
          <w:szCs w:val="22"/>
        </w:rPr>
        <w:t xml:space="preserve">1.2  Leave Entitlements</w:t>
      </w:r>
    </w:p>
    <w:tbl>
      <w:tblPr>
        <w:tblW w:type="dxa" w:w="10080"/>
        <w:tblBorders>
          <w:top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0D7377" w:sz="1"/>
              <w:left w:val="single" w:color="0D7377" w:sz="1"/>
              <w:bottom w:val="single" w:color="0D7377" w:sz="1"/>
              <w:right w:val="single" w:color="0D7377" w:sz="1"/>
            </w:tcBorders>
            <w:shd w:fill="1B2A4A" w:val="clear"/>
            <w:tcMar>
              <w:top w:type="dxa" w:w="65"/>
              <w:left w:type="dxa" w:w="100"/>
              <w:bottom w:type="dxa" w:w="65"/>
              <w:right w:type="dxa" w:w="100"/>
            </w:tcMar>
          </w:tcPr>
          <w:p>
            <w:r>
              <w:rPr>
                <w:rFonts w:ascii="Arial" w:cs="Arial" w:eastAsia="Arial" w:hAnsi="Arial"/>
                <w:b/>
                <w:bCs/>
                <w:color w:val="FFFFFF"/>
                <w:sz w:val="19"/>
                <w:szCs w:val="19"/>
              </w:rPr>
              <w:t xml:space="preserve">Leave Type</w:t>
            </w:r>
          </w:p>
        </w:tc>
        <w:tc>
          <w:tcPr>
            <w:tcW w:type="dxa" w:w="2520"/>
            <w:tcBorders>
              <w:top w:val="single" w:color="0D7377" w:sz="1"/>
              <w:left w:val="single" w:color="0D7377" w:sz="1"/>
              <w:bottom w:val="single" w:color="0D7377" w:sz="1"/>
              <w:right w:val="single" w:color="0D7377" w:sz="1"/>
            </w:tcBorders>
            <w:shd w:fill="1B2A4A" w:val="clear"/>
            <w:tcMar>
              <w:top w:type="dxa" w:w="65"/>
              <w:left w:type="dxa" w:w="100"/>
              <w:bottom w:type="dxa" w:w="65"/>
              <w:right w:type="dxa" w:w="100"/>
            </w:tcMar>
          </w:tcPr>
          <w:p>
            <w:r>
              <w:rPr>
                <w:rFonts w:ascii="Arial" w:cs="Arial" w:eastAsia="Arial" w:hAnsi="Arial"/>
                <w:b/>
                <w:bCs/>
                <w:color w:val="FFFFFF"/>
                <w:sz w:val="19"/>
                <w:szCs w:val="19"/>
              </w:rPr>
              <w:t xml:space="preserve">Days Per Year</w:t>
            </w:r>
          </w:p>
        </w:tc>
        <w:tc>
          <w:tcPr>
            <w:tcW w:type="dxa" w:w="2520"/>
            <w:tcBorders>
              <w:top w:val="single" w:color="0D7377" w:sz="1"/>
              <w:left w:val="single" w:color="0D7377" w:sz="1"/>
              <w:bottom w:val="single" w:color="0D7377" w:sz="1"/>
              <w:right w:val="single" w:color="0D7377" w:sz="1"/>
            </w:tcBorders>
            <w:shd w:fill="1B2A4A" w:val="clear"/>
            <w:tcMar>
              <w:top w:type="dxa" w:w="65"/>
              <w:left w:type="dxa" w:w="100"/>
              <w:bottom w:type="dxa" w:w="65"/>
              <w:right w:type="dxa" w:w="100"/>
            </w:tcMar>
          </w:tcPr>
          <w:p>
            <w:r>
              <w:rPr>
                <w:rFonts w:ascii="Arial" w:cs="Arial" w:eastAsia="Arial" w:hAnsi="Arial"/>
                <w:b/>
                <w:bCs/>
                <w:color w:val="FFFFFF"/>
                <w:sz w:val="19"/>
                <w:szCs w:val="19"/>
              </w:rPr>
              <w:t xml:space="preserve">Paid / Unpaid</w:t>
            </w:r>
          </w:p>
        </w:tc>
        <w:tc>
          <w:tcPr>
            <w:tcW w:type="dxa" w:w="2520"/>
            <w:tcBorders>
              <w:top w:val="single" w:color="0D7377" w:sz="1"/>
              <w:left w:val="single" w:color="0D7377" w:sz="1"/>
              <w:bottom w:val="single" w:color="0D7377" w:sz="1"/>
              <w:right w:val="single" w:color="0D7377" w:sz="1"/>
            </w:tcBorders>
            <w:shd w:fill="1B2A4A" w:val="clear"/>
            <w:tcMar>
              <w:top w:type="dxa" w:w="65"/>
              <w:left w:type="dxa" w:w="100"/>
              <w:bottom w:type="dxa" w:w="65"/>
              <w:right w:type="dxa" w:w="100"/>
            </w:tcMar>
          </w:tcPr>
          <w:p>
            <w:r>
              <w:rPr>
                <w:rFonts w:ascii="Arial" w:cs="Arial" w:eastAsia="Arial" w:hAnsi="Arial"/>
                <w:b/>
                <w:bCs/>
                <w:color w:val="FFFFFF"/>
                <w:sz w:val="19"/>
                <w:szCs w:val="19"/>
              </w:rPr>
              <w:t xml:space="preserve">Notes</w:t>
            </w:r>
          </w:p>
        </w:tc>
      </w:tr>
      <w:tr>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bCs/>
                <w:color w:val="1B2A4A"/>
                <w:sz w:val="18"/>
                <w:szCs w:val="18"/>
              </w:rPr>
              <w:t xml:space="preserve">Annual Leave</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20 days</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Paid</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Up to 5 days may roll over</w:t>
            </w:r>
          </w:p>
        </w:tc>
      </w:tr>
      <w:tr>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bCs/>
                <w:color w:val="1B2A4A"/>
                <w:sz w:val="18"/>
                <w:szCs w:val="18"/>
              </w:rPr>
              <w:t xml:space="preserve">Sick Leave</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10 days</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Paid</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Medical cert after 3 consecutive days</w:t>
            </w:r>
          </w:p>
        </w:tc>
      </w:tr>
      <w:tr>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bCs/>
                <w:color w:val="1B2A4A"/>
                <w:sz w:val="18"/>
                <w:szCs w:val="18"/>
              </w:rPr>
              <w:t xml:space="preserve">Parental Leave</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90 days (primary) / 14 days (secondary)</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Paid</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Birth, adoption &amp; surrogacy</w:t>
            </w:r>
          </w:p>
        </w:tc>
      </w:tr>
      <w:tr>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bCs/>
                <w:color w:val="1B2A4A"/>
                <w:sz w:val="18"/>
                <w:szCs w:val="18"/>
              </w:rPr>
              <w:t xml:space="preserve">Bereavement</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5 days (immediate family)</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Paid</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Extended on manager approval</w:t>
            </w:r>
          </w:p>
        </w:tc>
      </w:tr>
      <w:tr>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bCs/>
                <w:color w:val="1B2A4A"/>
                <w:sz w:val="18"/>
                <w:szCs w:val="18"/>
              </w:rPr>
              <w:t xml:space="preserve">Study / Exam</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5 days</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Paid</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Proof of enrolment required</w:t>
            </w:r>
          </w:p>
        </w:tc>
      </w:tr>
      <w:tr>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bCs/>
                <w:color w:val="1B2A4A"/>
                <w:sz w:val="18"/>
                <w:szCs w:val="18"/>
              </w:rPr>
              <w:t xml:space="preserve">Unpaid Leave</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As agreed</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Unpaid</w:t>
            </w:r>
          </w:p>
        </w:tc>
        <w:tc>
          <w:tcPr>
            <w:tcW w:type="dxa" w:w="2510"/>
            <w:tcBorders>
              <w:top w:val="single" w:color="D1D9E6" w:sz="1"/>
              <w:left w:val="single" w:color="D1D9E6" w:sz="1"/>
              <w:bottom w:val="single" w:color="D1D9E6" w:sz="1"/>
              <w:right w:val="single" w:color="D1D9E6" w:sz="1"/>
            </w:tcBorders>
            <w:shd w:fill="FFFFFF" w:val="clear"/>
            <w:tcMar>
              <w:top w:type="dxa" w:w="55"/>
              <w:left w:type="dxa" w:w="90"/>
              <w:bottom w:type="dxa" w:w="55"/>
              <w:right w:type="dxa" w:w="90"/>
            </w:tcMar>
          </w:tcPr>
          <w:p>
            <w:r>
              <w:rPr>
                <w:rFonts w:ascii="Arial" w:cs="Arial" w:eastAsia="Arial" w:hAnsi="Arial"/>
                <w:b w:val="false"/>
                <w:bCs w:val="false"/>
                <w:color w:val="2D3748"/>
                <w:sz w:val="18"/>
                <w:szCs w:val="18"/>
              </w:rPr>
              <w:t xml:space="preserve">Requires written HR approval</w:t>
            </w:r>
          </w:p>
        </w:tc>
      </w:tr>
    </w:tbl>
    <w:p>
      <w:pPr>
        <w:spacing w:after="30" w:before="0"/>
      </w:pPr>
      <w:r>
        <w:t xml:space="preserve"/>
      </w:r>
    </w:p>
    <w:p>
      <w:pPr>
        <w:pBdr>
          <w:bottom w:val="single" w:color="E8A020" w:sz="3" w:space="1"/>
        </w:pBdr>
        <w:spacing w:after="50" w:before="120"/>
      </w:pPr>
      <w:r>
        <w:rPr>
          <w:rFonts w:ascii="Arial" w:cs="Arial" w:eastAsia="Arial" w:hAnsi="Arial"/>
          <w:b/>
          <w:bCs/>
          <w:color w:val="0D7377"/>
          <w:sz w:val="22"/>
          <w:szCs w:val="22"/>
        </w:rPr>
        <w:t xml:space="preserve">1.3  Leave Application Process</w:t>
      </w:r>
    </w:p>
    <w:p>
      <w:pPr>
        <w:pStyle w:val="ListParagraph"/>
        <w:numPr>
          <w:ilvl w:val="0"/>
          <w:numId w:val="2"/>
        </w:numPr>
        <w:spacing w:after="45" w:before="0"/>
      </w:pPr>
      <w:r>
        <w:rPr>
          <w:rFonts w:ascii="Arial" w:cs="Arial" w:eastAsia="Arial" w:hAnsi="Arial"/>
          <w:color w:val="2D3748"/>
          <w:sz w:val="20"/>
          <w:szCs w:val="20"/>
        </w:rPr>
        <w:t xml:space="preserve">Submit all requests via the HRMS at least 5 working days in advance, except for emergency or sick leave.</w:t>
      </w:r>
    </w:p>
    <w:p>
      <w:pPr>
        <w:pStyle w:val="ListParagraph"/>
        <w:numPr>
          <w:ilvl w:val="0"/>
          <w:numId w:val="2"/>
        </w:numPr>
        <w:spacing w:after="45" w:before="0"/>
      </w:pPr>
      <w:r>
        <w:rPr>
          <w:rFonts w:ascii="Arial" w:cs="Arial" w:eastAsia="Arial" w:hAnsi="Arial"/>
          <w:color w:val="2D3748"/>
          <w:sz w:val="20"/>
          <w:szCs w:val="20"/>
        </w:rPr>
        <w:t xml:space="preserve">Report sick leave to your line manager by 9:00 AM on the first day of absence via email or messaging platform.</w:t>
      </w:r>
    </w:p>
    <w:p>
      <w:pPr>
        <w:pStyle w:val="ListParagraph"/>
        <w:numPr>
          <w:ilvl w:val="0"/>
          <w:numId w:val="2"/>
        </w:numPr>
        <w:spacing w:after="45" w:before="0"/>
      </w:pPr>
      <w:r>
        <w:rPr>
          <w:rFonts w:ascii="Arial" w:cs="Arial" w:eastAsia="Arial" w:hAnsi="Arial"/>
          <w:color w:val="2D3748"/>
          <w:sz w:val="20"/>
          <w:szCs w:val="20"/>
        </w:rPr>
        <w:t xml:space="preserve">Approval is subject to operational needs and must be confirmed in writing by the direct line manager.</w:t>
      </w:r>
    </w:p>
    <w:p>
      <w:pPr>
        <w:pStyle w:val="ListParagraph"/>
        <w:numPr>
          <w:ilvl w:val="0"/>
          <w:numId w:val="2"/>
        </w:numPr>
        <w:spacing w:after="45" w:before="0"/>
      </w:pPr>
      <w:r>
        <w:rPr>
          <w:rFonts w:ascii="Arial" w:cs="Arial" w:eastAsia="Arial" w:hAnsi="Arial"/>
          <w:color w:val="2D3748"/>
          <w:sz w:val="20"/>
          <w:szCs w:val="20"/>
        </w:rPr>
        <w:t xml:space="preserve">Unapproved absence for more than 2 consecutive days may result in disciplinary action.</w:t>
      </w:r>
    </w:p>
    <w:p>
      <w:pPr>
        <w:pStyle w:val="ListParagraph"/>
        <w:numPr>
          <w:ilvl w:val="0"/>
          <w:numId w:val="2"/>
        </w:numPr>
        <w:spacing w:after="45" w:before="0"/>
      </w:pPr>
      <w:r>
        <w:rPr>
          <w:rFonts w:ascii="Arial" w:cs="Arial" w:eastAsia="Arial" w:hAnsi="Arial"/>
          <w:color w:val="2D3748"/>
          <w:sz w:val="20"/>
          <w:szCs w:val="20"/>
        </w:rPr>
        <w:t xml:space="preserve">Accrued but untaken annual leave will be paid out in full upon separation from the organisation.</w:t>
      </w:r>
    </w:p>
    <w:p>
      <w:pPr>
        <w:spacing w:after="0" w:before="0"/>
      </w:pPr>
      <w:r>
        <w:br w:type="page"/>
      </w:r>
    </w:p>
    <w:p>
      <w:pPr>
        <w:shd w:fill="1B2A4A" w:val="clear"/>
        <w:spacing w:after="100" w:before="180"/>
        <w:ind w:left="100" w:right="100"/>
        <w:jc w:val="left"/>
      </w:pPr>
      <w:r>
        <w:rPr>
          <w:rFonts w:ascii="Arial" w:cs="Arial" w:eastAsia="Arial" w:hAnsi="Arial"/>
          <w:b/>
          <w:bCs/>
          <w:color w:val="FFFFFF"/>
          <w:sz w:val="26"/>
          <w:szCs w:val="26"/>
        </w:rPr>
        <w:t xml:space="preserve">SECTION 2: CODE OF CONDUCT</w:t>
      </w:r>
    </w:p>
    <w:p>
      <w:pPr>
        <w:pBdr>
          <w:bottom w:val="single" w:color="E8A020" w:sz="3" w:space="1"/>
        </w:pBdr>
        <w:spacing w:after="50" w:before="120"/>
      </w:pPr>
      <w:r>
        <w:rPr>
          <w:rFonts w:ascii="Arial" w:cs="Arial" w:eastAsia="Arial" w:hAnsi="Arial"/>
          <w:b/>
          <w:bCs/>
          <w:color w:val="0D7377"/>
          <w:sz w:val="22"/>
          <w:szCs w:val="22"/>
        </w:rPr>
        <w:t xml:space="preserve">2.1  Purpose &amp; Core Values</w:t>
      </w:r>
    </w:p>
    <w:p>
      <w:pPr>
        <w:spacing w:after="50" w:before="0"/>
        <w:jc w:val="both"/>
      </w:pPr>
      <w:r>
        <w:rPr>
          <w:rFonts w:ascii="Arial" w:cs="Arial" w:eastAsia="Arial" w:hAnsi="Arial"/>
          <w:color w:val="2D3748"/>
          <w:sz w:val="20"/>
          <w:szCs w:val="20"/>
        </w:rPr>
        <w:t xml:space="preserve">Our Code of Conduct defines the professional and ethical standards all employees must uphold. As an HR executive organisation, we hold ourselves to the highest standards of integrity, professionalism, and respect — both internally and in all external engagements.</w:t>
      </w:r>
    </w:p>
    <w:p>
      <w:pPr>
        <w:spacing w:after="20" w:before="0"/>
      </w:pPr>
      <w:r>
        <w:t xml:space="preserve"/>
      </w:r>
    </w:p>
    <w:tbl>
      <w:tblPr>
        <w:tblW w:type="dxa" w:w="10080"/>
        <w:tblBorders>
          <w:top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D1D9E6" w:sz="1"/>
              <w:left w:val="single" w:color="D1D9E6" w:sz="1"/>
              <w:bottom w:val="single" w:color="D1D9E6" w:sz="1"/>
              <w:right w:val="single" w:color="D1D9E6" w:sz="1"/>
            </w:tcBorders>
            <w:shd w:fill="EEF4FB" w:val="clear"/>
            <w:tcMar>
              <w:top w:type="dxa" w:w="75"/>
              <w:left w:type="dxa" w:w="90"/>
              <w:bottom w:type="dxa" w:w="75"/>
              <w:right w:type="dxa" w:w="90"/>
            </w:tcMar>
          </w:tcPr>
          <w:p>
            <w:pPr>
              <w:spacing w:after="25" w:before="0"/>
            </w:pPr>
            <w:r>
              <w:rPr>
                <w:rFonts w:ascii="Arial" w:cs="Arial" w:eastAsia="Arial" w:hAnsi="Arial"/>
                <w:b/>
                <w:bCs/>
                <w:color w:val="0D7377"/>
                <w:sz w:val="19"/>
                <w:szCs w:val="19"/>
              </w:rPr>
              <w:t xml:space="preserve">Integrity</w:t>
            </w:r>
          </w:p>
          <w:p>
            <w:r>
              <w:rPr>
                <w:rFonts w:ascii="Arial" w:cs="Arial" w:eastAsia="Arial" w:hAnsi="Arial"/>
                <w:color w:val="2D3748"/>
                <w:sz w:val="18"/>
                <w:szCs w:val="18"/>
              </w:rPr>
              <w:t xml:space="preserve">Act with honesty and transparency in all matters.</w:t>
            </w:r>
          </w:p>
        </w:tc>
        <w:tc>
          <w:tcPr>
            <w:tcW w:type="dxa" w:w="2016"/>
            <w:tcBorders>
              <w:top w:val="single" w:color="D1D9E6" w:sz="1"/>
              <w:left w:val="single" w:color="D1D9E6" w:sz="1"/>
              <w:bottom w:val="single" w:color="D1D9E6" w:sz="1"/>
              <w:right w:val="single" w:color="D1D9E6" w:sz="1"/>
            </w:tcBorders>
            <w:shd w:fill="EEF4FB" w:val="clear"/>
            <w:tcMar>
              <w:top w:type="dxa" w:w="75"/>
              <w:left w:type="dxa" w:w="90"/>
              <w:bottom w:type="dxa" w:w="75"/>
              <w:right w:type="dxa" w:w="90"/>
            </w:tcMar>
          </w:tcPr>
          <w:p>
            <w:pPr>
              <w:spacing w:after="25" w:before="0"/>
            </w:pPr>
            <w:r>
              <w:rPr>
                <w:rFonts w:ascii="Arial" w:cs="Arial" w:eastAsia="Arial" w:hAnsi="Arial"/>
                <w:b/>
                <w:bCs/>
                <w:color w:val="0D7377"/>
                <w:sz w:val="19"/>
                <w:szCs w:val="19"/>
              </w:rPr>
              <w:t xml:space="preserve">Respect</w:t>
            </w:r>
          </w:p>
          <w:p>
            <w:r>
              <w:rPr>
                <w:rFonts w:ascii="Arial" w:cs="Arial" w:eastAsia="Arial" w:hAnsi="Arial"/>
                <w:color w:val="2D3748"/>
                <w:sz w:val="18"/>
                <w:szCs w:val="18"/>
              </w:rPr>
              <w:t xml:space="preserve">Value every individual regardless of background or role.</w:t>
            </w:r>
          </w:p>
        </w:tc>
        <w:tc>
          <w:tcPr>
            <w:tcW w:type="dxa" w:w="2016"/>
            <w:tcBorders>
              <w:top w:val="single" w:color="D1D9E6" w:sz="1"/>
              <w:left w:val="single" w:color="D1D9E6" w:sz="1"/>
              <w:bottom w:val="single" w:color="D1D9E6" w:sz="1"/>
              <w:right w:val="single" w:color="D1D9E6" w:sz="1"/>
            </w:tcBorders>
            <w:shd w:fill="EEF4FB" w:val="clear"/>
            <w:tcMar>
              <w:top w:type="dxa" w:w="75"/>
              <w:left w:type="dxa" w:w="90"/>
              <w:bottom w:type="dxa" w:w="75"/>
              <w:right w:type="dxa" w:w="90"/>
            </w:tcMar>
          </w:tcPr>
          <w:p>
            <w:pPr>
              <w:spacing w:after="25" w:before="0"/>
            </w:pPr>
            <w:r>
              <w:rPr>
                <w:rFonts w:ascii="Arial" w:cs="Arial" w:eastAsia="Arial" w:hAnsi="Arial"/>
                <w:b/>
                <w:bCs/>
                <w:color w:val="0D7377"/>
                <w:sz w:val="19"/>
                <w:szCs w:val="19"/>
              </w:rPr>
              <w:t xml:space="preserve">Accountability</w:t>
            </w:r>
          </w:p>
          <w:p>
            <w:r>
              <w:rPr>
                <w:rFonts w:ascii="Arial" w:cs="Arial" w:eastAsia="Arial" w:hAnsi="Arial"/>
                <w:color w:val="2D3748"/>
                <w:sz w:val="18"/>
                <w:szCs w:val="18"/>
              </w:rPr>
              <w:t xml:space="preserve">Take ownership of your actions and decisions.</w:t>
            </w:r>
          </w:p>
        </w:tc>
        <w:tc>
          <w:tcPr>
            <w:tcW w:type="dxa" w:w="2016"/>
            <w:tcBorders>
              <w:top w:val="single" w:color="D1D9E6" w:sz="1"/>
              <w:left w:val="single" w:color="D1D9E6" w:sz="1"/>
              <w:bottom w:val="single" w:color="D1D9E6" w:sz="1"/>
              <w:right w:val="single" w:color="D1D9E6" w:sz="1"/>
            </w:tcBorders>
            <w:shd w:fill="EEF4FB" w:val="clear"/>
            <w:tcMar>
              <w:top w:type="dxa" w:w="75"/>
              <w:left w:type="dxa" w:w="90"/>
              <w:bottom w:type="dxa" w:w="75"/>
              <w:right w:type="dxa" w:w="90"/>
            </w:tcMar>
          </w:tcPr>
          <w:p>
            <w:pPr>
              <w:spacing w:after="25" w:before="0"/>
            </w:pPr>
            <w:r>
              <w:rPr>
                <w:rFonts w:ascii="Arial" w:cs="Arial" w:eastAsia="Arial" w:hAnsi="Arial"/>
                <w:b/>
                <w:bCs/>
                <w:color w:val="0D7377"/>
                <w:sz w:val="19"/>
                <w:szCs w:val="19"/>
              </w:rPr>
              <w:t xml:space="preserve">Excellence</w:t>
            </w:r>
          </w:p>
          <w:p>
            <w:r>
              <w:rPr>
                <w:rFonts w:ascii="Arial" w:cs="Arial" w:eastAsia="Arial" w:hAnsi="Arial"/>
                <w:color w:val="2D3748"/>
                <w:sz w:val="18"/>
                <w:szCs w:val="18"/>
              </w:rPr>
              <w:t xml:space="preserve">Pursue quality and continuous improvement.</w:t>
            </w:r>
          </w:p>
        </w:tc>
        <w:tc>
          <w:tcPr>
            <w:tcW w:type="dxa" w:w="2016"/>
            <w:tcBorders>
              <w:top w:val="single" w:color="D1D9E6" w:sz="1"/>
              <w:left w:val="single" w:color="D1D9E6" w:sz="1"/>
              <w:bottom w:val="single" w:color="D1D9E6" w:sz="1"/>
              <w:right w:val="single" w:color="D1D9E6" w:sz="1"/>
            </w:tcBorders>
            <w:shd w:fill="EEF4FB" w:val="clear"/>
            <w:tcMar>
              <w:top w:type="dxa" w:w="75"/>
              <w:left w:type="dxa" w:w="90"/>
              <w:bottom w:type="dxa" w:w="75"/>
              <w:right w:type="dxa" w:w="90"/>
            </w:tcMar>
          </w:tcPr>
          <w:p>
            <w:pPr>
              <w:spacing w:after="25" w:before="0"/>
            </w:pPr>
            <w:r>
              <w:rPr>
                <w:rFonts w:ascii="Arial" w:cs="Arial" w:eastAsia="Arial" w:hAnsi="Arial"/>
                <w:b/>
                <w:bCs/>
                <w:color w:val="0D7377"/>
                <w:sz w:val="19"/>
                <w:szCs w:val="19"/>
              </w:rPr>
              <w:t xml:space="preserve">Confidentiality</w:t>
            </w:r>
          </w:p>
          <w:p>
            <w:r>
              <w:rPr>
                <w:rFonts w:ascii="Arial" w:cs="Arial" w:eastAsia="Arial" w:hAnsi="Arial"/>
                <w:color w:val="2D3748"/>
                <w:sz w:val="18"/>
                <w:szCs w:val="18"/>
              </w:rPr>
              <w:t xml:space="preserve">Protect all sensitive information at all times.</w:t>
            </w:r>
          </w:p>
        </w:tc>
      </w:tr>
    </w:tbl>
    <w:p>
      <w:pPr>
        <w:spacing w:after="30" w:before="0"/>
      </w:pPr>
      <w:r>
        <w:t xml:space="preserve"/>
      </w:r>
    </w:p>
    <w:p>
      <w:pPr>
        <w:pBdr>
          <w:bottom w:val="single" w:color="E8A020" w:sz="3" w:space="1"/>
        </w:pBdr>
        <w:spacing w:after="50" w:before="120"/>
      </w:pPr>
      <w:r>
        <w:rPr>
          <w:rFonts w:ascii="Arial" w:cs="Arial" w:eastAsia="Arial" w:hAnsi="Arial"/>
          <w:b/>
          <w:bCs/>
          <w:color w:val="0D7377"/>
          <w:sz w:val="22"/>
          <w:szCs w:val="22"/>
        </w:rPr>
        <w:t xml:space="preserve">2.2  Professional Standards</w:t>
      </w:r>
    </w:p>
    <w:p>
      <w:pPr>
        <w:pStyle w:val="ListParagraph"/>
        <w:numPr>
          <w:ilvl w:val="0"/>
          <w:numId w:val="2"/>
        </w:numPr>
        <w:spacing w:after="45" w:before="0"/>
      </w:pPr>
      <w:r>
        <w:rPr>
          <w:rFonts w:ascii="Arial" w:cs="Arial" w:eastAsia="Arial" w:hAnsi="Arial"/>
          <w:color w:val="2D3748"/>
          <w:sz w:val="20"/>
          <w:szCs w:val="20"/>
        </w:rPr>
        <w:t xml:space="preserve">Communicate respectfully and professionally across all channels — email, Slack, video calls, and social media at all times.</w:t>
      </w:r>
    </w:p>
    <w:p>
      <w:pPr>
        <w:pStyle w:val="ListParagraph"/>
        <w:numPr>
          <w:ilvl w:val="0"/>
          <w:numId w:val="2"/>
        </w:numPr>
        <w:spacing w:after="45" w:before="0"/>
      </w:pPr>
      <w:r>
        <w:rPr>
          <w:rFonts w:ascii="Arial" w:cs="Arial" w:eastAsia="Arial" w:hAnsi="Arial"/>
          <w:color w:val="2D3748"/>
          <w:sz w:val="20"/>
          <w:szCs w:val="20"/>
        </w:rPr>
        <w:t xml:space="preserve">Discriminatory, offensive, or harassing language — written or verbal — will not be tolerated under any circumstances.</w:t>
      </w:r>
    </w:p>
    <w:p>
      <w:pPr>
        <w:pStyle w:val="ListParagraph"/>
        <w:numPr>
          <w:ilvl w:val="0"/>
          <w:numId w:val="2"/>
        </w:numPr>
        <w:spacing w:after="45" w:before="0"/>
      </w:pPr>
      <w:r>
        <w:rPr>
          <w:rFonts w:ascii="Arial" w:cs="Arial" w:eastAsia="Arial" w:hAnsi="Arial"/>
          <w:color w:val="2D3748"/>
          <w:sz w:val="20"/>
          <w:szCs w:val="20"/>
        </w:rPr>
        <w:t xml:space="preserve">Respond to internal messages within one business day; urgent matters flagged by a manager must be acknowledged within 2 hours.</w:t>
      </w:r>
    </w:p>
    <w:p>
      <w:pPr>
        <w:pStyle w:val="ListParagraph"/>
        <w:numPr>
          <w:ilvl w:val="0"/>
          <w:numId w:val="2"/>
        </w:numPr>
        <w:spacing w:after="45" w:before="0"/>
      </w:pPr>
      <w:r>
        <w:rPr>
          <w:rFonts w:ascii="Arial" w:cs="Arial" w:eastAsia="Arial" w:hAnsi="Arial"/>
          <w:color w:val="2D3748"/>
          <w:sz w:val="20"/>
          <w:szCs w:val="20"/>
        </w:rPr>
        <w:t xml:space="preserve">Treat all client data, employee records, and business strategies as strictly confidential and never share with unauthorised parties.</w:t>
      </w:r>
    </w:p>
    <w:p>
      <w:pPr>
        <w:pStyle w:val="ListParagraph"/>
        <w:numPr>
          <w:ilvl w:val="0"/>
          <w:numId w:val="2"/>
        </w:numPr>
        <w:spacing w:after="45" w:before="0"/>
      </w:pPr>
      <w:r>
        <w:rPr>
          <w:rFonts w:ascii="Arial" w:cs="Arial" w:eastAsia="Arial" w:hAnsi="Arial"/>
          <w:color w:val="2D3748"/>
          <w:sz w:val="20"/>
          <w:szCs w:val="20"/>
        </w:rPr>
        <w:t xml:space="preserve">Conduct all digital work on company-approved platforms with appropriate security measures in place at all times.</w:t>
      </w:r>
    </w:p>
    <w:p>
      <w:pPr>
        <w:spacing w:after="20" w:before="0"/>
      </w:pPr>
      <w:r>
        <w:t xml:space="preserve"/>
      </w:r>
    </w:p>
    <w:p>
      <w:pPr>
        <w:pBdr>
          <w:bottom w:val="single" w:color="E8A020" w:sz="3" w:space="1"/>
        </w:pBdr>
        <w:spacing w:after="50" w:before="120"/>
      </w:pPr>
      <w:r>
        <w:rPr>
          <w:rFonts w:ascii="Arial" w:cs="Arial" w:eastAsia="Arial" w:hAnsi="Arial"/>
          <w:b/>
          <w:bCs/>
          <w:color w:val="0D7377"/>
          <w:sz w:val="22"/>
          <w:szCs w:val="22"/>
        </w:rPr>
        <w:t xml:space="preserve">2.3  Conflict of Interest &amp; Social Media</w:t>
      </w:r>
    </w:p>
    <w:p>
      <w:pPr>
        <w:pStyle w:val="ListParagraph"/>
        <w:numPr>
          <w:ilvl w:val="0"/>
          <w:numId w:val="2"/>
        </w:numPr>
        <w:spacing w:after="45" w:before="0"/>
      </w:pPr>
      <w:r>
        <w:rPr>
          <w:rFonts w:ascii="Arial" w:cs="Arial" w:eastAsia="Arial" w:hAnsi="Arial"/>
          <w:color w:val="2D3748"/>
          <w:sz w:val="20"/>
          <w:szCs w:val="20"/>
        </w:rPr>
        <w:t xml:space="preserve">Disclose any personal, financial, or professional interests that may conflict with your duties to the organisation.</w:t>
      </w:r>
    </w:p>
    <w:p>
      <w:pPr>
        <w:pStyle w:val="ListParagraph"/>
        <w:numPr>
          <w:ilvl w:val="0"/>
          <w:numId w:val="2"/>
        </w:numPr>
        <w:spacing w:after="45" w:before="0"/>
      </w:pPr>
      <w:r>
        <w:rPr>
          <w:rFonts w:ascii="Arial" w:cs="Arial" w:eastAsia="Arial" w:hAnsi="Arial"/>
          <w:color w:val="2D3748"/>
          <w:sz w:val="20"/>
          <w:szCs w:val="20"/>
        </w:rPr>
        <w:t xml:space="preserve">Do not accept gifts, payments, or benefits from clients or vendors without prior written approval from the HR Director.</w:t>
      </w:r>
    </w:p>
    <w:p>
      <w:pPr>
        <w:pStyle w:val="ListParagraph"/>
        <w:numPr>
          <w:ilvl w:val="0"/>
          <w:numId w:val="2"/>
        </w:numPr>
        <w:spacing w:after="45" w:before="0"/>
      </w:pPr>
      <w:r>
        <w:rPr>
          <w:rFonts w:ascii="Arial" w:cs="Arial" w:eastAsia="Arial" w:hAnsi="Arial"/>
          <w:color w:val="2D3748"/>
          <w:sz w:val="20"/>
          <w:szCs w:val="20"/>
        </w:rPr>
        <w:t xml:space="preserve">Clearly distinguish personal opinions shared publicly on social media from the company's official positions.</w:t>
      </w:r>
    </w:p>
    <w:p>
      <w:pPr>
        <w:spacing w:after="20" w:before="0"/>
      </w:pPr>
      <w:r>
        <w:t xml:space="preserve"/>
      </w:r>
    </w:p>
    <w:p>
      <w:pPr>
        <w:pBdr>
          <w:bottom w:val="single" w:color="E8A020" w:sz="3" w:space="1"/>
        </w:pBdr>
        <w:spacing w:after="50" w:before="120"/>
      </w:pPr>
      <w:r>
        <w:rPr>
          <w:rFonts w:ascii="Arial" w:cs="Arial" w:eastAsia="Arial" w:hAnsi="Arial"/>
          <w:b/>
          <w:bCs/>
          <w:color w:val="0D7377"/>
          <w:sz w:val="22"/>
          <w:szCs w:val="22"/>
        </w:rPr>
        <w:t xml:space="preserve">2.4  Anti-Harassment, Inclusion &amp; Disciplinary Action</w:t>
      </w:r>
    </w:p>
    <w:p>
      <w:pPr>
        <w:spacing w:after="50" w:before="0"/>
        <w:jc w:val="both"/>
      </w:pPr>
      <w:r>
        <w:rPr>
          <w:rFonts w:ascii="Arial" w:cs="Arial" w:eastAsia="Arial" w:hAnsi="Arial"/>
          <w:color w:val="2D3748"/>
          <w:sz w:val="20"/>
          <w:szCs w:val="20"/>
        </w:rPr>
        <w:t xml:space="preserve">We are committed to a workplace free from harassment, bullying, and discrimination based on gender, age, ethnicity, religion, disability, sexual orientation, or marital status. All reports are treated with strict confidentiality and investigated promptly. Breaches of this Code may result in:</w:t>
      </w:r>
    </w:p>
    <w:p>
      <w:pPr>
        <w:spacing w:after="15" w:before="0"/>
      </w:pPr>
      <w:r>
        <w:t xml:space="preserve"/>
      </w:r>
    </w:p>
    <w:tbl>
      <w:tblPr>
        <w:tblW w:type="dxa" w:w="10080"/>
        <w:tblBorders>
          <w:top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1D9E6" w:sz="1"/>
              <w:left w:val="single" w:color="D1D9E6" w:sz="1"/>
              <w:bottom w:val="single" w:color="D1D9E6" w:sz="1"/>
              <w:right w:val="single" w:color="D1D9E6" w:sz="1"/>
            </w:tcBorders>
            <w:shd w:fill="EEF4FB" w:val="clear"/>
            <w:tcMar>
              <w:top w:type="dxa" w:w="75"/>
              <w:left w:type="dxa" w:w="100"/>
              <w:bottom w:type="dxa" w:w="75"/>
              <w:right w:type="dxa" w:w="100"/>
            </w:tcMar>
          </w:tcPr>
          <w:p>
            <w:pPr>
              <w:spacing w:after="20" w:before="0"/>
            </w:pPr>
            <w:r>
              <w:rPr>
                <w:rFonts w:ascii="Arial" w:cs="Arial" w:eastAsia="Arial" w:hAnsi="Arial"/>
                <w:b/>
                <w:bCs/>
                <w:color w:val="1B2A4A"/>
                <w:sz w:val="19"/>
                <w:szCs w:val="19"/>
              </w:rPr>
              <w:t xml:space="preserve">Level 1</w:t>
            </w:r>
          </w:p>
          <w:p>
            <w:r>
              <w:rPr>
                <w:rFonts w:ascii="Arial" w:cs="Arial" w:eastAsia="Arial" w:hAnsi="Arial"/>
                <w:color w:val="2D3748"/>
                <w:sz w:val="18"/>
                <w:szCs w:val="18"/>
              </w:rPr>
              <w:t xml:space="preserve">Verbal or written warning</w:t>
            </w:r>
          </w:p>
        </w:tc>
        <w:tc>
          <w:tcPr>
            <w:tcW w:type="dxa" w:w="2520"/>
            <w:tcBorders>
              <w:top w:val="single" w:color="D1D9E6" w:sz="1"/>
              <w:left w:val="single" w:color="D1D9E6" w:sz="1"/>
              <w:bottom w:val="single" w:color="D1D9E6" w:sz="1"/>
              <w:right w:val="single" w:color="D1D9E6" w:sz="1"/>
            </w:tcBorders>
            <w:shd w:fill="EEF4FB" w:val="clear"/>
            <w:tcMar>
              <w:top w:type="dxa" w:w="75"/>
              <w:left w:type="dxa" w:w="100"/>
              <w:bottom w:type="dxa" w:w="75"/>
              <w:right w:type="dxa" w:w="100"/>
            </w:tcMar>
          </w:tcPr>
          <w:p>
            <w:pPr>
              <w:spacing w:after="20" w:before="0"/>
            </w:pPr>
            <w:r>
              <w:rPr>
                <w:rFonts w:ascii="Arial" w:cs="Arial" w:eastAsia="Arial" w:hAnsi="Arial"/>
                <w:b/>
                <w:bCs/>
                <w:color w:val="1B2A4A"/>
                <w:sz w:val="19"/>
                <w:szCs w:val="19"/>
              </w:rPr>
              <w:t xml:space="preserve">Level 2</w:t>
            </w:r>
          </w:p>
          <w:p>
            <w:r>
              <w:rPr>
                <w:rFonts w:ascii="Arial" w:cs="Arial" w:eastAsia="Arial" w:hAnsi="Arial"/>
                <w:color w:val="2D3748"/>
                <w:sz w:val="18"/>
                <w:szCs w:val="18"/>
              </w:rPr>
              <w:t xml:space="preserve">Performance Improvement Plan</w:t>
            </w:r>
          </w:p>
        </w:tc>
        <w:tc>
          <w:tcPr>
            <w:tcW w:type="dxa" w:w="2520"/>
            <w:tcBorders>
              <w:top w:val="single" w:color="D1D9E6" w:sz="1"/>
              <w:left w:val="single" w:color="D1D9E6" w:sz="1"/>
              <w:bottom w:val="single" w:color="D1D9E6" w:sz="1"/>
              <w:right w:val="single" w:color="D1D9E6" w:sz="1"/>
            </w:tcBorders>
            <w:shd w:fill="EEF4FB" w:val="clear"/>
            <w:tcMar>
              <w:top w:type="dxa" w:w="75"/>
              <w:left w:type="dxa" w:w="100"/>
              <w:bottom w:type="dxa" w:w="75"/>
              <w:right w:type="dxa" w:w="100"/>
            </w:tcMar>
          </w:tcPr>
          <w:p>
            <w:pPr>
              <w:spacing w:after="20" w:before="0"/>
            </w:pPr>
            <w:r>
              <w:rPr>
                <w:rFonts w:ascii="Arial" w:cs="Arial" w:eastAsia="Arial" w:hAnsi="Arial"/>
                <w:b/>
                <w:bCs/>
                <w:color w:val="1B2A4A"/>
                <w:sz w:val="19"/>
                <w:szCs w:val="19"/>
              </w:rPr>
              <w:t xml:space="preserve">Level 3</w:t>
            </w:r>
          </w:p>
          <w:p>
            <w:r>
              <w:rPr>
                <w:rFonts w:ascii="Arial" w:cs="Arial" w:eastAsia="Arial" w:hAnsi="Arial"/>
                <w:color w:val="2D3748"/>
                <w:sz w:val="18"/>
                <w:szCs w:val="18"/>
              </w:rPr>
              <w:t xml:space="preserve">Suspension pending investigation</w:t>
            </w:r>
          </w:p>
        </w:tc>
        <w:tc>
          <w:tcPr>
            <w:tcW w:type="dxa" w:w="2520"/>
            <w:tcBorders>
              <w:top w:val="single" w:color="D1D9E6" w:sz="1"/>
              <w:left w:val="single" w:color="D1D9E6" w:sz="1"/>
              <w:bottom w:val="single" w:color="D1D9E6" w:sz="1"/>
              <w:right w:val="single" w:color="D1D9E6" w:sz="1"/>
            </w:tcBorders>
            <w:shd w:fill="EEF4FB" w:val="clear"/>
            <w:tcMar>
              <w:top w:type="dxa" w:w="75"/>
              <w:left w:type="dxa" w:w="100"/>
              <w:bottom w:type="dxa" w:w="75"/>
              <w:right w:type="dxa" w:w="100"/>
            </w:tcMar>
          </w:tcPr>
          <w:p>
            <w:pPr>
              <w:spacing w:after="20" w:before="0"/>
            </w:pPr>
            <w:r>
              <w:rPr>
                <w:rFonts w:ascii="Arial" w:cs="Arial" w:eastAsia="Arial" w:hAnsi="Arial"/>
                <w:b/>
                <w:bCs/>
                <w:color w:val="1B2A4A"/>
                <w:sz w:val="19"/>
                <w:szCs w:val="19"/>
              </w:rPr>
              <w:t xml:space="preserve">Level 4</w:t>
            </w:r>
          </w:p>
          <w:p>
            <w:r>
              <w:rPr>
                <w:rFonts w:ascii="Arial" w:cs="Arial" w:eastAsia="Arial" w:hAnsi="Arial"/>
                <w:color w:val="2D3748"/>
                <w:sz w:val="18"/>
                <w:szCs w:val="18"/>
              </w:rPr>
              <w:t xml:space="preserve">Termination / Legal referral</w:t>
            </w:r>
          </w:p>
        </w:tc>
      </w:tr>
    </w:tbl>
    <w:p>
      <w:pPr>
        <w:spacing w:after="0" w:before="0"/>
      </w:pPr>
      <w:r>
        <w:br w:type="page"/>
      </w:r>
    </w:p>
    <w:p>
      <w:pPr>
        <w:shd w:fill="1B2A4A" w:val="clear"/>
        <w:spacing w:after="100" w:before="180"/>
        <w:ind w:left="100" w:right="100"/>
        <w:jc w:val="left"/>
      </w:pPr>
      <w:r>
        <w:rPr>
          <w:rFonts w:ascii="Arial" w:cs="Arial" w:eastAsia="Arial" w:hAnsi="Arial"/>
          <w:b/>
          <w:bCs/>
          <w:color w:val="FFFFFF"/>
          <w:sz w:val="26"/>
          <w:szCs w:val="26"/>
        </w:rPr>
        <w:t xml:space="preserve">SECTION 3: WORK-FROM-HOME (WFH) GUIDELINES</w:t>
      </w:r>
    </w:p>
    <w:p>
      <w:pPr>
        <w:pBdr>
          <w:bottom w:val="single" w:color="E8A020" w:sz="3" w:space="1"/>
        </w:pBdr>
        <w:spacing w:after="50" w:before="120"/>
      </w:pPr>
      <w:r>
        <w:rPr>
          <w:rFonts w:ascii="Arial" w:cs="Arial" w:eastAsia="Arial" w:hAnsi="Arial"/>
          <w:b/>
          <w:bCs/>
          <w:color w:val="0D7377"/>
          <w:sz w:val="22"/>
          <w:szCs w:val="22"/>
        </w:rPr>
        <w:t xml:space="preserve">3.1  Overview</w:t>
      </w:r>
    </w:p>
    <w:p>
      <w:pPr>
        <w:spacing w:after="50" w:before="0"/>
        <w:jc w:val="both"/>
      </w:pPr>
      <w:r>
        <w:rPr>
          <w:rFonts w:ascii="Arial" w:cs="Arial" w:eastAsia="Arial" w:hAnsi="Arial"/>
          <w:color w:val="2D3748"/>
          <w:sz w:val="20"/>
          <w:szCs w:val="20"/>
        </w:rPr>
        <w:t xml:space="preserve">As a fully remote organisation, working from home is the default and permanent arrangement for all employees. These guidelines ensure that remote work is conducted productively, securely, and in line with our professional standards. Employees must treat their home environment as a professional office at all times.</w:t>
      </w:r>
    </w:p>
    <w:p>
      <w:pPr>
        <w:pBdr>
          <w:bottom w:val="single" w:color="E8A020" w:sz="3" w:space="1"/>
        </w:pBdr>
        <w:spacing w:after="50" w:before="120"/>
      </w:pPr>
      <w:r>
        <w:rPr>
          <w:rFonts w:ascii="Arial" w:cs="Arial" w:eastAsia="Arial" w:hAnsi="Arial"/>
          <w:b/>
          <w:bCs/>
          <w:color w:val="0D7377"/>
          <w:sz w:val="22"/>
          <w:szCs w:val="22"/>
        </w:rPr>
        <w:t xml:space="preserve">3.2  Work Hours, Availability &amp; Workspace</w:t>
      </w:r>
    </w:p>
    <w:p>
      <w:pPr>
        <w:pStyle w:val="ListParagraph"/>
        <w:numPr>
          <w:ilvl w:val="0"/>
          <w:numId w:val="2"/>
        </w:numPr>
        <w:spacing w:after="45" w:before="0"/>
      </w:pPr>
      <w:r>
        <w:rPr>
          <w:rFonts w:ascii="Arial" w:cs="Arial" w:eastAsia="Arial" w:hAnsi="Arial"/>
          <w:color w:val="2D3748"/>
          <w:sz w:val="20"/>
          <w:szCs w:val="20"/>
        </w:rPr>
        <w:t xml:space="preserve">Core working hours: 9:00 AM – 5:00 PM (West Africa Time), Monday to Friday.</w:t>
      </w:r>
    </w:p>
    <w:p>
      <w:pPr>
        <w:pStyle w:val="ListParagraph"/>
        <w:numPr>
          <w:ilvl w:val="0"/>
          <w:numId w:val="2"/>
        </w:numPr>
        <w:spacing w:after="45" w:before="0"/>
      </w:pPr>
      <w:r>
        <w:rPr>
          <w:rFonts w:ascii="Arial" w:cs="Arial" w:eastAsia="Arial" w:hAnsi="Arial"/>
          <w:color w:val="2D3748"/>
          <w:sz w:val="20"/>
          <w:szCs w:val="20"/>
        </w:rPr>
        <w:t xml:space="preserve">Be online and responsive during core hours. Flexible scheduling requires line manager approval; core collaboration window: 10:00 AM – 3:00 PM WAT.</w:t>
      </w:r>
    </w:p>
    <w:p>
      <w:pPr>
        <w:pStyle w:val="ListParagraph"/>
        <w:numPr>
          <w:ilvl w:val="0"/>
          <w:numId w:val="2"/>
        </w:numPr>
        <w:spacing w:after="45" w:before="0"/>
      </w:pPr>
      <w:r>
        <w:rPr>
          <w:rFonts w:ascii="Arial" w:cs="Arial" w:eastAsia="Arial" w:hAnsi="Arial"/>
          <w:color w:val="2D3748"/>
          <w:sz w:val="20"/>
          <w:szCs w:val="20"/>
        </w:rPr>
        <w:t xml:space="preserve">Update your status on the company communication platform at the start and end of each working day.</w:t>
      </w:r>
    </w:p>
    <w:p>
      <w:pPr>
        <w:pStyle w:val="ListParagraph"/>
        <w:numPr>
          <w:ilvl w:val="0"/>
          <w:numId w:val="2"/>
        </w:numPr>
        <w:spacing w:after="45" w:before="0"/>
      </w:pPr>
      <w:r>
        <w:rPr>
          <w:rFonts w:ascii="Arial" w:cs="Arial" w:eastAsia="Arial" w:hAnsi="Arial"/>
          <w:color w:val="2D3748"/>
          <w:sz w:val="20"/>
          <w:szCs w:val="20"/>
        </w:rPr>
        <w:t xml:space="preserve">Maintain a quiet, dedicated workspace with reliable internet (minimum 10 Mbps). Professional background required on video calls.</w:t>
      </w:r>
    </w:p>
    <w:p>
      <w:pPr>
        <w:pStyle w:val="ListParagraph"/>
        <w:numPr>
          <w:ilvl w:val="0"/>
          <w:numId w:val="2"/>
        </w:numPr>
        <w:spacing w:after="45" w:before="0"/>
      </w:pPr>
      <w:r>
        <w:rPr>
          <w:rFonts w:ascii="Arial" w:cs="Arial" w:eastAsia="Arial" w:hAnsi="Arial"/>
          <w:color w:val="2D3748"/>
          <w:sz w:val="20"/>
          <w:szCs w:val="20"/>
        </w:rPr>
        <w:t xml:space="preserve">Business casual attire is the minimum standard during all video meetings with clients, leadership, or partners.</w:t>
      </w:r>
    </w:p>
    <w:p>
      <w:pPr>
        <w:pStyle w:val="ListParagraph"/>
        <w:numPr>
          <w:ilvl w:val="0"/>
          <w:numId w:val="2"/>
        </w:numPr>
        <w:spacing w:after="45" w:before="0"/>
      </w:pPr>
      <w:r>
        <w:rPr>
          <w:rFonts w:ascii="Arial" w:cs="Arial" w:eastAsia="Arial" w:hAnsi="Arial"/>
          <w:color w:val="2D3748"/>
          <w:sz w:val="20"/>
          <w:szCs w:val="20"/>
        </w:rPr>
        <w:t xml:space="preserve">A one-time remote work setup allowance of ₦50,000 is provided upon employment confirmation for home office equipment.</w:t>
      </w:r>
    </w:p>
    <w:p>
      <w:pPr>
        <w:spacing w:after="20" w:before="0"/>
      </w:pPr>
      <w:r>
        <w:t xml:space="preserve"/>
      </w:r>
    </w:p>
    <w:p>
      <w:pPr>
        <w:pBdr>
          <w:bottom w:val="single" w:color="E8A020" w:sz="3" w:space="1"/>
        </w:pBdr>
        <w:spacing w:after="50" w:before="120"/>
      </w:pPr>
      <w:r>
        <w:rPr>
          <w:rFonts w:ascii="Arial" w:cs="Arial" w:eastAsia="Arial" w:hAnsi="Arial"/>
          <w:b/>
          <w:bCs/>
          <w:color w:val="0D7377"/>
          <w:sz w:val="22"/>
          <w:szCs w:val="22"/>
        </w:rPr>
        <w:t xml:space="preserve">3.3  Technology &amp; Cybersecurity</w:t>
      </w:r>
    </w:p>
    <w:p>
      <w:pPr>
        <w:pStyle w:val="ListParagraph"/>
        <w:numPr>
          <w:ilvl w:val="0"/>
          <w:numId w:val="2"/>
        </w:numPr>
        <w:spacing w:after="45" w:before="0"/>
      </w:pPr>
      <w:r>
        <w:rPr>
          <w:rFonts w:ascii="Arial" w:cs="Arial" w:eastAsia="Arial" w:hAnsi="Arial"/>
          <w:color w:val="2D3748"/>
          <w:sz w:val="20"/>
          <w:szCs w:val="20"/>
        </w:rPr>
        <w:t xml:space="preserve">All work must be conducted exclusively on company-approved devices and software platforms.</w:t>
      </w:r>
    </w:p>
    <w:p>
      <w:pPr>
        <w:pStyle w:val="ListParagraph"/>
        <w:numPr>
          <w:ilvl w:val="0"/>
          <w:numId w:val="2"/>
        </w:numPr>
        <w:spacing w:after="45" w:before="0"/>
      </w:pPr>
      <w:r>
        <w:rPr>
          <w:rFonts w:ascii="Arial" w:cs="Arial" w:eastAsia="Arial" w:hAnsi="Arial"/>
          <w:color w:val="2D3748"/>
          <w:sz w:val="20"/>
          <w:szCs w:val="20"/>
        </w:rPr>
        <w:t xml:space="preserve">Use the company VPN whenever accessing internal systems, client data, or confidential files from any location.</w:t>
      </w:r>
    </w:p>
    <w:p>
      <w:pPr>
        <w:pStyle w:val="ListParagraph"/>
        <w:numPr>
          <w:ilvl w:val="0"/>
          <w:numId w:val="2"/>
        </w:numPr>
        <w:spacing w:after="45" w:before="0"/>
      </w:pPr>
      <w:r>
        <w:rPr>
          <w:rFonts w:ascii="Arial" w:cs="Arial" w:eastAsia="Arial" w:hAnsi="Arial"/>
          <w:color w:val="2D3748"/>
          <w:sz w:val="20"/>
          <w:szCs w:val="20"/>
        </w:rPr>
        <w:t xml:space="preserve">Activate screen locks whenever stepping away from the workstation. Do not use public Wi-Fi without VPN protection.</w:t>
      </w:r>
    </w:p>
    <w:p>
      <w:pPr>
        <w:pStyle w:val="ListParagraph"/>
        <w:numPr>
          <w:ilvl w:val="0"/>
          <w:numId w:val="2"/>
        </w:numPr>
        <w:spacing w:after="45" w:before="0"/>
      </w:pPr>
      <w:r>
        <w:rPr>
          <w:rFonts w:ascii="Arial" w:cs="Arial" w:eastAsia="Arial" w:hAnsi="Arial"/>
          <w:color w:val="2D3748"/>
          <w:sz w:val="20"/>
          <w:szCs w:val="20"/>
        </w:rPr>
        <w:t xml:space="preserve">Report any loss, theft, or suspected security breach involving company equipment or data to IT/HR within 2 hours.</w:t>
      </w:r>
    </w:p>
    <w:p>
      <w:pPr>
        <w:spacing w:after="20" w:before="0"/>
      </w:pPr>
      <w:r>
        <w:t xml:space="preserve"/>
      </w:r>
    </w:p>
    <w:p>
      <w:pPr>
        <w:pBdr>
          <w:bottom w:val="single" w:color="E8A020" w:sz="3" w:space="1"/>
        </w:pBdr>
        <w:spacing w:after="50" w:before="120"/>
      </w:pPr>
      <w:r>
        <w:rPr>
          <w:rFonts w:ascii="Arial" w:cs="Arial" w:eastAsia="Arial" w:hAnsi="Arial"/>
          <w:b/>
          <w:bCs/>
          <w:color w:val="0D7377"/>
          <w:sz w:val="22"/>
          <w:szCs w:val="22"/>
        </w:rPr>
        <w:t xml:space="preserve">3.4  Performance, Communication &amp; Wellbeing</w:t>
      </w:r>
    </w:p>
    <w:p>
      <w:pPr>
        <w:pStyle w:val="ListParagraph"/>
        <w:numPr>
          <w:ilvl w:val="0"/>
          <w:numId w:val="2"/>
        </w:numPr>
        <w:spacing w:after="45" w:before="0"/>
      </w:pPr>
      <w:r>
        <w:rPr>
          <w:rFonts w:ascii="Arial" w:cs="Arial" w:eastAsia="Arial" w:hAnsi="Arial"/>
          <w:color w:val="2D3748"/>
          <w:sz w:val="20"/>
          <w:szCs w:val="20"/>
        </w:rPr>
        <w:t xml:space="preserve">Attend all scheduled meetings; communicate absences in advance. Cameras on by default for team and client calls.</w:t>
      </w:r>
    </w:p>
    <w:p>
      <w:pPr>
        <w:pStyle w:val="ListParagraph"/>
        <w:numPr>
          <w:ilvl w:val="0"/>
          <w:numId w:val="2"/>
        </w:numPr>
        <w:spacing w:after="45" w:before="0"/>
      </w:pPr>
      <w:r>
        <w:rPr>
          <w:rFonts w:ascii="Arial" w:cs="Arial" w:eastAsia="Arial" w:hAnsi="Arial"/>
          <w:color w:val="2D3748"/>
          <w:sz w:val="20"/>
          <w:szCs w:val="20"/>
        </w:rPr>
        <w:t xml:space="preserve">Response standards: Slack/Teams — within 2 hours; Emails — within 1 business day.</w:t>
      </w:r>
    </w:p>
    <w:p>
      <w:pPr>
        <w:pStyle w:val="ListParagraph"/>
        <w:numPr>
          <w:ilvl w:val="0"/>
          <w:numId w:val="2"/>
        </w:numPr>
        <w:spacing w:after="45" w:before="0"/>
      </w:pPr>
      <w:r>
        <w:rPr>
          <w:rFonts w:ascii="Arial" w:cs="Arial" w:eastAsia="Arial" w:hAnsi="Arial"/>
          <w:color w:val="2D3748"/>
          <w:sz w:val="20"/>
          <w:szCs w:val="20"/>
        </w:rPr>
        <w:t xml:space="preserve">Performance is evaluated on output and goals achieved, not hours logged. Agree weekly deliverables with your line manager.</w:t>
      </w:r>
    </w:p>
    <w:p>
      <w:pPr>
        <w:pStyle w:val="ListParagraph"/>
        <w:numPr>
          <w:ilvl w:val="0"/>
          <w:numId w:val="2"/>
        </w:numPr>
        <w:spacing w:after="45" w:before="0"/>
      </w:pPr>
      <w:r>
        <w:rPr>
          <w:rFonts w:ascii="Arial" w:cs="Arial" w:eastAsia="Arial" w:hAnsi="Arial"/>
          <w:color w:val="2D3748"/>
          <w:sz w:val="20"/>
          <w:szCs w:val="20"/>
        </w:rPr>
        <w:t xml:space="preserve">Submit a brief end-of-week summary report via the HRMS every Friday by 4:30 PM WAT.</w:t>
      </w:r>
    </w:p>
    <w:p>
      <w:pPr>
        <w:pStyle w:val="ListParagraph"/>
        <w:numPr>
          <w:ilvl w:val="0"/>
          <w:numId w:val="2"/>
        </w:numPr>
        <w:spacing w:after="45" w:before="0"/>
      </w:pPr>
      <w:r>
        <w:rPr>
          <w:rFonts w:ascii="Arial" w:cs="Arial" w:eastAsia="Arial" w:hAnsi="Arial"/>
          <w:color w:val="2D3748"/>
          <w:sz w:val="20"/>
          <w:szCs w:val="20"/>
        </w:rPr>
        <w:t xml:space="preserve">Take regular screen breaks (minimum 10 minutes every 90 minutes). Mental health days may be taken under the sick leave provision.</w:t>
      </w:r>
    </w:p>
    <w:p>
      <w:pPr>
        <w:spacing w:after="30" w:before="0"/>
      </w:pPr>
      <w:r>
        <w:t xml:space="preserve"/>
      </w:r>
    </w:p>
    <w:p>
      <w:pPr>
        <w:pBdr>
          <w:bottom w:val="single" w:color="E2E8F0" w:sz="2" w:space="1"/>
        </w:pBdr>
        <w:spacing w:after="40" w:before="40"/>
      </w:pPr>
    </w:p>
    <w:p>
      <w:pPr>
        <w:spacing w:after="50" w:before="0"/>
        <w:jc w:val="center"/>
      </w:pPr>
      <w:r>
        <w:rPr>
          <w:rFonts w:ascii="Arial" w:cs="Arial" w:eastAsia="Arial" w:hAnsi="Arial"/>
          <w:b/>
          <w:bCs/>
          <w:color w:val="1B2A4A"/>
          <w:sz w:val="22"/>
          <w:szCs w:val="22"/>
        </w:rPr>
        <w:t xml:space="preserve">EMPLOYEE ACKNOWLEDGEMENT</w:t>
      </w:r>
    </w:p>
    <w:p>
      <w:pPr>
        <w:spacing w:after="50" w:before="0"/>
        <w:jc w:val="both"/>
      </w:pPr>
      <w:r>
        <w:rPr>
          <w:rFonts w:ascii="Arial" w:cs="Arial" w:eastAsia="Arial" w:hAnsi="Arial"/>
          <w:color w:val="2D3748"/>
          <w:sz w:val="20"/>
          <w:szCs w:val="20"/>
        </w:rPr>
        <w:t xml:space="preserve">I confirm that I have read, understood, and agree to comply with all policies in this HR Policy Document. I understand that failure to adhere to these policies may result in disciplinary action up to and including termination of employment.</w:t>
      </w:r>
    </w:p>
    <w:p>
      <w:pPr>
        <w:spacing w:after="50" w:before="0"/>
      </w:pPr>
      <w:r>
        <w:t xml:space="preserve"/>
      </w:r>
    </w:p>
    <w:tbl>
      <w:tblPr>
        <w:tblW w:type="dxa" w:w="10080"/>
        <w:tblBorders>
          <w:top w:val="single" w:color="auto" w:sz="4"/>
          <w:bottom w:val="single" w:color="auto" w:sz="4"/>
          <w:right w:val="single" w:color="auto" w:sz="4"/>
          <w:insideH w:val="single" w:color="auto" w:sz="4"/>
          <w:insideV w:val="single" w:color="auto" w:sz="4"/>
        </w:tblBorders>
      </w:tblPr>
      <w:tblGrid>
        <w:gridCol w:w="4900"/>
        <w:gridCol w:w="5180"/>
      </w:tblGrid>
      <w:tr>
        <w:tc>
          <w:tcPr>
            <w:tcW w:type="dxa" w:w="4900"/>
            <w:tcBorders>
              <w:top w:val="none" w:color="FFFFFF" w:sz="0"/>
              <w:left w:val="none" w:color="FFFFFF" w:sz="0"/>
              <w:bottom w:val="none" w:color="FFFFFF" w:sz="0"/>
              <w:right w:val="none" w:color="FFFFFF" w:sz="0"/>
            </w:tcBorders>
            <w:tcMar>
              <w:top w:type="dxa" w:w="50"/>
              <w:left w:type="dxa" w:w="0"/>
              <w:bottom w:type="dxa" w:w="90"/>
              <w:right w:type="dxa" w:w="200"/>
            </w:tcMar>
          </w:tcPr>
          <w:p>
            <w:pPr>
              <w:spacing w:after="25" w:before="0"/>
            </w:pPr>
            <w:r>
              <w:rPr>
                <w:rFonts w:ascii="Arial" w:cs="Arial" w:eastAsia="Arial" w:hAnsi="Arial"/>
                <w:b/>
                <w:bCs/>
                <w:color w:val="1B2A4A"/>
                <w:sz w:val="19"/>
                <w:szCs w:val="19"/>
              </w:rPr>
              <w:t xml:space="preserve">Employee Full Name:</w:t>
            </w:r>
          </w:p>
          <w:p>
            <w:pPr>
              <w:pBdr>
                <w:bottom w:val="single" w:color="999999" w:sz="2"/>
              </w:pBdr>
              <w:spacing w:after="0" w:before="140"/>
            </w:pPr>
          </w:p>
        </w:tc>
        <w:tc>
          <w:tcPr>
            <w:tcW w:type="dxa" w:w="5180"/>
            <w:tcBorders>
              <w:top w:val="none" w:color="FFFFFF" w:sz="0"/>
              <w:left w:val="none" w:color="FFFFFF" w:sz="0"/>
              <w:bottom w:val="none" w:color="FFFFFF" w:sz="0"/>
              <w:right w:val="none" w:color="FFFFFF" w:sz="0"/>
            </w:tcBorders>
            <w:tcMar>
              <w:top w:type="dxa" w:w="50"/>
              <w:left w:type="dxa" w:w="200"/>
              <w:bottom w:type="dxa" w:w="90"/>
              <w:right w:type="dxa" w:w="0"/>
            </w:tcMar>
          </w:tcPr>
          <w:p>
            <w:pPr>
              <w:spacing w:after="25" w:before="0"/>
            </w:pPr>
            <w:r>
              <w:rPr>
                <w:rFonts w:ascii="Arial" w:cs="Arial" w:eastAsia="Arial" w:hAnsi="Arial"/>
                <w:b/>
                <w:bCs/>
                <w:color w:val="1B2A4A"/>
                <w:sz w:val="19"/>
                <w:szCs w:val="19"/>
              </w:rPr>
              <w:t xml:space="preserve">Job Title:</w:t>
            </w:r>
          </w:p>
          <w:p>
            <w:pPr>
              <w:pBdr>
                <w:bottom w:val="single" w:color="999999" w:sz="2"/>
              </w:pBdr>
              <w:spacing w:after="0" w:before="140"/>
            </w:pPr>
          </w:p>
        </w:tc>
      </w:tr>
      <w:tr>
        <w:tc>
          <w:tcPr>
            <w:tcW w:type="dxa" w:w="4900"/>
            <w:tcBorders>
              <w:top w:val="none" w:color="FFFFFF" w:sz="0"/>
              <w:left w:val="none" w:color="FFFFFF" w:sz="0"/>
              <w:bottom w:val="none" w:color="FFFFFF" w:sz="0"/>
              <w:right w:val="none" w:color="FFFFFF" w:sz="0"/>
            </w:tcBorders>
            <w:tcMar>
              <w:top w:type="dxa" w:w="50"/>
              <w:left w:type="dxa" w:w="0"/>
              <w:bottom w:type="dxa" w:w="90"/>
              <w:right w:type="dxa" w:w="200"/>
            </w:tcMar>
          </w:tcPr>
          <w:p>
            <w:pPr>
              <w:spacing w:after="25" w:before="0"/>
            </w:pPr>
            <w:r>
              <w:rPr>
                <w:rFonts w:ascii="Arial" w:cs="Arial" w:eastAsia="Arial" w:hAnsi="Arial"/>
                <w:b/>
                <w:bCs/>
                <w:color w:val="1B2A4A"/>
                <w:sz w:val="19"/>
                <w:szCs w:val="19"/>
              </w:rPr>
              <w:t xml:space="preserve">Signature:</w:t>
            </w:r>
          </w:p>
          <w:p>
            <w:pPr>
              <w:pBdr>
                <w:bottom w:val="single" w:color="999999" w:sz="2"/>
              </w:pBdr>
              <w:spacing w:after="0" w:before="140"/>
            </w:pPr>
          </w:p>
        </w:tc>
        <w:tc>
          <w:tcPr>
            <w:tcW w:type="dxa" w:w="5180"/>
            <w:tcBorders>
              <w:top w:val="none" w:color="FFFFFF" w:sz="0"/>
              <w:left w:val="none" w:color="FFFFFF" w:sz="0"/>
              <w:bottom w:val="none" w:color="FFFFFF" w:sz="0"/>
              <w:right w:val="none" w:color="FFFFFF" w:sz="0"/>
            </w:tcBorders>
            <w:tcMar>
              <w:top w:type="dxa" w:w="50"/>
              <w:left w:type="dxa" w:w="200"/>
              <w:bottom w:type="dxa" w:w="90"/>
              <w:right w:type="dxa" w:w="0"/>
            </w:tcMar>
          </w:tcPr>
          <w:p>
            <w:pPr>
              <w:spacing w:after="25" w:before="0"/>
            </w:pPr>
            <w:r>
              <w:rPr>
                <w:rFonts w:ascii="Arial" w:cs="Arial" w:eastAsia="Arial" w:hAnsi="Arial"/>
                <w:b/>
                <w:bCs/>
                <w:color w:val="1B2A4A"/>
                <w:sz w:val="19"/>
                <w:szCs w:val="19"/>
              </w:rPr>
              <w:t xml:space="preserve">Date:</w:t>
            </w:r>
          </w:p>
          <w:p>
            <w:pPr>
              <w:pBdr>
                <w:bottom w:val="single" w:color="999999" w:sz="2"/>
              </w:pBdr>
              <w:spacing w:after="0" w:before="140"/>
            </w:pPr>
          </w:p>
        </w:tc>
      </w:tr>
    </w:tbl>
    <w:p>
      <w:pPr>
        <w:spacing w:after="30" w:before="0"/>
      </w:pPr>
      <w:r>
        <w:t xml:space="preserve"/>
      </w:r>
    </w:p>
    <w:p>
      <w:pPr>
        <w:jc w:val="center"/>
      </w:pPr>
      <w:r>
        <w:rPr>
          <w:rFonts w:ascii="Arial" w:cs="Arial" w:eastAsia="Arial" w:hAnsi="Arial"/>
          <w:i/>
          <w:iCs/>
          <w:color w:val="6B7280"/>
          <w:sz w:val="17"/>
          <w:szCs w:val="17"/>
        </w:rPr>
        <w:t xml:space="preserve">For HR Department Use Only — Received by: ________________________   Date: ________________   File Ref: ________________</w:t>
      </w:r>
    </w:p>
    <w:sectPr>
      <w:headerReference w:type="default" r:id="rId7"/>
      <w:footerReference w:type="default" r:id="rId8"/>
      <w:pgSz w:w="12240" w:h="15840" w:orient="portrait"/>
      <w:pgMar w:top="860" w:right="1080" w:bottom="8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spacing w:after="0" w:before="40"/>
    </w:pPr>
  </w:p>
  <w:p>
    <w:pPr>
      <w:spacing w:after="0" w:before="30"/>
      <w:jc w:val="center"/>
    </w:pPr>
    <w:r>
      <w:rPr>
        <w:rFonts w:ascii="Arial" w:cs="Arial" w:eastAsia="Arial" w:hAnsi="Arial"/>
        <w:color w:val="6B7280"/>
        <w:sz w:val="17"/>
        <w:szCs w:val="17"/>
      </w:rPr>
      <w:t xml:space="preserve">Confidential  |  Prepared by: Okpabu Raphael, HR Assistant  |  raphaelokpabu@gmail.com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0"/>
      <w:gridCol w:w="3880"/>
    </w:tblGrid>
    <w:tr>
      <w:tc>
        <w:tcPr>
          <w:tcW w:type="dxa" w:w="6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2A4A"/>
              <w:sz w:val="17"/>
              <w:szCs w:val="17"/>
            </w:rPr>
            <w:t xml:space="preserve">HUMAN RESOURCE EXECUTIVE STARTUP</w:t>
          </w:r>
        </w:p>
      </w:tc>
      <w:tc>
        <w:tcPr>
          <w:tcW w:type="dxa" w:w="38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6B7280"/>
              <w:sz w:val="17"/>
              <w:szCs w:val="17"/>
            </w:rPr>
            <w:t xml:space="preserve">HR POLICY DOCUMENT  |  2026</w:t>
          </w:r>
        </w:p>
      </w:tc>
    </w:tr>
  </w:tbl>
  <w:p>
    <w:pPr>
      <w:pBdr>
        <w:bottom w:val="single" w:color="0D7377" w:sz="4" w:space="1"/>
      </w:pBdr>
      <w:spacing w:after="4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2026-05-09T19:39:30.858Z</dcterms:created>
  <dcterms:modified xsi:type="dcterms:W3CDTF">2026-05-09T19:39:30.858Z</dcterms:modified>
</cp:coreProperties>
</file>

<file path=docProps/custom.xml><?xml version="1.0" encoding="utf-8"?>
<Properties xmlns="http://schemas.openxmlformats.org/officeDocument/2006/custom-properties" xmlns:vt="http://schemas.openxmlformats.org/officeDocument/2006/docPropsVTypes"/>
</file>