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26819" w14:textId="08C3DAAF" w:rsidR="00CA7DE9" w:rsidRPr="00CA7DE9" w:rsidRDefault="00494AA7" w:rsidP="00CA7DE9">
      <w:pPr>
        <w:pStyle w:val="Title"/>
      </w:pPr>
      <w:r w:rsidRPr="00CA7DE9">
        <w:t xml:space="preserve">Lab </w:t>
      </w:r>
      <w:r w:rsidR="00C3600F">
        <w:t>2</w:t>
      </w:r>
      <w:r w:rsidRPr="00CA7DE9">
        <w:t xml:space="preserve"> </w:t>
      </w:r>
      <w:r w:rsidR="00C3600F">
        <w:t>Homework</w:t>
      </w:r>
      <w:r w:rsidRPr="00CA7DE9">
        <w:t xml:space="preserve">: </w:t>
      </w:r>
      <w:r w:rsidR="00CA7DE9">
        <w:t>Summarizing Data</w:t>
      </w:r>
    </w:p>
    <w:p w14:paraId="33C976DE" w14:textId="61C7F0EC" w:rsidR="00D1579E" w:rsidRDefault="00494AA7" w:rsidP="00CA7DE9">
      <w:pPr>
        <w:pStyle w:val="Heading1"/>
      </w:pPr>
      <w:r>
        <w:t>Background</w:t>
      </w:r>
    </w:p>
    <w:p w14:paraId="2B22F3E7" w14:textId="1EF24E0F" w:rsidR="00CA7DE9" w:rsidRDefault="00494AA7" w:rsidP="00CA7DE9">
      <w:pPr>
        <w:pStyle w:val="BodyText"/>
      </w:pPr>
      <w:r>
        <w:t xml:space="preserve">Alzheimer’s Disease (AD) is a serious </w:t>
      </w:r>
      <w:r w:rsidR="00580299" w:rsidRPr="00580299">
        <w:t>neurologic disorder</w:t>
      </w:r>
      <w:bookmarkStart w:id="0" w:name="_GoBack"/>
      <w:bookmarkEnd w:id="0"/>
      <w:r>
        <w:t xml:space="preserve"> that affects an estimated 5.3 million Americans; it is the most common cause of dementia among the elderly. Characterized by a progressive cognitive decline, AD has been notoriously difficult to diagnose due to symptom-overlap with other mental disorders; until recently, AD could only be confirmed posthumously. Researchers are investigating identifying biomarkers in interdisciplinary research involving biostatisticians, neuroscientists, geneticists, and clinicians, among</w:t>
      </w:r>
      <w:r w:rsidR="00CA7DE9">
        <w:t xml:space="preserve"> other experts.</w:t>
      </w:r>
    </w:p>
    <w:p w14:paraId="2ED600C2" w14:textId="77777777" w:rsidR="00CA7DE9" w:rsidRDefault="00CA7DE9" w:rsidP="00CA7DE9">
      <w:pPr>
        <w:pStyle w:val="BodyText"/>
      </w:pPr>
    </w:p>
    <w:p w14:paraId="730766BC" w14:textId="53102E88" w:rsidR="004F0411" w:rsidRDefault="00AD3AF4" w:rsidP="00CA7DE9">
      <w:pPr>
        <w:pStyle w:val="BodyText"/>
      </w:pPr>
      <w:r w:rsidRPr="00AD3AF4">
        <w:rPr>
          <w:noProof/>
        </w:rPr>
        <w:drawing>
          <wp:inline distT="0" distB="0" distL="0" distR="0" wp14:anchorId="34902664" wp14:editId="34A85CE6">
            <wp:extent cx="6684252" cy="199813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52068" cy="2018406"/>
                    </a:xfrm>
                    <a:prstGeom prst="rect">
                      <a:avLst/>
                    </a:prstGeom>
                  </pic:spPr>
                </pic:pic>
              </a:graphicData>
            </a:graphic>
          </wp:inline>
        </w:drawing>
      </w:r>
      <w:r w:rsidRPr="00AD3AF4">
        <w:t xml:space="preserve"> </w:t>
      </w:r>
    </w:p>
    <w:p w14:paraId="43BCAC47" w14:textId="288E3802" w:rsidR="00D1579E" w:rsidRDefault="00494AA7" w:rsidP="004F0411">
      <w:pPr>
        <w:pStyle w:val="Heading1"/>
      </w:pPr>
      <w:r>
        <w:t>The Data</w:t>
      </w:r>
    </w:p>
    <w:p w14:paraId="4F653D09" w14:textId="7FBF467E" w:rsidR="004F0411" w:rsidRDefault="00494AA7" w:rsidP="004F0411">
      <w:pPr>
        <w:pStyle w:val="BodyText"/>
      </w:pPr>
      <w:r>
        <w:t xml:space="preserve">The Alzheimer’s Disease Neuroimaging Initiative (ADNI) is a longitudinal study that began in 2005, and is designed to track AD biomarkers, identify at-risk patients, and evaluate the efficacy of novel treatments. The study consists of healthy individiduals (the control group) as well as adults with early Alzheimer’s Disease (AD). More details can be found on the website </w:t>
      </w:r>
      <w:hyperlink r:id="rId11">
        <w:r>
          <w:rPr>
            <w:rStyle w:val="Hyperlink"/>
          </w:rPr>
          <w:t>http://adni.loni.usc.edu/about/</w:t>
        </w:r>
      </w:hyperlink>
      <w:r>
        <w:t xml:space="preserve">. The data set provided is ADNI.csv, which contains information on 276 subjects and 7 variables. The mini mental state exam is a 30 question assessment commonly used to assess cognitive impairment. The Alzheimer’s Disease Assessment Scale is a more comprehensive measure of cognitive impairment. The apolipoprotein E (APOE) gene, on chromosome 19, has variants associated with high risk of AD. In this lab, your goal is to provide summary statistics and visualizations of </w:t>
      </w:r>
      <w:r w:rsidR="004F0411">
        <w:t>the data.</w:t>
      </w:r>
    </w:p>
    <w:p w14:paraId="3F62D61E" w14:textId="68004F13" w:rsidR="00D1579E" w:rsidRDefault="00CA7DE9" w:rsidP="004F0411">
      <w:pPr>
        <w:pStyle w:val="Heading1"/>
      </w:pPr>
      <w:r>
        <w:br w:type="column"/>
      </w:r>
      <w:r w:rsidR="00494AA7">
        <w:lastRenderedPageBreak/>
        <w:t>Practice</w:t>
      </w:r>
    </w:p>
    <w:p w14:paraId="4DBD0547" w14:textId="77777777" w:rsidR="00D1579E" w:rsidRDefault="00494AA7">
      <w:pPr>
        <w:numPr>
          <w:ilvl w:val="0"/>
          <w:numId w:val="3"/>
        </w:numPr>
      </w:pPr>
      <w:r>
        <w:t xml:space="preserve">Import the </w:t>
      </w:r>
      <w:r>
        <w:rPr>
          <w:rStyle w:val="VerbatimChar"/>
        </w:rPr>
        <w:t>ADNI.txt</w:t>
      </w:r>
      <w:r>
        <w:t xml:space="preserve"> data set. How many observations are there?</w:t>
      </w:r>
    </w:p>
    <w:p w14:paraId="2A6C9EAC" w14:textId="6116CAFC" w:rsidR="00CA7DE9" w:rsidRDefault="00494AA7" w:rsidP="00CA7DE9">
      <w:pPr>
        <w:numPr>
          <w:ilvl w:val="0"/>
          <w:numId w:val="3"/>
        </w:numPr>
      </w:pPr>
      <w:r>
        <w:t xml:space="preserve">For each variable in the data set, describe what the variable represents in reality (categorical or </w:t>
      </w:r>
      <w:r w:rsidR="00D9654A">
        <w:t>numerical</w:t>
      </w:r>
      <w:r>
        <w:t>), as well as its variable type in R (using the str command). The first one has been filled in for you.</w:t>
      </w:r>
    </w:p>
    <w:tbl>
      <w:tblPr>
        <w:tblW w:w="5085" w:type="pct"/>
        <w:tblLayout w:type="fixed"/>
        <w:tblLook w:val="07E0" w:firstRow="1" w:lastRow="1" w:firstColumn="1" w:lastColumn="1" w:noHBand="1" w:noVBand="1"/>
      </w:tblPr>
      <w:tblGrid>
        <w:gridCol w:w="1249"/>
        <w:gridCol w:w="1182"/>
        <w:gridCol w:w="1079"/>
        <w:gridCol w:w="1171"/>
        <w:gridCol w:w="1171"/>
        <w:gridCol w:w="1171"/>
        <w:gridCol w:w="1171"/>
        <w:gridCol w:w="1325"/>
      </w:tblGrid>
      <w:tr w:rsidR="00D1579E" w14:paraId="29430300" w14:textId="77777777" w:rsidTr="00805366">
        <w:tc>
          <w:tcPr>
            <w:tcW w:w="656" w:type="pct"/>
            <w:tcBorders>
              <w:bottom w:val="single" w:sz="0" w:space="0" w:color="auto"/>
            </w:tcBorders>
            <w:vAlign w:val="bottom"/>
          </w:tcPr>
          <w:p w14:paraId="43018FBE" w14:textId="77777777" w:rsidR="00D1579E" w:rsidRPr="00CA7DE9" w:rsidRDefault="00494AA7">
            <w:pPr>
              <w:pStyle w:val="Compact"/>
              <w:jc w:val="center"/>
              <w:rPr>
                <w:sz w:val="20"/>
                <w:szCs w:val="20"/>
              </w:rPr>
            </w:pPr>
            <w:r w:rsidRPr="00CA7DE9">
              <w:rPr>
                <w:sz w:val="20"/>
                <w:szCs w:val="20"/>
              </w:rPr>
              <w:t>Description</w:t>
            </w:r>
          </w:p>
        </w:tc>
        <w:tc>
          <w:tcPr>
            <w:tcW w:w="621" w:type="pct"/>
            <w:tcBorders>
              <w:bottom w:val="single" w:sz="0" w:space="0" w:color="auto"/>
            </w:tcBorders>
            <w:vAlign w:val="bottom"/>
          </w:tcPr>
          <w:p w14:paraId="2DF4560C" w14:textId="77777777" w:rsidR="00D1579E" w:rsidRPr="00CA7DE9" w:rsidRDefault="00494AA7">
            <w:pPr>
              <w:pStyle w:val="Compact"/>
              <w:jc w:val="center"/>
              <w:rPr>
                <w:sz w:val="20"/>
                <w:szCs w:val="20"/>
              </w:rPr>
            </w:pPr>
            <w:r w:rsidRPr="00CA7DE9">
              <w:rPr>
                <w:rStyle w:val="VerbatimChar"/>
                <w:sz w:val="20"/>
                <w:szCs w:val="20"/>
              </w:rPr>
              <w:t>DX</w:t>
            </w:r>
          </w:p>
        </w:tc>
        <w:tc>
          <w:tcPr>
            <w:tcW w:w="567" w:type="pct"/>
            <w:tcBorders>
              <w:bottom w:val="single" w:sz="0" w:space="0" w:color="auto"/>
            </w:tcBorders>
            <w:vAlign w:val="bottom"/>
          </w:tcPr>
          <w:p w14:paraId="1195E507" w14:textId="77777777" w:rsidR="00D1579E" w:rsidRPr="00CA7DE9" w:rsidRDefault="00494AA7">
            <w:pPr>
              <w:pStyle w:val="Compact"/>
              <w:jc w:val="center"/>
              <w:rPr>
                <w:sz w:val="20"/>
                <w:szCs w:val="20"/>
              </w:rPr>
            </w:pPr>
            <w:r w:rsidRPr="00CA7DE9">
              <w:rPr>
                <w:rStyle w:val="VerbatimChar"/>
                <w:sz w:val="20"/>
                <w:szCs w:val="20"/>
              </w:rPr>
              <w:t>AGE</w:t>
            </w:r>
          </w:p>
        </w:tc>
        <w:tc>
          <w:tcPr>
            <w:tcW w:w="615" w:type="pct"/>
            <w:tcBorders>
              <w:bottom w:val="single" w:sz="0" w:space="0" w:color="auto"/>
            </w:tcBorders>
            <w:vAlign w:val="bottom"/>
          </w:tcPr>
          <w:p w14:paraId="3E7FE8C7" w14:textId="77777777" w:rsidR="00D1579E" w:rsidRPr="00CA7DE9" w:rsidRDefault="00494AA7">
            <w:pPr>
              <w:pStyle w:val="Compact"/>
              <w:jc w:val="center"/>
              <w:rPr>
                <w:sz w:val="20"/>
                <w:szCs w:val="20"/>
              </w:rPr>
            </w:pPr>
            <w:r w:rsidRPr="00CA7DE9">
              <w:rPr>
                <w:rStyle w:val="VerbatimChar"/>
                <w:sz w:val="20"/>
                <w:szCs w:val="20"/>
              </w:rPr>
              <w:t>APOE4</w:t>
            </w:r>
          </w:p>
        </w:tc>
        <w:tc>
          <w:tcPr>
            <w:tcW w:w="615" w:type="pct"/>
            <w:tcBorders>
              <w:bottom w:val="single" w:sz="0" w:space="0" w:color="auto"/>
            </w:tcBorders>
            <w:vAlign w:val="bottom"/>
          </w:tcPr>
          <w:p w14:paraId="4C11ECB7" w14:textId="77777777" w:rsidR="00D1579E" w:rsidRPr="00CA7DE9" w:rsidRDefault="00494AA7">
            <w:pPr>
              <w:pStyle w:val="Compact"/>
              <w:jc w:val="center"/>
              <w:rPr>
                <w:sz w:val="20"/>
                <w:szCs w:val="20"/>
              </w:rPr>
            </w:pPr>
            <w:r w:rsidRPr="00CA7DE9">
              <w:rPr>
                <w:rStyle w:val="VerbatimChar"/>
                <w:sz w:val="20"/>
                <w:szCs w:val="20"/>
              </w:rPr>
              <w:t>GENDER</w:t>
            </w:r>
          </w:p>
        </w:tc>
        <w:tc>
          <w:tcPr>
            <w:tcW w:w="615" w:type="pct"/>
            <w:tcBorders>
              <w:bottom w:val="single" w:sz="0" w:space="0" w:color="auto"/>
            </w:tcBorders>
            <w:vAlign w:val="bottom"/>
          </w:tcPr>
          <w:p w14:paraId="66B2FAD3" w14:textId="77777777" w:rsidR="00D1579E" w:rsidRPr="00CA7DE9" w:rsidRDefault="00494AA7">
            <w:pPr>
              <w:pStyle w:val="Compact"/>
              <w:jc w:val="center"/>
              <w:rPr>
                <w:sz w:val="20"/>
                <w:szCs w:val="20"/>
              </w:rPr>
            </w:pPr>
            <w:r w:rsidRPr="00CA7DE9">
              <w:rPr>
                <w:rStyle w:val="VerbatimChar"/>
                <w:sz w:val="20"/>
                <w:szCs w:val="20"/>
              </w:rPr>
              <w:t>MMSE</w:t>
            </w:r>
          </w:p>
        </w:tc>
        <w:tc>
          <w:tcPr>
            <w:tcW w:w="615" w:type="pct"/>
            <w:tcBorders>
              <w:bottom w:val="single" w:sz="0" w:space="0" w:color="auto"/>
            </w:tcBorders>
            <w:vAlign w:val="bottom"/>
          </w:tcPr>
          <w:p w14:paraId="7B4D6264" w14:textId="77777777" w:rsidR="00D1579E" w:rsidRPr="00CA7DE9" w:rsidRDefault="00494AA7">
            <w:pPr>
              <w:pStyle w:val="Compact"/>
              <w:jc w:val="center"/>
              <w:rPr>
                <w:sz w:val="20"/>
                <w:szCs w:val="20"/>
              </w:rPr>
            </w:pPr>
            <w:r w:rsidRPr="00CA7DE9">
              <w:rPr>
                <w:rStyle w:val="VerbatimChar"/>
                <w:sz w:val="20"/>
                <w:szCs w:val="20"/>
              </w:rPr>
              <w:t>adas</w:t>
            </w:r>
          </w:p>
        </w:tc>
        <w:tc>
          <w:tcPr>
            <w:tcW w:w="696" w:type="pct"/>
            <w:tcBorders>
              <w:bottom w:val="single" w:sz="0" w:space="0" w:color="auto"/>
            </w:tcBorders>
            <w:vAlign w:val="bottom"/>
          </w:tcPr>
          <w:p w14:paraId="62C48C30" w14:textId="77777777" w:rsidR="00D1579E" w:rsidRPr="00CA7DE9" w:rsidRDefault="00494AA7">
            <w:pPr>
              <w:pStyle w:val="Compact"/>
              <w:jc w:val="center"/>
              <w:rPr>
                <w:sz w:val="20"/>
                <w:szCs w:val="20"/>
              </w:rPr>
            </w:pPr>
            <w:r w:rsidRPr="00CA7DE9">
              <w:rPr>
                <w:rStyle w:val="VerbatimChar"/>
                <w:sz w:val="20"/>
                <w:szCs w:val="20"/>
              </w:rPr>
              <w:t>WholeBrain</w:t>
            </w:r>
          </w:p>
        </w:tc>
      </w:tr>
      <w:tr w:rsidR="00D1579E" w14:paraId="25E2780F" w14:textId="77777777" w:rsidTr="00805366">
        <w:tc>
          <w:tcPr>
            <w:tcW w:w="656" w:type="pct"/>
          </w:tcPr>
          <w:p w14:paraId="0AD6F09E" w14:textId="77777777" w:rsidR="00D1579E" w:rsidRPr="00CA7DE9" w:rsidRDefault="00494AA7">
            <w:pPr>
              <w:pStyle w:val="Compact"/>
              <w:jc w:val="center"/>
              <w:rPr>
                <w:sz w:val="20"/>
                <w:szCs w:val="20"/>
              </w:rPr>
            </w:pPr>
            <w:r w:rsidRPr="00CA7DE9">
              <w:rPr>
                <w:sz w:val="20"/>
                <w:szCs w:val="20"/>
              </w:rPr>
              <w:t>In reality</w:t>
            </w:r>
          </w:p>
        </w:tc>
        <w:tc>
          <w:tcPr>
            <w:tcW w:w="621" w:type="pct"/>
          </w:tcPr>
          <w:p w14:paraId="72D99A2A" w14:textId="77777777" w:rsidR="00D1579E" w:rsidRPr="00CA7DE9" w:rsidRDefault="00494AA7">
            <w:pPr>
              <w:pStyle w:val="Compact"/>
              <w:jc w:val="center"/>
              <w:rPr>
                <w:sz w:val="20"/>
                <w:szCs w:val="20"/>
              </w:rPr>
            </w:pPr>
            <w:r w:rsidRPr="00CA7DE9">
              <w:rPr>
                <w:sz w:val="20"/>
                <w:szCs w:val="20"/>
              </w:rPr>
              <w:t>categorical</w:t>
            </w:r>
          </w:p>
        </w:tc>
        <w:tc>
          <w:tcPr>
            <w:tcW w:w="567" w:type="pct"/>
          </w:tcPr>
          <w:p w14:paraId="20FC2303" w14:textId="77777777" w:rsidR="00D1579E" w:rsidRPr="00CA7DE9" w:rsidRDefault="00D1579E">
            <w:pPr>
              <w:pStyle w:val="Compact"/>
              <w:rPr>
                <w:sz w:val="20"/>
                <w:szCs w:val="20"/>
              </w:rPr>
            </w:pPr>
          </w:p>
        </w:tc>
        <w:tc>
          <w:tcPr>
            <w:tcW w:w="615" w:type="pct"/>
          </w:tcPr>
          <w:p w14:paraId="03D7F758" w14:textId="77777777" w:rsidR="00D1579E" w:rsidRPr="00CA7DE9" w:rsidRDefault="00D1579E">
            <w:pPr>
              <w:pStyle w:val="Compact"/>
              <w:rPr>
                <w:sz w:val="20"/>
                <w:szCs w:val="20"/>
              </w:rPr>
            </w:pPr>
          </w:p>
        </w:tc>
        <w:tc>
          <w:tcPr>
            <w:tcW w:w="615" w:type="pct"/>
          </w:tcPr>
          <w:p w14:paraId="0F38A8DD" w14:textId="77777777" w:rsidR="00D1579E" w:rsidRPr="00CA7DE9" w:rsidRDefault="00D1579E">
            <w:pPr>
              <w:pStyle w:val="Compact"/>
              <w:rPr>
                <w:sz w:val="20"/>
                <w:szCs w:val="20"/>
              </w:rPr>
            </w:pPr>
          </w:p>
        </w:tc>
        <w:tc>
          <w:tcPr>
            <w:tcW w:w="615" w:type="pct"/>
          </w:tcPr>
          <w:p w14:paraId="0BB2DB1D" w14:textId="77777777" w:rsidR="00D1579E" w:rsidRPr="00CA7DE9" w:rsidRDefault="00D1579E">
            <w:pPr>
              <w:pStyle w:val="Compact"/>
              <w:rPr>
                <w:sz w:val="20"/>
                <w:szCs w:val="20"/>
              </w:rPr>
            </w:pPr>
          </w:p>
        </w:tc>
        <w:tc>
          <w:tcPr>
            <w:tcW w:w="615" w:type="pct"/>
          </w:tcPr>
          <w:p w14:paraId="678C9D2F" w14:textId="77777777" w:rsidR="00D1579E" w:rsidRPr="00CA7DE9" w:rsidRDefault="00D1579E">
            <w:pPr>
              <w:pStyle w:val="Compact"/>
              <w:rPr>
                <w:sz w:val="20"/>
                <w:szCs w:val="20"/>
              </w:rPr>
            </w:pPr>
          </w:p>
        </w:tc>
        <w:tc>
          <w:tcPr>
            <w:tcW w:w="696" w:type="pct"/>
          </w:tcPr>
          <w:p w14:paraId="1876F004" w14:textId="77777777" w:rsidR="00D1579E" w:rsidRPr="00CA7DE9" w:rsidRDefault="00D1579E">
            <w:pPr>
              <w:pStyle w:val="Compact"/>
              <w:rPr>
                <w:sz w:val="20"/>
                <w:szCs w:val="20"/>
              </w:rPr>
            </w:pPr>
          </w:p>
        </w:tc>
      </w:tr>
      <w:tr w:rsidR="00D1579E" w14:paraId="1BCDB9FD" w14:textId="77777777" w:rsidTr="00805366">
        <w:tc>
          <w:tcPr>
            <w:tcW w:w="656" w:type="pct"/>
          </w:tcPr>
          <w:p w14:paraId="7C24B089" w14:textId="77777777" w:rsidR="00D1579E" w:rsidRPr="00CA7DE9" w:rsidRDefault="00494AA7">
            <w:pPr>
              <w:pStyle w:val="Compact"/>
              <w:jc w:val="center"/>
              <w:rPr>
                <w:sz w:val="20"/>
                <w:szCs w:val="20"/>
              </w:rPr>
            </w:pPr>
            <w:r w:rsidRPr="00CA7DE9">
              <w:rPr>
                <w:sz w:val="20"/>
                <w:szCs w:val="20"/>
              </w:rPr>
              <w:t>In R</w:t>
            </w:r>
          </w:p>
        </w:tc>
        <w:tc>
          <w:tcPr>
            <w:tcW w:w="621" w:type="pct"/>
          </w:tcPr>
          <w:p w14:paraId="269576DA" w14:textId="2DF7409E" w:rsidR="00D1579E" w:rsidRPr="00CA7DE9" w:rsidRDefault="00805366">
            <w:pPr>
              <w:pStyle w:val="Compact"/>
              <w:jc w:val="center"/>
              <w:rPr>
                <w:sz w:val="20"/>
                <w:szCs w:val="20"/>
              </w:rPr>
            </w:pPr>
            <w:r>
              <w:rPr>
                <w:sz w:val="20"/>
                <w:szCs w:val="20"/>
              </w:rPr>
              <w:t>character</w:t>
            </w:r>
          </w:p>
        </w:tc>
        <w:tc>
          <w:tcPr>
            <w:tcW w:w="567" w:type="pct"/>
          </w:tcPr>
          <w:p w14:paraId="4EFD3F11" w14:textId="77777777" w:rsidR="00D1579E" w:rsidRPr="00CA7DE9" w:rsidRDefault="00D1579E">
            <w:pPr>
              <w:pStyle w:val="Compact"/>
              <w:rPr>
                <w:sz w:val="20"/>
                <w:szCs w:val="20"/>
              </w:rPr>
            </w:pPr>
          </w:p>
        </w:tc>
        <w:tc>
          <w:tcPr>
            <w:tcW w:w="615" w:type="pct"/>
          </w:tcPr>
          <w:p w14:paraId="64696004" w14:textId="77777777" w:rsidR="00D1579E" w:rsidRPr="00CA7DE9" w:rsidRDefault="00D1579E">
            <w:pPr>
              <w:pStyle w:val="Compact"/>
              <w:rPr>
                <w:sz w:val="20"/>
                <w:szCs w:val="20"/>
              </w:rPr>
            </w:pPr>
          </w:p>
        </w:tc>
        <w:tc>
          <w:tcPr>
            <w:tcW w:w="615" w:type="pct"/>
          </w:tcPr>
          <w:p w14:paraId="3995686C" w14:textId="77777777" w:rsidR="00D1579E" w:rsidRPr="00CA7DE9" w:rsidRDefault="00D1579E">
            <w:pPr>
              <w:pStyle w:val="Compact"/>
              <w:rPr>
                <w:sz w:val="20"/>
                <w:szCs w:val="20"/>
              </w:rPr>
            </w:pPr>
          </w:p>
        </w:tc>
        <w:tc>
          <w:tcPr>
            <w:tcW w:w="615" w:type="pct"/>
          </w:tcPr>
          <w:p w14:paraId="33D3D173" w14:textId="77777777" w:rsidR="00D1579E" w:rsidRPr="00CA7DE9" w:rsidRDefault="00D1579E">
            <w:pPr>
              <w:pStyle w:val="Compact"/>
              <w:rPr>
                <w:sz w:val="20"/>
                <w:szCs w:val="20"/>
              </w:rPr>
            </w:pPr>
          </w:p>
        </w:tc>
        <w:tc>
          <w:tcPr>
            <w:tcW w:w="615" w:type="pct"/>
          </w:tcPr>
          <w:p w14:paraId="6016F6ED" w14:textId="77777777" w:rsidR="00D1579E" w:rsidRPr="00CA7DE9" w:rsidRDefault="00D1579E">
            <w:pPr>
              <w:pStyle w:val="Compact"/>
              <w:rPr>
                <w:sz w:val="20"/>
                <w:szCs w:val="20"/>
              </w:rPr>
            </w:pPr>
          </w:p>
        </w:tc>
        <w:tc>
          <w:tcPr>
            <w:tcW w:w="696" w:type="pct"/>
          </w:tcPr>
          <w:p w14:paraId="6C0BCD3E" w14:textId="77777777" w:rsidR="00D1579E" w:rsidRPr="00CA7DE9" w:rsidRDefault="00D1579E">
            <w:pPr>
              <w:pStyle w:val="Compact"/>
              <w:rPr>
                <w:sz w:val="20"/>
                <w:szCs w:val="20"/>
              </w:rPr>
            </w:pPr>
          </w:p>
        </w:tc>
      </w:tr>
    </w:tbl>
    <w:p w14:paraId="5E395E7F" w14:textId="77777777" w:rsidR="00CA7DE9" w:rsidRDefault="00CA7DE9" w:rsidP="00CA7DE9">
      <w:pPr>
        <w:ind w:left="480"/>
      </w:pPr>
    </w:p>
    <w:p w14:paraId="3E64D921" w14:textId="5E0418D4" w:rsidR="00D1579E" w:rsidRDefault="00494AA7">
      <w:pPr>
        <w:numPr>
          <w:ilvl w:val="0"/>
          <w:numId w:val="4"/>
        </w:numPr>
      </w:pPr>
      <w:r>
        <w:t>Notice the discrepancy with the APOE4 variable between what it represents in reality and its R variable type. Recode this variable to a factor. Which APOE4 genetic variant is the least common?</w:t>
      </w:r>
    </w:p>
    <w:p w14:paraId="3DEAA5FF" w14:textId="77777777" w:rsidR="00D1579E" w:rsidRDefault="00494AA7">
      <w:pPr>
        <w:numPr>
          <w:ilvl w:val="0"/>
          <w:numId w:val="4"/>
        </w:numPr>
      </w:pPr>
      <w:r>
        <w:t>Which graph is appropriate to visualize the distribution of AGE? Produce this graph and describe the distribution.</w:t>
      </w:r>
    </w:p>
    <w:p w14:paraId="6DEF0DC3" w14:textId="77777777" w:rsidR="00D1579E" w:rsidRDefault="00494AA7">
      <w:pPr>
        <w:pStyle w:val="Compact"/>
        <w:numPr>
          <w:ilvl w:val="0"/>
          <w:numId w:val="4"/>
        </w:numPr>
      </w:pPr>
      <w:r>
        <w:t>Let’s examine the relationship between Alzheimer’s diagnosis (DX) and the two cognitive impairment tests (MMSE and adas).</w:t>
      </w:r>
    </w:p>
    <w:p w14:paraId="06EFE1C9" w14:textId="77777777" w:rsidR="00D1579E" w:rsidRDefault="00494AA7">
      <w:pPr>
        <w:pStyle w:val="Compact"/>
        <w:numPr>
          <w:ilvl w:val="1"/>
          <w:numId w:val="5"/>
        </w:numPr>
      </w:pPr>
      <w:r>
        <w:t>Which graph is appropriate to visualize the relationship between Alzheimer’s diagnosis (DX) and the cognitive impairment test MMSE? What about DX and adas?</w:t>
      </w:r>
    </w:p>
    <w:p w14:paraId="3BB59DE2" w14:textId="77777777" w:rsidR="00D1579E" w:rsidRDefault="00494AA7">
      <w:pPr>
        <w:pStyle w:val="Compact"/>
        <w:numPr>
          <w:ilvl w:val="1"/>
          <w:numId w:val="5"/>
        </w:numPr>
      </w:pPr>
      <w:r>
        <w:t>Produce these graphs and describe the relationship between diagnosis and each cognitive test.</w:t>
      </w:r>
    </w:p>
    <w:p w14:paraId="4176B3FA" w14:textId="1EAAE790" w:rsidR="00D1579E" w:rsidRDefault="00494AA7">
      <w:pPr>
        <w:pStyle w:val="Compact"/>
        <w:numPr>
          <w:ilvl w:val="1"/>
          <w:numId w:val="5"/>
        </w:numPr>
      </w:pPr>
      <w:r>
        <w:t>Which cognitive test identifies potential outliers?</w:t>
      </w:r>
    </w:p>
    <w:p w14:paraId="1D82545C" w14:textId="2BEB071E" w:rsidR="00CA7DE9" w:rsidRDefault="00CA7DE9" w:rsidP="00CA7DE9">
      <w:pPr>
        <w:pStyle w:val="Compact"/>
      </w:pPr>
    </w:p>
    <w:p w14:paraId="727CDE7D" w14:textId="77777777" w:rsidR="00CA7DE9" w:rsidRDefault="00CA7DE9" w:rsidP="00CA7DE9">
      <w:pPr>
        <w:pStyle w:val="Compact"/>
      </w:pPr>
    </w:p>
    <w:p w14:paraId="01E3659A" w14:textId="77777777" w:rsidR="00D1579E" w:rsidRDefault="00494AA7">
      <w:pPr>
        <w:pStyle w:val="Compact"/>
        <w:numPr>
          <w:ilvl w:val="0"/>
          <w:numId w:val="4"/>
        </w:numPr>
      </w:pPr>
      <w:r>
        <w:t>Identify descriptive statistics for the overall characteristics of the study participants, and for each diagnosis group.</w:t>
      </w:r>
    </w:p>
    <w:p w14:paraId="0BBD6804" w14:textId="3F557D5F" w:rsidR="00D1579E" w:rsidRDefault="00494AA7">
      <w:pPr>
        <w:pStyle w:val="Compact"/>
        <w:numPr>
          <w:ilvl w:val="1"/>
          <w:numId w:val="6"/>
        </w:numPr>
      </w:pPr>
      <w:r>
        <w:t>The WholeBrain volume measured in mm3 is on a large scale. Convert this measurement to a smaller scale. Create a new variable that represents the whole brain volume in mm3 divided by 100,000</w:t>
      </w:r>
      <w:r w:rsidR="00AD3AF4">
        <w:t>.</w:t>
      </w:r>
    </w:p>
    <w:p w14:paraId="7C4C153A" w14:textId="106209FB" w:rsidR="00D1579E" w:rsidRDefault="00494AA7">
      <w:pPr>
        <w:pStyle w:val="Compact"/>
        <w:numPr>
          <w:ilvl w:val="1"/>
          <w:numId w:val="6"/>
        </w:numPr>
      </w:pPr>
      <w:r>
        <w:t xml:space="preserve">Fill in the following table with descriptive statistics for the overall characteristics of the study participants, and for each diagnosis group. </w:t>
      </w:r>
      <w:r w:rsidR="00D9654A">
        <w:t xml:space="preserve">Numerical </w:t>
      </w:r>
      <w:r>
        <w:t>variables should be summarized as mean +/- standard deviation, and categorical variables have been summarized as n (%). The n represents the count, and the percent represents the percent of that column with the attribute of interest. Some cells have been filled in for you to help you get started. Round all summary statistics to one decimal. (Hint: all percents should use the column sample size as the denominator.)</w:t>
      </w:r>
    </w:p>
    <w:p w14:paraId="1B5AD359" w14:textId="77777777" w:rsidR="00CA7DE9" w:rsidRDefault="00CA7DE9" w:rsidP="00CA7DE9">
      <w:pPr>
        <w:pStyle w:val="Compact"/>
        <w:ind w:left="1200"/>
      </w:pPr>
    </w:p>
    <w:p w14:paraId="165C922B" w14:textId="7860474C" w:rsidR="00B5190A" w:rsidRDefault="00B5190A" w:rsidP="00B5190A">
      <w:pPr>
        <w:pStyle w:val="Comp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356"/>
        <w:gridCol w:w="1776"/>
        <w:gridCol w:w="1838"/>
        <w:gridCol w:w="1825"/>
      </w:tblGrid>
      <w:tr w:rsidR="00B5190A" w14:paraId="44341CFA" w14:textId="77777777" w:rsidTr="00AD3AF4">
        <w:tc>
          <w:tcPr>
            <w:tcW w:w="2718" w:type="dxa"/>
            <w:tcBorders>
              <w:top w:val="single" w:sz="4" w:space="0" w:color="auto"/>
            </w:tcBorders>
          </w:tcPr>
          <w:p w14:paraId="05D2B2F2" w14:textId="77777777" w:rsidR="00B5190A" w:rsidRPr="00B5190A" w:rsidRDefault="00B5190A" w:rsidP="00B5190A">
            <w:pPr>
              <w:pStyle w:val="Compact"/>
              <w:jc w:val="center"/>
              <w:rPr>
                <w:sz w:val="22"/>
                <w:szCs w:val="22"/>
              </w:rPr>
            </w:pPr>
          </w:p>
        </w:tc>
        <w:tc>
          <w:tcPr>
            <w:tcW w:w="1112" w:type="dxa"/>
            <w:tcBorders>
              <w:top w:val="single" w:sz="4" w:space="0" w:color="auto"/>
            </w:tcBorders>
          </w:tcPr>
          <w:p w14:paraId="7F27A907" w14:textId="29AE85B5" w:rsidR="00B5190A" w:rsidRPr="00B5190A" w:rsidRDefault="00B5190A" w:rsidP="00B5190A">
            <w:pPr>
              <w:pStyle w:val="Compact"/>
              <w:jc w:val="center"/>
              <w:rPr>
                <w:sz w:val="22"/>
                <w:szCs w:val="22"/>
              </w:rPr>
            </w:pPr>
            <w:r w:rsidRPr="00B5190A">
              <w:rPr>
                <w:sz w:val="22"/>
                <w:szCs w:val="22"/>
              </w:rPr>
              <w:t>Overall</w:t>
            </w:r>
          </w:p>
        </w:tc>
        <w:tc>
          <w:tcPr>
            <w:tcW w:w="1915" w:type="dxa"/>
            <w:tcBorders>
              <w:top w:val="single" w:sz="4" w:space="0" w:color="auto"/>
            </w:tcBorders>
          </w:tcPr>
          <w:p w14:paraId="2F8C7DCF" w14:textId="77777777" w:rsidR="00B5190A" w:rsidRPr="00B5190A" w:rsidRDefault="00B5190A" w:rsidP="00B5190A">
            <w:pPr>
              <w:pStyle w:val="Compact"/>
              <w:jc w:val="center"/>
              <w:rPr>
                <w:sz w:val="22"/>
                <w:szCs w:val="22"/>
              </w:rPr>
            </w:pPr>
          </w:p>
        </w:tc>
        <w:tc>
          <w:tcPr>
            <w:tcW w:w="1915" w:type="dxa"/>
            <w:tcBorders>
              <w:top w:val="single" w:sz="4" w:space="0" w:color="auto"/>
            </w:tcBorders>
          </w:tcPr>
          <w:p w14:paraId="3BC3493D" w14:textId="31FAC39E" w:rsidR="00B5190A" w:rsidRPr="00B5190A" w:rsidRDefault="00B5190A" w:rsidP="00B5190A">
            <w:pPr>
              <w:pStyle w:val="Compact"/>
              <w:jc w:val="center"/>
              <w:rPr>
                <w:sz w:val="22"/>
                <w:szCs w:val="22"/>
              </w:rPr>
            </w:pPr>
            <w:r w:rsidRPr="00B5190A">
              <w:rPr>
                <w:sz w:val="22"/>
                <w:szCs w:val="22"/>
              </w:rPr>
              <w:t>Diagnosis Group</w:t>
            </w:r>
          </w:p>
        </w:tc>
        <w:tc>
          <w:tcPr>
            <w:tcW w:w="1916" w:type="dxa"/>
            <w:tcBorders>
              <w:top w:val="single" w:sz="4" w:space="0" w:color="auto"/>
            </w:tcBorders>
          </w:tcPr>
          <w:p w14:paraId="4DDD773C" w14:textId="77777777" w:rsidR="00B5190A" w:rsidRPr="00B5190A" w:rsidRDefault="00B5190A" w:rsidP="00B5190A">
            <w:pPr>
              <w:pStyle w:val="Compact"/>
              <w:jc w:val="center"/>
              <w:rPr>
                <w:sz w:val="22"/>
                <w:szCs w:val="22"/>
              </w:rPr>
            </w:pPr>
          </w:p>
        </w:tc>
      </w:tr>
      <w:tr w:rsidR="00B5190A" w14:paraId="0FEBDF7B" w14:textId="77777777" w:rsidTr="00AD3AF4">
        <w:tc>
          <w:tcPr>
            <w:tcW w:w="2718" w:type="dxa"/>
          </w:tcPr>
          <w:p w14:paraId="1E48770B" w14:textId="77777777" w:rsidR="00B5190A" w:rsidRPr="00B5190A" w:rsidRDefault="00B5190A" w:rsidP="00B5190A">
            <w:pPr>
              <w:pStyle w:val="Compact"/>
              <w:jc w:val="center"/>
              <w:rPr>
                <w:sz w:val="22"/>
                <w:szCs w:val="22"/>
              </w:rPr>
            </w:pPr>
          </w:p>
        </w:tc>
        <w:tc>
          <w:tcPr>
            <w:tcW w:w="1112" w:type="dxa"/>
          </w:tcPr>
          <w:p w14:paraId="5D0B9AC4" w14:textId="77777777" w:rsidR="00B5190A" w:rsidRPr="00B5190A" w:rsidRDefault="00B5190A" w:rsidP="00B5190A">
            <w:pPr>
              <w:pStyle w:val="Compact"/>
              <w:jc w:val="center"/>
              <w:rPr>
                <w:sz w:val="22"/>
                <w:szCs w:val="22"/>
              </w:rPr>
            </w:pPr>
          </w:p>
        </w:tc>
        <w:tc>
          <w:tcPr>
            <w:tcW w:w="1915" w:type="dxa"/>
          </w:tcPr>
          <w:p w14:paraId="213D2CC5" w14:textId="3C48697C" w:rsidR="00B5190A" w:rsidRPr="00B5190A" w:rsidRDefault="00B5190A" w:rsidP="00B5190A">
            <w:pPr>
              <w:pStyle w:val="Compact"/>
              <w:jc w:val="center"/>
              <w:rPr>
                <w:sz w:val="22"/>
                <w:szCs w:val="22"/>
              </w:rPr>
            </w:pPr>
            <w:r w:rsidRPr="00B5190A">
              <w:rPr>
                <w:sz w:val="22"/>
                <w:szCs w:val="22"/>
              </w:rPr>
              <w:t>AD</w:t>
            </w:r>
          </w:p>
        </w:tc>
        <w:tc>
          <w:tcPr>
            <w:tcW w:w="1915" w:type="dxa"/>
          </w:tcPr>
          <w:p w14:paraId="42EB33B2" w14:textId="7A883A21" w:rsidR="00B5190A" w:rsidRPr="00B5190A" w:rsidRDefault="00B5190A" w:rsidP="00B5190A">
            <w:pPr>
              <w:pStyle w:val="Compact"/>
              <w:jc w:val="center"/>
              <w:rPr>
                <w:sz w:val="22"/>
                <w:szCs w:val="22"/>
              </w:rPr>
            </w:pPr>
            <w:r w:rsidRPr="00B5190A">
              <w:rPr>
                <w:sz w:val="22"/>
                <w:szCs w:val="22"/>
              </w:rPr>
              <w:t>MCI</w:t>
            </w:r>
          </w:p>
        </w:tc>
        <w:tc>
          <w:tcPr>
            <w:tcW w:w="1916" w:type="dxa"/>
          </w:tcPr>
          <w:p w14:paraId="542AFAFF" w14:textId="698DB239" w:rsidR="00B5190A" w:rsidRPr="00B5190A" w:rsidRDefault="00B5190A" w:rsidP="00B5190A">
            <w:pPr>
              <w:pStyle w:val="Compact"/>
              <w:jc w:val="center"/>
              <w:rPr>
                <w:sz w:val="22"/>
                <w:szCs w:val="22"/>
              </w:rPr>
            </w:pPr>
            <w:r w:rsidRPr="00B5190A">
              <w:rPr>
                <w:sz w:val="22"/>
                <w:szCs w:val="22"/>
              </w:rPr>
              <w:t>Normal</w:t>
            </w:r>
          </w:p>
        </w:tc>
      </w:tr>
      <w:tr w:rsidR="00B5190A" w14:paraId="08034023" w14:textId="77777777" w:rsidTr="00AD3AF4">
        <w:tc>
          <w:tcPr>
            <w:tcW w:w="2718" w:type="dxa"/>
            <w:tcBorders>
              <w:bottom w:val="single" w:sz="4" w:space="0" w:color="auto"/>
            </w:tcBorders>
          </w:tcPr>
          <w:p w14:paraId="66E9392A" w14:textId="77777777" w:rsidR="00B5190A" w:rsidRPr="00B5190A" w:rsidRDefault="00B5190A" w:rsidP="00B5190A">
            <w:pPr>
              <w:pStyle w:val="Compact"/>
              <w:jc w:val="center"/>
              <w:rPr>
                <w:sz w:val="22"/>
                <w:szCs w:val="22"/>
              </w:rPr>
            </w:pPr>
          </w:p>
        </w:tc>
        <w:tc>
          <w:tcPr>
            <w:tcW w:w="1112" w:type="dxa"/>
            <w:tcBorders>
              <w:bottom w:val="single" w:sz="4" w:space="0" w:color="auto"/>
            </w:tcBorders>
          </w:tcPr>
          <w:p w14:paraId="1C42E50A" w14:textId="3B4FFA7C" w:rsidR="00B5190A" w:rsidRPr="00B5190A" w:rsidRDefault="00B5190A" w:rsidP="00B5190A">
            <w:pPr>
              <w:pStyle w:val="Compact"/>
              <w:jc w:val="center"/>
              <w:rPr>
                <w:sz w:val="22"/>
                <w:szCs w:val="22"/>
              </w:rPr>
            </w:pPr>
            <w:r w:rsidRPr="00AD3AF4">
              <w:rPr>
                <w:i/>
                <w:iCs/>
                <w:sz w:val="22"/>
                <w:szCs w:val="22"/>
              </w:rPr>
              <w:t xml:space="preserve">n </w:t>
            </w:r>
            <w:r w:rsidRPr="00B5190A">
              <w:rPr>
                <w:sz w:val="22"/>
                <w:szCs w:val="22"/>
              </w:rPr>
              <w:t>= 276</w:t>
            </w:r>
          </w:p>
        </w:tc>
        <w:tc>
          <w:tcPr>
            <w:tcW w:w="1915" w:type="dxa"/>
            <w:tcBorders>
              <w:bottom w:val="single" w:sz="4" w:space="0" w:color="auto"/>
            </w:tcBorders>
          </w:tcPr>
          <w:p w14:paraId="4D596FDF" w14:textId="794A8C5C" w:rsidR="00B5190A" w:rsidRPr="00B5190A" w:rsidRDefault="00B5190A" w:rsidP="00B5190A">
            <w:pPr>
              <w:pStyle w:val="Compact"/>
              <w:jc w:val="center"/>
              <w:rPr>
                <w:sz w:val="22"/>
                <w:szCs w:val="22"/>
              </w:rPr>
            </w:pPr>
            <w:r w:rsidRPr="00AD3AF4">
              <w:rPr>
                <w:i/>
                <w:iCs/>
                <w:sz w:val="22"/>
                <w:szCs w:val="22"/>
              </w:rPr>
              <w:t>n</w:t>
            </w:r>
            <w:r w:rsidRPr="00B5190A">
              <w:rPr>
                <w:sz w:val="22"/>
                <w:szCs w:val="22"/>
              </w:rPr>
              <w:t xml:space="preserve"> =</w:t>
            </w:r>
          </w:p>
        </w:tc>
        <w:tc>
          <w:tcPr>
            <w:tcW w:w="1915" w:type="dxa"/>
            <w:tcBorders>
              <w:bottom w:val="single" w:sz="4" w:space="0" w:color="auto"/>
            </w:tcBorders>
          </w:tcPr>
          <w:p w14:paraId="7B25A389" w14:textId="310AB947" w:rsidR="00B5190A" w:rsidRPr="00B5190A" w:rsidRDefault="00B5190A" w:rsidP="00B5190A">
            <w:pPr>
              <w:pStyle w:val="Compact"/>
              <w:jc w:val="center"/>
              <w:rPr>
                <w:sz w:val="22"/>
                <w:szCs w:val="22"/>
              </w:rPr>
            </w:pPr>
            <w:r w:rsidRPr="00AD3AF4">
              <w:rPr>
                <w:i/>
                <w:iCs/>
                <w:sz w:val="22"/>
                <w:szCs w:val="22"/>
              </w:rPr>
              <w:t>n</w:t>
            </w:r>
            <w:r w:rsidRPr="00B5190A">
              <w:rPr>
                <w:sz w:val="22"/>
                <w:szCs w:val="22"/>
              </w:rPr>
              <w:t xml:space="preserve"> =</w:t>
            </w:r>
          </w:p>
        </w:tc>
        <w:tc>
          <w:tcPr>
            <w:tcW w:w="1916" w:type="dxa"/>
            <w:tcBorders>
              <w:bottom w:val="single" w:sz="4" w:space="0" w:color="auto"/>
            </w:tcBorders>
          </w:tcPr>
          <w:p w14:paraId="6DFFC3B1" w14:textId="7F185CD5" w:rsidR="00B5190A" w:rsidRPr="00B5190A" w:rsidRDefault="00B5190A" w:rsidP="00B5190A">
            <w:pPr>
              <w:pStyle w:val="Compact"/>
              <w:jc w:val="center"/>
              <w:rPr>
                <w:sz w:val="22"/>
                <w:szCs w:val="22"/>
              </w:rPr>
            </w:pPr>
            <w:r w:rsidRPr="00AD3AF4">
              <w:rPr>
                <w:i/>
                <w:iCs/>
                <w:sz w:val="22"/>
                <w:szCs w:val="22"/>
              </w:rPr>
              <w:t>n</w:t>
            </w:r>
            <w:r w:rsidRPr="00B5190A">
              <w:rPr>
                <w:sz w:val="22"/>
                <w:szCs w:val="22"/>
              </w:rPr>
              <w:t xml:space="preserve"> =</w:t>
            </w:r>
            <w:r>
              <w:rPr>
                <w:sz w:val="22"/>
                <w:szCs w:val="22"/>
              </w:rPr>
              <w:t xml:space="preserve"> 94</w:t>
            </w:r>
          </w:p>
        </w:tc>
      </w:tr>
      <w:tr w:rsidR="00B5190A" w14:paraId="675DA0AE" w14:textId="77777777" w:rsidTr="00AD3AF4">
        <w:tc>
          <w:tcPr>
            <w:tcW w:w="2718" w:type="dxa"/>
            <w:tcBorders>
              <w:top w:val="single" w:sz="4" w:space="0" w:color="auto"/>
            </w:tcBorders>
          </w:tcPr>
          <w:p w14:paraId="7FC0224D" w14:textId="7B570391" w:rsidR="00B5190A" w:rsidRPr="00B5190A" w:rsidRDefault="00B5190A" w:rsidP="00AD3AF4">
            <w:pPr>
              <w:pStyle w:val="Compact"/>
              <w:spacing w:line="360" w:lineRule="auto"/>
              <w:rPr>
                <w:sz w:val="22"/>
                <w:szCs w:val="22"/>
              </w:rPr>
            </w:pPr>
            <w:r w:rsidRPr="00B5190A">
              <w:rPr>
                <w:sz w:val="22"/>
                <w:szCs w:val="22"/>
              </w:rPr>
              <w:t>Age</w:t>
            </w:r>
          </w:p>
        </w:tc>
        <w:tc>
          <w:tcPr>
            <w:tcW w:w="1112" w:type="dxa"/>
            <w:tcBorders>
              <w:top w:val="single" w:sz="4" w:space="0" w:color="auto"/>
            </w:tcBorders>
          </w:tcPr>
          <w:p w14:paraId="08F0EEE5" w14:textId="03EBCD9F" w:rsidR="00B5190A" w:rsidRPr="00B5190A" w:rsidRDefault="00B5190A" w:rsidP="00B5190A">
            <w:pPr>
              <w:pStyle w:val="Compact"/>
              <w:jc w:val="center"/>
              <w:rPr>
                <w:sz w:val="22"/>
                <w:szCs w:val="22"/>
              </w:rPr>
            </w:pPr>
          </w:p>
        </w:tc>
        <w:tc>
          <w:tcPr>
            <w:tcW w:w="1915" w:type="dxa"/>
            <w:tcBorders>
              <w:top w:val="single" w:sz="4" w:space="0" w:color="auto"/>
            </w:tcBorders>
          </w:tcPr>
          <w:p w14:paraId="1E0971AE" w14:textId="77777777" w:rsidR="00B5190A" w:rsidRPr="00B5190A" w:rsidRDefault="00B5190A" w:rsidP="00B5190A">
            <w:pPr>
              <w:pStyle w:val="Compact"/>
              <w:jc w:val="center"/>
              <w:rPr>
                <w:sz w:val="22"/>
                <w:szCs w:val="22"/>
              </w:rPr>
            </w:pPr>
          </w:p>
        </w:tc>
        <w:tc>
          <w:tcPr>
            <w:tcW w:w="1915" w:type="dxa"/>
            <w:tcBorders>
              <w:top w:val="single" w:sz="4" w:space="0" w:color="auto"/>
            </w:tcBorders>
          </w:tcPr>
          <w:p w14:paraId="6B5AD34F" w14:textId="4DA52EAD" w:rsidR="00B5190A" w:rsidRPr="00B5190A" w:rsidRDefault="00AD3AF4" w:rsidP="00B5190A">
            <w:pPr>
              <w:pStyle w:val="Compact"/>
              <w:jc w:val="center"/>
              <w:rPr>
                <w:sz w:val="22"/>
                <w:szCs w:val="22"/>
              </w:rPr>
            </w:pPr>
            <w:r>
              <w:rPr>
                <w:sz w:val="22"/>
                <w:szCs w:val="22"/>
              </w:rPr>
              <w:t>72.9 +/- 7.3</w:t>
            </w:r>
          </w:p>
        </w:tc>
        <w:tc>
          <w:tcPr>
            <w:tcW w:w="1916" w:type="dxa"/>
            <w:tcBorders>
              <w:top w:val="single" w:sz="4" w:space="0" w:color="auto"/>
            </w:tcBorders>
          </w:tcPr>
          <w:p w14:paraId="16697942" w14:textId="77777777" w:rsidR="00B5190A" w:rsidRPr="00B5190A" w:rsidRDefault="00B5190A" w:rsidP="00B5190A">
            <w:pPr>
              <w:pStyle w:val="Compact"/>
              <w:jc w:val="center"/>
              <w:rPr>
                <w:sz w:val="22"/>
                <w:szCs w:val="22"/>
              </w:rPr>
            </w:pPr>
          </w:p>
        </w:tc>
      </w:tr>
      <w:tr w:rsidR="00B5190A" w14:paraId="5AC77D0F" w14:textId="77777777" w:rsidTr="00B5190A">
        <w:tc>
          <w:tcPr>
            <w:tcW w:w="2718" w:type="dxa"/>
          </w:tcPr>
          <w:p w14:paraId="0DEA2CE6" w14:textId="3D2B5E07" w:rsidR="00B5190A" w:rsidRPr="00B5190A" w:rsidRDefault="00B5190A" w:rsidP="00AD3AF4">
            <w:pPr>
              <w:pStyle w:val="Compact"/>
              <w:spacing w:line="360" w:lineRule="auto"/>
              <w:rPr>
                <w:sz w:val="22"/>
                <w:szCs w:val="22"/>
              </w:rPr>
            </w:pPr>
            <w:r w:rsidRPr="00B5190A">
              <w:rPr>
                <w:sz w:val="22"/>
                <w:szCs w:val="22"/>
              </w:rPr>
              <w:t>Gender (male)</w:t>
            </w:r>
          </w:p>
        </w:tc>
        <w:tc>
          <w:tcPr>
            <w:tcW w:w="1112" w:type="dxa"/>
          </w:tcPr>
          <w:p w14:paraId="6BC9266E" w14:textId="34CAB9C3" w:rsidR="00B5190A" w:rsidRPr="00B5190A" w:rsidRDefault="00B5190A" w:rsidP="00B5190A">
            <w:pPr>
              <w:pStyle w:val="Compact"/>
              <w:jc w:val="center"/>
              <w:rPr>
                <w:sz w:val="22"/>
                <w:szCs w:val="22"/>
              </w:rPr>
            </w:pPr>
            <w:r w:rsidRPr="00B5190A">
              <w:rPr>
                <w:sz w:val="22"/>
                <w:szCs w:val="22"/>
              </w:rPr>
              <w:t>153(55.4%)</w:t>
            </w:r>
          </w:p>
        </w:tc>
        <w:tc>
          <w:tcPr>
            <w:tcW w:w="1915" w:type="dxa"/>
          </w:tcPr>
          <w:p w14:paraId="1ED4309D" w14:textId="77777777" w:rsidR="00B5190A" w:rsidRPr="00B5190A" w:rsidRDefault="00B5190A" w:rsidP="00B5190A">
            <w:pPr>
              <w:pStyle w:val="Compact"/>
              <w:jc w:val="center"/>
              <w:rPr>
                <w:sz w:val="22"/>
                <w:szCs w:val="22"/>
              </w:rPr>
            </w:pPr>
          </w:p>
        </w:tc>
        <w:tc>
          <w:tcPr>
            <w:tcW w:w="1915" w:type="dxa"/>
          </w:tcPr>
          <w:p w14:paraId="4D59CB2E" w14:textId="77777777" w:rsidR="00B5190A" w:rsidRPr="00B5190A" w:rsidRDefault="00B5190A" w:rsidP="00B5190A">
            <w:pPr>
              <w:pStyle w:val="Compact"/>
              <w:jc w:val="center"/>
              <w:rPr>
                <w:sz w:val="22"/>
                <w:szCs w:val="22"/>
              </w:rPr>
            </w:pPr>
          </w:p>
        </w:tc>
        <w:tc>
          <w:tcPr>
            <w:tcW w:w="1916" w:type="dxa"/>
          </w:tcPr>
          <w:p w14:paraId="08D47CE1" w14:textId="77777777" w:rsidR="00B5190A" w:rsidRPr="00B5190A" w:rsidRDefault="00B5190A" w:rsidP="00B5190A">
            <w:pPr>
              <w:pStyle w:val="Compact"/>
              <w:jc w:val="center"/>
              <w:rPr>
                <w:sz w:val="22"/>
                <w:szCs w:val="22"/>
              </w:rPr>
            </w:pPr>
          </w:p>
        </w:tc>
      </w:tr>
      <w:tr w:rsidR="00B5190A" w14:paraId="3A9CBC72" w14:textId="77777777" w:rsidTr="00B5190A">
        <w:tc>
          <w:tcPr>
            <w:tcW w:w="2718" w:type="dxa"/>
          </w:tcPr>
          <w:p w14:paraId="32158091" w14:textId="73214739" w:rsidR="00B5190A" w:rsidRPr="00B5190A" w:rsidRDefault="00B5190A" w:rsidP="00AD3AF4">
            <w:pPr>
              <w:pStyle w:val="Compact"/>
              <w:spacing w:line="360" w:lineRule="auto"/>
              <w:rPr>
                <w:sz w:val="22"/>
                <w:szCs w:val="22"/>
              </w:rPr>
            </w:pPr>
            <w:r w:rsidRPr="00B5190A">
              <w:rPr>
                <w:sz w:val="22"/>
                <w:szCs w:val="22"/>
              </w:rPr>
              <w:t>Brain volume x10</w:t>
            </w:r>
            <w:r w:rsidRPr="00B5190A">
              <w:rPr>
                <w:sz w:val="22"/>
                <w:szCs w:val="22"/>
                <w:vertAlign w:val="superscript"/>
              </w:rPr>
              <w:t>5</w:t>
            </w:r>
            <w:r w:rsidRPr="00B5190A">
              <w:rPr>
                <w:sz w:val="22"/>
                <w:szCs w:val="22"/>
              </w:rPr>
              <w:t xml:space="preserve"> mm</w:t>
            </w:r>
            <w:r w:rsidRPr="00B5190A">
              <w:rPr>
                <w:sz w:val="22"/>
                <w:szCs w:val="22"/>
                <w:vertAlign w:val="superscript"/>
              </w:rPr>
              <w:t>3</w:t>
            </w:r>
          </w:p>
        </w:tc>
        <w:tc>
          <w:tcPr>
            <w:tcW w:w="1112" w:type="dxa"/>
          </w:tcPr>
          <w:p w14:paraId="7DF20587" w14:textId="7F7A5119" w:rsidR="00B5190A" w:rsidRPr="00B5190A" w:rsidRDefault="00B5190A" w:rsidP="00B5190A">
            <w:pPr>
              <w:pStyle w:val="Compact"/>
              <w:jc w:val="center"/>
              <w:rPr>
                <w:sz w:val="22"/>
                <w:szCs w:val="22"/>
              </w:rPr>
            </w:pPr>
            <w:r w:rsidRPr="00B5190A">
              <w:rPr>
                <w:sz w:val="22"/>
                <w:szCs w:val="22"/>
              </w:rPr>
              <w:t>10.2 +/- 1.1</w:t>
            </w:r>
          </w:p>
        </w:tc>
        <w:tc>
          <w:tcPr>
            <w:tcW w:w="1915" w:type="dxa"/>
          </w:tcPr>
          <w:p w14:paraId="48CAF77D" w14:textId="77777777" w:rsidR="00B5190A" w:rsidRPr="00B5190A" w:rsidRDefault="00B5190A" w:rsidP="00B5190A">
            <w:pPr>
              <w:pStyle w:val="Compact"/>
              <w:jc w:val="center"/>
              <w:rPr>
                <w:sz w:val="22"/>
                <w:szCs w:val="22"/>
              </w:rPr>
            </w:pPr>
          </w:p>
        </w:tc>
        <w:tc>
          <w:tcPr>
            <w:tcW w:w="1915" w:type="dxa"/>
          </w:tcPr>
          <w:p w14:paraId="2D856288" w14:textId="77777777" w:rsidR="00B5190A" w:rsidRPr="00B5190A" w:rsidRDefault="00B5190A" w:rsidP="00B5190A">
            <w:pPr>
              <w:pStyle w:val="Compact"/>
              <w:jc w:val="center"/>
              <w:rPr>
                <w:sz w:val="22"/>
                <w:szCs w:val="22"/>
              </w:rPr>
            </w:pPr>
          </w:p>
        </w:tc>
        <w:tc>
          <w:tcPr>
            <w:tcW w:w="1916" w:type="dxa"/>
          </w:tcPr>
          <w:p w14:paraId="7121D95D" w14:textId="77777777" w:rsidR="00B5190A" w:rsidRPr="00B5190A" w:rsidRDefault="00B5190A" w:rsidP="00B5190A">
            <w:pPr>
              <w:pStyle w:val="Compact"/>
              <w:jc w:val="center"/>
              <w:rPr>
                <w:sz w:val="22"/>
                <w:szCs w:val="22"/>
              </w:rPr>
            </w:pPr>
          </w:p>
        </w:tc>
      </w:tr>
      <w:tr w:rsidR="00B5190A" w14:paraId="31C98654" w14:textId="77777777" w:rsidTr="00B5190A">
        <w:tc>
          <w:tcPr>
            <w:tcW w:w="2718" w:type="dxa"/>
          </w:tcPr>
          <w:p w14:paraId="29F63E67" w14:textId="34D33259" w:rsidR="00B5190A" w:rsidRPr="00B5190A" w:rsidRDefault="00B5190A" w:rsidP="00AD3AF4">
            <w:pPr>
              <w:pStyle w:val="Compact"/>
              <w:spacing w:line="360" w:lineRule="auto"/>
              <w:rPr>
                <w:sz w:val="22"/>
                <w:szCs w:val="22"/>
              </w:rPr>
            </w:pPr>
            <w:r w:rsidRPr="00B5190A">
              <w:rPr>
                <w:sz w:val="22"/>
                <w:szCs w:val="22"/>
              </w:rPr>
              <w:t>APOE4</w:t>
            </w:r>
          </w:p>
        </w:tc>
        <w:tc>
          <w:tcPr>
            <w:tcW w:w="1112" w:type="dxa"/>
          </w:tcPr>
          <w:p w14:paraId="66C4B8DA" w14:textId="77777777" w:rsidR="00B5190A" w:rsidRPr="00B5190A" w:rsidRDefault="00B5190A" w:rsidP="00B5190A">
            <w:pPr>
              <w:pStyle w:val="Compact"/>
              <w:jc w:val="center"/>
              <w:rPr>
                <w:sz w:val="22"/>
                <w:szCs w:val="22"/>
              </w:rPr>
            </w:pPr>
          </w:p>
        </w:tc>
        <w:tc>
          <w:tcPr>
            <w:tcW w:w="1915" w:type="dxa"/>
          </w:tcPr>
          <w:p w14:paraId="23F46F52" w14:textId="77777777" w:rsidR="00B5190A" w:rsidRPr="00B5190A" w:rsidRDefault="00B5190A" w:rsidP="00B5190A">
            <w:pPr>
              <w:pStyle w:val="Compact"/>
              <w:jc w:val="center"/>
              <w:rPr>
                <w:sz w:val="22"/>
                <w:szCs w:val="22"/>
              </w:rPr>
            </w:pPr>
          </w:p>
        </w:tc>
        <w:tc>
          <w:tcPr>
            <w:tcW w:w="1915" w:type="dxa"/>
          </w:tcPr>
          <w:p w14:paraId="735F5462" w14:textId="77777777" w:rsidR="00B5190A" w:rsidRPr="00B5190A" w:rsidRDefault="00B5190A" w:rsidP="00B5190A">
            <w:pPr>
              <w:pStyle w:val="Compact"/>
              <w:jc w:val="center"/>
              <w:rPr>
                <w:sz w:val="22"/>
                <w:szCs w:val="22"/>
              </w:rPr>
            </w:pPr>
          </w:p>
        </w:tc>
        <w:tc>
          <w:tcPr>
            <w:tcW w:w="1916" w:type="dxa"/>
          </w:tcPr>
          <w:p w14:paraId="2B352B43" w14:textId="77777777" w:rsidR="00B5190A" w:rsidRPr="00B5190A" w:rsidRDefault="00B5190A" w:rsidP="00B5190A">
            <w:pPr>
              <w:pStyle w:val="Compact"/>
              <w:jc w:val="center"/>
              <w:rPr>
                <w:sz w:val="22"/>
                <w:szCs w:val="22"/>
              </w:rPr>
            </w:pPr>
          </w:p>
        </w:tc>
      </w:tr>
      <w:tr w:rsidR="00B5190A" w14:paraId="30235239" w14:textId="77777777" w:rsidTr="00B5190A">
        <w:tc>
          <w:tcPr>
            <w:tcW w:w="2718" w:type="dxa"/>
          </w:tcPr>
          <w:p w14:paraId="76BBCB70" w14:textId="6FC4285F" w:rsidR="00B5190A" w:rsidRPr="00B5190A" w:rsidRDefault="00B5190A" w:rsidP="00AD3AF4">
            <w:pPr>
              <w:pStyle w:val="Compact"/>
              <w:tabs>
                <w:tab w:val="left" w:pos="533"/>
              </w:tabs>
              <w:spacing w:line="360" w:lineRule="auto"/>
              <w:rPr>
                <w:sz w:val="22"/>
                <w:szCs w:val="22"/>
              </w:rPr>
            </w:pPr>
            <w:r w:rsidRPr="00B5190A">
              <w:rPr>
                <w:sz w:val="22"/>
                <w:szCs w:val="22"/>
              </w:rPr>
              <w:tab/>
              <w:t>No copies</w:t>
            </w:r>
          </w:p>
        </w:tc>
        <w:tc>
          <w:tcPr>
            <w:tcW w:w="1112" w:type="dxa"/>
          </w:tcPr>
          <w:p w14:paraId="1D787709" w14:textId="77777777" w:rsidR="00B5190A" w:rsidRPr="00B5190A" w:rsidRDefault="00B5190A" w:rsidP="00B5190A">
            <w:pPr>
              <w:pStyle w:val="Compact"/>
              <w:rPr>
                <w:sz w:val="22"/>
                <w:szCs w:val="22"/>
              </w:rPr>
            </w:pPr>
          </w:p>
        </w:tc>
        <w:tc>
          <w:tcPr>
            <w:tcW w:w="1915" w:type="dxa"/>
          </w:tcPr>
          <w:p w14:paraId="317B44C0" w14:textId="77777777" w:rsidR="00B5190A" w:rsidRPr="00B5190A" w:rsidRDefault="00B5190A" w:rsidP="00B5190A">
            <w:pPr>
              <w:pStyle w:val="Compact"/>
              <w:jc w:val="center"/>
              <w:rPr>
                <w:sz w:val="22"/>
                <w:szCs w:val="22"/>
              </w:rPr>
            </w:pPr>
          </w:p>
        </w:tc>
        <w:tc>
          <w:tcPr>
            <w:tcW w:w="1915" w:type="dxa"/>
          </w:tcPr>
          <w:p w14:paraId="6109413B" w14:textId="77777777" w:rsidR="00B5190A" w:rsidRPr="00B5190A" w:rsidRDefault="00B5190A" w:rsidP="00B5190A">
            <w:pPr>
              <w:pStyle w:val="Compact"/>
              <w:jc w:val="center"/>
              <w:rPr>
                <w:sz w:val="22"/>
                <w:szCs w:val="22"/>
              </w:rPr>
            </w:pPr>
          </w:p>
        </w:tc>
        <w:tc>
          <w:tcPr>
            <w:tcW w:w="1916" w:type="dxa"/>
          </w:tcPr>
          <w:p w14:paraId="3B185936" w14:textId="0AFF9696" w:rsidR="00B5190A" w:rsidRPr="00B5190A" w:rsidRDefault="00B5190A" w:rsidP="00B5190A">
            <w:pPr>
              <w:pStyle w:val="Compact"/>
              <w:jc w:val="center"/>
              <w:rPr>
                <w:sz w:val="22"/>
                <w:szCs w:val="22"/>
              </w:rPr>
            </w:pPr>
            <w:r w:rsidRPr="00B5190A">
              <w:rPr>
                <w:sz w:val="22"/>
                <w:szCs w:val="22"/>
              </w:rPr>
              <w:t>62 (66.0%)</w:t>
            </w:r>
          </w:p>
        </w:tc>
      </w:tr>
      <w:tr w:rsidR="00B5190A" w14:paraId="6DA38012" w14:textId="77777777" w:rsidTr="00AD3AF4">
        <w:tc>
          <w:tcPr>
            <w:tcW w:w="2718" w:type="dxa"/>
          </w:tcPr>
          <w:p w14:paraId="5B06D1EB" w14:textId="75D424E7" w:rsidR="00B5190A" w:rsidRPr="00B5190A" w:rsidRDefault="00B5190A" w:rsidP="00AD3AF4">
            <w:pPr>
              <w:pStyle w:val="Compact"/>
              <w:tabs>
                <w:tab w:val="left" w:pos="520"/>
              </w:tabs>
              <w:spacing w:line="360" w:lineRule="auto"/>
              <w:rPr>
                <w:sz w:val="22"/>
                <w:szCs w:val="22"/>
              </w:rPr>
            </w:pPr>
            <w:r w:rsidRPr="00B5190A">
              <w:rPr>
                <w:sz w:val="22"/>
                <w:szCs w:val="22"/>
              </w:rPr>
              <w:tab/>
              <w:t>One copy</w:t>
            </w:r>
          </w:p>
        </w:tc>
        <w:tc>
          <w:tcPr>
            <w:tcW w:w="1112" w:type="dxa"/>
          </w:tcPr>
          <w:p w14:paraId="2FB01CEF" w14:textId="77777777" w:rsidR="00B5190A" w:rsidRPr="00B5190A" w:rsidRDefault="00B5190A" w:rsidP="00B5190A">
            <w:pPr>
              <w:pStyle w:val="Compact"/>
              <w:jc w:val="center"/>
              <w:rPr>
                <w:sz w:val="22"/>
                <w:szCs w:val="22"/>
              </w:rPr>
            </w:pPr>
          </w:p>
        </w:tc>
        <w:tc>
          <w:tcPr>
            <w:tcW w:w="1915" w:type="dxa"/>
          </w:tcPr>
          <w:p w14:paraId="1252BA45" w14:textId="77777777" w:rsidR="00B5190A" w:rsidRPr="00B5190A" w:rsidRDefault="00B5190A" w:rsidP="00B5190A">
            <w:pPr>
              <w:pStyle w:val="Compact"/>
              <w:jc w:val="center"/>
              <w:rPr>
                <w:sz w:val="22"/>
                <w:szCs w:val="22"/>
              </w:rPr>
            </w:pPr>
          </w:p>
        </w:tc>
        <w:tc>
          <w:tcPr>
            <w:tcW w:w="1915" w:type="dxa"/>
          </w:tcPr>
          <w:p w14:paraId="0AC09A73" w14:textId="77777777" w:rsidR="00B5190A" w:rsidRPr="00B5190A" w:rsidRDefault="00B5190A" w:rsidP="00B5190A">
            <w:pPr>
              <w:pStyle w:val="Compact"/>
              <w:jc w:val="center"/>
              <w:rPr>
                <w:sz w:val="22"/>
                <w:szCs w:val="22"/>
              </w:rPr>
            </w:pPr>
          </w:p>
        </w:tc>
        <w:tc>
          <w:tcPr>
            <w:tcW w:w="1916" w:type="dxa"/>
          </w:tcPr>
          <w:p w14:paraId="19F1D5CB" w14:textId="003A1328" w:rsidR="00B5190A" w:rsidRPr="00B5190A" w:rsidRDefault="00AD3AF4" w:rsidP="00B5190A">
            <w:pPr>
              <w:pStyle w:val="Compact"/>
              <w:jc w:val="center"/>
              <w:rPr>
                <w:sz w:val="22"/>
                <w:szCs w:val="22"/>
              </w:rPr>
            </w:pPr>
            <w:r>
              <w:rPr>
                <w:sz w:val="22"/>
                <w:szCs w:val="22"/>
              </w:rPr>
              <w:t>28 (29.8%)</w:t>
            </w:r>
          </w:p>
        </w:tc>
      </w:tr>
      <w:tr w:rsidR="00B5190A" w14:paraId="49B18F1B" w14:textId="77777777" w:rsidTr="00AD3AF4">
        <w:tc>
          <w:tcPr>
            <w:tcW w:w="2718" w:type="dxa"/>
            <w:tcBorders>
              <w:bottom w:val="single" w:sz="4" w:space="0" w:color="auto"/>
            </w:tcBorders>
          </w:tcPr>
          <w:p w14:paraId="4C6C5D81" w14:textId="11F81D92" w:rsidR="00B5190A" w:rsidRPr="00B5190A" w:rsidRDefault="00B5190A" w:rsidP="00AD3AF4">
            <w:pPr>
              <w:pStyle w:val="Compact"/>
              <w:spacing w:line="360" w:lineRule="auto"/>
              <w:ind w:firstLine="540"/>
              <w:rPr>
                <w:sz w:val="22"/>
                <w:szCs w:val="22"/>
              </w:rPr>
            </w:pPr>
            <w:r w:rsidRPr="00B5190A">
              <w:rPr>
                <w:sz w:val="22"/>
                <w:szCs w:val="22"/>
              </w:rPr>
              <w:t>Two copies</w:t>
            </w:r>
          </w:p>
        </w:tc>
        <w:tc>
          <w:tcPr>
            <w:tcW w:w="1112" w:type="dxa"/>
            <w:tcBorders>
              <w:bottom w:val="single" w:sz="4" w:space="0" w:color="auto"/>
            </w:tcBorders>
          </w:tcPr>
          <w:p w14:paraId="744BEF4F" w14:textId="77777777" w:rsidR="00B5190A" w:rsidRPr="00B5190A" w:rsidRDefault="00B5190A" w:rsidP="00B5190A">
            <w:pPr>
              <w:pStyle w:val="Compact"/>
              <w:jc w:val="center"/>
              <w:rPr>
                <w:sz w:val="22"/>
                <w:szCs w:val="22"/>
              </w:rPr>
            </w:pPr>
          </w:p>
        </w:tc>
        <w:tc>
          <w:tcPr>
            <w:tcW w:w="1915" w:type="dxa"/>
            <w:tcBorders>
              <w:bottom w:val="single" w:sz="4" w:space="0" w:color="auto"/>
            </w:tcBorders>
          </w:tcPr>
          <w:p w14:paraId="2028948D" w14:textId="77777777" w:rsidR="00B5190A" w:rsidRPr="00B5190A" w:rsidRDefault="00B5190A" w:rsidP="00B5190A">
            <w:pPr>
              <w:pStyle w:val="Compact"/>
              <w:jc w:val="center"/>
              <w:rPr>
                <w:sz w:val="22"/>
                <w:szCs w:val="22"/>
              </w:rPr>
            </w:pPr>
          </w:p>
        </w:tc>
        <w:tc>
          <w:tcPr>
            <w:tcW w:w="1915" w:type="dxa"/>
            <w:tcBorders>
              <w:bottom w:val="single" w:sz="4" w:space="0" w:color="auto"/>
            </w:tcBorders>
          </w:tcPr>
          <w:p w14:paraId="4FD79999" w14:textId="77777777" w:rsidR="00B5190A" w:rsidRPr="00B5190A" w:rsidRDefault="00B5190A" w:rsidP="00B5190A">
            <w:pPr>
              <w:pStyle w:val="Compact"/>
              <w:jc w:val="center"/>
              <w:rPr>
                <w:sz w:val="22"/>
                <w:szCs w:val="22"/>
              </w:rPr>
            </w:pPr>
          </w:p>
        </w:tc>
        <w:tc>
          <w:tcPr>
            <w:tcW w:w="1916" w:type="dxa"/>
            <w:tcBorders>
              <w:bottom w:val="single" w:sz="4" w:space="0" w:color="auto"/>
            </w:tcBorders>
          </w:tcPr>
          <w:p w14:paraId="1D2C5B26" w14:textId="45CD9033" w:rsidR="00B5190A" w:rsidRPr="00B5190A" w:rsidRDefault="00AD3AF4" w:rsidP="00B5190A">
            <w:pPr>
              <w:pStyle w:val="Compact"/>
              <w:jc w:val="center"/>
              <w:rPr>
                <w:sz w:val="22"/>
                <w:szCs w:val="22"/>
              </w:rPr>
            </w:pPr>
            <w:r>
              <w:rPr>
                <w:sz w:val="22"/>
                <w:szCs w:val="22"/>
              </w:rPr>
              <w:t>4 (4.3%)</w:t>
            </w:r>
          </w:p>
        </w:tc>
      </w:tr>
    </w:tbl>
    <w:p w14:paraId="209C19FC" w14:textId="1F9D9744" w:rsidR="00B5190A" w:rsidRDefault="00B5190A" w:rsidP="00B5190A">
      <w:pPr>
        <w:pStyle w:val="Compact"/>
      </w:pPr>
    </w:p>
    <w:p w14:paraId="294EA635" w14:textId="77777777" w:rsidR="00B5190A" w:rsidRDefault="00B5190A" w:rsidP="00B5190A">
      <w:pPr>
        <w:pStyle w:val="Compact"/>
      </w:pPr>
    </w:p>
    <w:p w14:paraId="0DD7569D" w14:textId="1B3307F4" w:rsidR="00D1579E" w:rsidRDefault="00494AA7">
      <w:pPr>
        <w:numPr>
          <w:ilvl w:val="0"/>
          <w:numId w:val="4"/>
        </w:numPr>
      </w:pPr>
      <w:r>
        <w:t>Fill in the blanks or circle the correct answer in following paragraph which utilizes descriptive statistics from the table to summarize characteristics of the ADNI study participants. Note that the first two sentences describe general characteristics of the overall study participants and the last two sentences compare two groups of subjects.</w:t>
      </w:r>
    </w:p>
    <w:p w14:paraId="0FC4E167" w14:textId="4734349C" w:rsidR="00B5190A" w:rsidRPr="00B5190A" w:rsidRDefault="00B5190A" w:rsidP="00B5190A">
      <w:pPr>
        <w:pStyle w:val="ListParagraph"/>
        <w:autoSpaceDE w:val="0"/>
        <w:autoSpaceDN w:val="0"/>
        <w:adjustRightInd w:val="0"/>
        <w:spacing w:after="0" w:line="360" w:lineRule="auto"/>
        <w:ind w:left="480"/>
        <w:rPr>
          <w:rFonts w:ascii="Times New Roman" w:hAnsi="Times New Roman" w:cs="Times New Roman"/>
          <w:i/>
          <w:iCs/>
        </w:rPr>
      </w:pPr>
      <w:r w:rsidRPr="00B5190A">
        <w:rPr>
          <w:rFonts w:ascii="Times New Roman" w:hAnsi="Times New Roman" w:cs="Times New Roman"/>
          <w:i/>
          <w:iCs/>
        </w:rPr>
        <w:t xml:space="preserve">The ADNI study has ________ participants. The average age is _______ years and _______% are male. The Alzheimer’s group has a </w:t>
      </w:r>
      <w:r w:rsidRPr="00B5190A">
        <w:rPr>
          <w:rFonts w:ascii="Times New Roman" w:hAnsi="Times New Roman" w:cs="Times New Roman"/>
          <w:b/>
          <w:bCs/>
          <w:i/>
          <w:iCs/>
          <w:u w:val="single"/>
        </w:rPr>
        <w:t>lower/higher</w:t>
      </w:r>
      <w:r w:rsidRPr="00B5190A">
        <w:rPr>
          <w:rFonts w:ascii="Times New Roman" w:hAnsi="Times New Roman" w:cs="Times New Roman"/>
          <w:i/>
          <w:iCs/>
        </w:rPr>
        <w:t xml:space="preserve"> average brain volume than the Normal group</w:t>
      </w:r>
      <w:r w:rsidR="00AD3AF4">
        <w:rPr>
          <w:rFonts w:ascii="Times New Roman" w:hAnsi="Times New Roman" w:cs="Times New Roman"/>
          <w:i/>
          <w:iCs/>
        </w:rPr>
        <w:t xml:space="preserve"> (______ vs _______mm</w:t>
      </w:r>
      <w:r w:rsidR="00AD3AF4" w:rsidRPr="00AD3AF4">
        <w:rPr>
          <w:rFonts w:ascii="Times New Roman" w:hAnsi="Times New Roman" w:cs="Times New Roman"/>
          <w:i/>
          <w:iCs/>
          <w:vertAlign w:val="superscript"/>
        </w:rPr>
        <w:t>3</w:t>
      </w:r>
      <w:r w:rsidR="00AD3AF4">
        <w:rPr>
          <w:rFonts w:ascii="Times New Roman" w:hAnsi="Times New Roman" w:cs="Times New Roman"/>
          <w:i/>
          <w:iCs/>
        </w:rPr>
        <w:t>)</w:t>
      </w:r>
      <w:r w:rsidRPr="00B5190A">
        <w:rPr>
          <w:rFonts w:ascii="Times New Roman" w:hAnsi="Times New Roman" w:cs="Times New Roman"/>
          <w:i/>
          <w:iCs/>
        </w:rPr>
        <w:t xml:space="preserve">.  Patients with Alzheimer’s diagnosis have a </w:t>
      </w:r>
      <w:r w:rsidRPr="00B5190A">
        <w:rPr>
          <w:rFonts w:ascii="Times New Roman" w:hAnsi="Times New Roman" w:cs="Times New Roman"/>
          <w:b/>
          <w:bCs/>
          <w:i/>
          <w:iCs/>
          <w:u w:val="single"/>
        </w:rPr>
        <w:t>lower/higher</w:t>
      </w:r>
      <w:r w:rsidRPr="00B5190A">
        <w:rPr>
          <w:rFonts w:ascii="Times New Roman" w:hAnsi="Times New Roman" w:cs="Times New Roman"/>
          <w:i/>
          <w:iCs/>
        </w:rPr>
        <w:t xml:space="preserve"> prevalence of two copies of the APOE4 allele compared to normal diagnosis patients ( ____% vs 4.3%).</w:t>
      </w:r>
    </w:p>
    <w:sectPr w:rsidR="00B5190A" w:rsidRPr="00B519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551D4" w14:textId="77777777" w:rsidR="00640317" w:rsidRDefault="00640317">
      <w:pPr>
        <w:spacing w:after="0"/>
      </w:pPr>
      <w:r>
        <w:separator/>
      </w:r>
    </w:p>
  </w:endnote>
  <w:endnote w:type="continuationSeparator" w:id="0">
    <w:p w14:paraId="431E40A3" w14:textId="77777777" w:rsidR="00640317" w:rsidRDefault="00640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AF8E2" w14:textId="77777777" w:rsidR="00640317" w:rsidRDefault="00640317">
      <w:r>
        <w:separator/>
      </w:r>
    </w:p>
  </w:footnote>
  <w:footnote w:type="continuationSeparator" w:id="0">
    <w:p w14:paraId="654B4AC1" w14:textId="77777777" w:rsidR="00640317" w:rsidRDefault="00640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1E2B27"/>
    <w:multiLevelType w:val="multilevel"/>
    <w:tmpl w:val="70C6E3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40A108"/>
    <w:multiLevelType w:val="multilevel"/>
    <w:tmpl w:val="D8C82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E2A2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174B09B"/>
    <w:multiLevelType w:val="multilevel"/>
    <w:tmpl w:val="093A608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02C8339"/>
    <w:multiLevelType w:val="multilevel"/>
    <w:tmpl w:val="1170684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3286"/>
    <w:rsid w:val="00494AA7"/>
    <w:rsid w:val="004E29B3"/>
    <w:rsid w:val="004F0411"/>
    <w:rsid w:val="00511BAF"/>
    <w:rsid w:val="00580299"/>
    <w:rsid w:val="00590D07"/>
    <w:rsid w:val="00640317"/>
    <w:rsid w:val="00784D58"/>
    <w:rsid w:val="00805366"/>
    <w:rsid w:val="00830959"/>
    <w:rsid w:val="008D6863"/>
    <w:rsid w:val="00A376C7"/>
    <w:rsid w:val="00AD3AF4"/>
    <w:rsid w:val="00B5190A"/>
    <w:rsid w:val="00B86B75"/>
    <w:rsid w:val="00BC48D5"/>
    <w:rsid w:val="00C24AE1"/>
    <w:rsid w:val="00C3600F"/>
    <w:rsid w:val="00C36279"/>
    <w:rsid w:val="00CA7DE9"/>
    <w:rsid w:val="00D1579E"/>
    <w:rsid w:val="00D9654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DB55"/>
  <w15:docId w15:val="{50272259-1D56-3B4B-ABB7-649529A1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B5190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51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dni.loni.usc.edu/about/"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7689D1E33120408482AB3D006112DA" ma:contentTypeVersion="16" ma:contentTypeDescription="Create a new document." ma:contentTypeScope="" ma:versionID="dba750b78d87329deeb4e6dd43918f66">
  <xsd:schema xmlns:xsd="http://www.w3.org/2001/XMLSchema" xmlns:xs="http://www.w3.org/2001/XMLSchema" xmlns:p="http://schemas.microsoft.com/office/2006/metadata/properties" xmlns:ns2="c107d1f1-e4b2-4766-a6de-75fe7d959078" xmlns:ns3="4b1a8a38-f501-4ff3-b56c-0f5d422d73d4" targetNamespace="http://schemas.microsoft.com/office/2006/metadata/properties" ma:root="true" ma:fieldsID="c58603bf390569ecf304e7ecc94a57aa" ns2:_="" ns3:_="">
    <xsd:import namespace="c107d1f1-e4b2-4766-a6de-75fe7d959078"/>
    <xsd:import namespace="4b1a8a38-f501-4ff3-b56c-0f5d422d73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7d1f1-e4b2-4766-a6de-75fe7d959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1a8a38-f501-4ff3-b56c-0f5d422d73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96862c8-3ce3-442f-8d5d-a2124e02e275}" ma:internalName="TaxCatchAll" ma:showField="CatchAllData" ma:web="4b1a8a38-f501-4ff3-b56c-0f5d422d73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07d1f1-e4b2-4766-a6de-75fe7d959078">
      <Terms xmlns="http://schemas.microsoft.com/office/infopath/2007/PartnerControls"/>
    </lcf76f155ced4ddcb4097134ff3c332f>
    <TaxCatchAll xmlns="4b1a8a38-f501-4ff3-b56c-0f5d422d73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91CB10-5E98-4366-B050-CE717675C87F}"/>
</file>

<file path=customXml/itemProps2.xml><?xml version="1.0" encoding="utf-8"?>
<ds:datastoreItem xmlns:ds="http://schemas.openxmlformats.org/officeDocument/2006/customXml" ds:itemID="{764C5ACC-0D81-4890-B750-3F745EC7D601}">
  <ds:schemaRefs>
    <ds:schemaRef ds:uri="http://schemas.microsoft.com/office/2006/metadata/properties"/>
    <ds:schemaRef ds:uri="http://schemas.microsoft.com/office/infopath/2007/PartnerControls"/>
    <ds:schemaRef ds:uri="c107d1f1-e4b2-4766-a6de-75fe7d959078"/>
    <ds:schemaRef ds:uri="4b1a8a38-f501-4ff3-b56c-0f5d422d73d4"/>
  </ds:schemaRefs>
</ds:datastoreItem>
</file>

<file path=customXml/itemProps3.xml><?xml version="1.0" encoding="utf-8"?>
<ds:datastoreItem xmlns:ds="http://schemas.openxmlformats.org/officeDocument/2006/customXml" ds:itemID="{7A1DCADE-231A-4687-BA26-282611E98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3841</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Lab 3 Practice: Summarizing Data</vt:lpstr>
      <vt:lpstr>Background</vt:lpstr>
      <vt:lpstr>The Data</vt:lpstr>
      <vt:lpstr>Practice</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Practice: Summarizing Data</dc:title>
  <dc:creator>Roberts, Allison Elizabeth</dc:creator>
  <cp:lastModifiedBy>Hood, Nicole</cp:lastModifiedBy>
  <cp:revision>4</cp:revision>
  <cp:lastPrinted>2023-01-23T20:48:00Z</cp:lastPrinted>
  <dcterms:created xsi:type="dcterms:W3CDTF">2023-01-23T13:46:00Z</dcterms:created>
  <dcterms:modified xsi:type="dcterms:W3CDTF">2023-01-23T20:48:00Z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0x010100707689D1E33120408482AB3D006112DA</vt:lpwstr>
  </property>
</Properties>
</file>