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0.jpg" ContentType="image/jpeg"/>
  <Override PartName="/word/media/rId54.jpg" ContentType="image/jpeg"/>
  <Override PartName="/word/media/rId26.gif" ContentType="image/gif"/>
  <Override PartName="/word/media/rId37.jpg" ContentType="image/jpeg"/>
  <Override PartName="/word/media/rId44.jpg" ContentType="image/jpe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Alphabet</w:t>
      </w:r>
      <w:r>
        <w:t xml:space="preserve"> </w:t>
      </w:r>
      <w:r>
        <w:t xml:space="preserve">Encodings</w:t>
      </w:r>
      <w:r>
        <w:t xml:space="preserve"> </w:t>
      </w:r>
      <w:r>
        <w:t xml:space="preserve">and</w:t>
      </w:r>
      <w:r>
        <w:t xml:space="preserve"> </w:t>
      </w:r>
      <w:r>
        <w:t xml:space="preserve">Formal</w:t>
      </w:r>
      <w:r>
        <w:t xml:space="preserve"> </w:t>
      </w:r>
      <w:r>
        <w:t xml:space="preserve">languages</w:t>
      </w:r>
    </w:p>
    <w:p>
      <w:pPr>
        <w:pStyle w:val="Author"/>
      </w:pPr>
      <w:r>
        <w:t xml:space="preserve">Prof.</w:t>
      </w:r>
      <w:r>
        <w:t xml:space="preserve"> </w:t>
      </w:r>
      <w:r>
        <w:t xml:space="preserve">Dr.</w:t>
      </w:r>
      <w:r>
        <w:t xml:space="preserve"> </w:t>
      </w:r>
      <w:r>
        <w:t xml:space="preserve">Raphael</w:t>
      </w:r>
      <w:r>
        <w:t xml:space="preserve"> </w:t>
      </w:r>
      <w:r>
        <w:t xml:space="preserve">Volz</w:t>
      </w:r>
    </w:p>
    <w:p>
      <w:pPr>
        <w:pStyle w:val="Date"/>
      </w:pPr>
      <w:r>
        <w:t xml:space="preserve">Hochschule</w:t>
      </w:r>
      <w:r>
        <w:t xml:space="preserve"> </w:t>
      </w:r>
      <w:r>
        <w:t xml:space="preserve">Pforzheim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lphabets"/>
      <w:bookmarkEnd w:id="21"/>
      <w:r>
        <w:t xml:space="preserve">Alphabets</w:t>
      </w:r>
    </w:p>
    <w:p>
      <w:pPr>
        <w:pStyle w:val="Heading2"/>
      </w:pPr>
      <w:bookmarkStart w:id="22" w:name="character-encoding-schemes"/>
      <w:bookmarkEnd w:id="22"/>
      <w:r>
        <w:t xml:space="preserve">Character-encoding schemes</w:t>
      </w:r>
    </w:p>
    <w:p>
      <w:pPr>
        <w:pStyle w:val="Compact"/>
        <w:numPr>
          <w:numId w:val="1001"/>
          <w:ilvl w:val="0"/>
        </w:numPr>
      </w:pPr>
      <w:r>
        <w:t xml:space="preserve">Interpretation function maps bit sequences to characters</w:t>
      </w:r>
    </w:p>
    <w:p>
      <w:pPr>
        <w:pStyle w:val="Compact"/>
        <w:numPr>
          <w:numId w:val="1001"/>
          <w:ilvl w:val="0"/>
        </w:numPr>
      </w:pPr>
      <w:r>
        <w:t xml:space="preserve">Function is a typically a bijective mapping table</w:t>
      </w:r>
    </w:p>
    <w:p>
      <w:pPr>
        <w:pStyle w:val="Compact"/>
        <w:numPr>
          <w:numId w:val="1001"/>
          <w:ilvl w:val="0"/>
        </w:numPr>
      </w:pPr>
      <w:r>
        <w:t xml:space="preserve">Example schemes:</w:t>
      </w:r>
    </w:p>
    <w:p>
      <w:pPr>
        <w:pStyle w:val="Compact"/>
        <w:numPr>
          <w:numId w:val="1002"/>
          <w:ilvl w:val="1"/>
        </w:numPr>
      </w:pPr>
      <w:r>
        <w:t xml:space="preserve">ASCII (American Standard Code for Information Interchange)</w:t>
      </w:r>
    </w:p>
    <w:p>
      <w:pPr>
        <w:pStyle w:val="Compact"/>
        <w:numPr>
          <w:numId w:val="1002"/>
          <w:ilvl w:val="1"/>
        </w:numPr>
      </w:pPr>
      <w:r>
        <w:t xml:space="preserve">Unicode (ISO 10646)</w:t>
      </w:r>
    </w:p>
    <w:p>
      <w:pPr>
        <w:pStyle w:val="Compact"/>
        <w:numPr>
          <w:numId w:val="1002"/>
          <w:ilvl w:val="1"/>
        </w:numPr>
      </w:pPr>
      <w:r>
        <w:t xml:space="preserve">Latin 1 (ISO 8859-1)</w:t>
      </w:r>
    </w:p>
    <w:p>
      <w:pPr>
        <w:pStyle w:val="Compact"/>
        <w:numPr>
          <w:numId w:val="1001"/>
          <w:ilvl w:val="0"/>
        </w:numPr>
      </w:pPr>
      <w:r>
        <w:t xml:space="preserve">ASCII Example</w:t>
      </w:r>
    </w:p>
    <w:p>
      <w:pPr>
        <w:pStyle w:val="Compact"/>
        <w:numPr>
          <w:numId w:val="1003"/>
          <w:ilvl w:val="1"/>
        </w:numPr>
      </w:pPr>
      <w:r>
        <w:t xml:space="preserve">Uppercase letter</w:t>
      </w:r>
      <w:r>
        <w:t xml:space="preserve"> </w:t>
      </w:r>
      <w:r>
        <w:rPr>
          <w:b/>
        </w:rP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Decimal number</w:t>
      </w:r>
      <w:r>
        <w:t xml:space="preserve"> </w:t>
      </w:r>
      <w:r>
        <w:rPr>
          <w:b/>
        </w:rPr>
        <w:t xml:space="preserve">65</w:t>
      </w:r>
    </w:p>
    <w:p>
      <w:pPr>
        <w:pStyle w:val="Compact"/>
        <w:numPr>
          <w:numId w:val="1003"/>
          <w:ilvl w:val="1"/>
        </w:numPr>
      </w:pPr>
      <w:r>
        <w:t xml:space="preserve">Binary</w:t>
      </w:r>
      <w:r>
        <w:t xml:space="preserve"> </w:t>
      </w:r>
      <w:r>
        <w:rPr>
          <w:b/>
        </w:rPr>
        <w:t xml:space="preserve">01000001</w:t>
      </w:r>
    </w:p>
    <w:p>
      <w:pPr>
        <w:pStyle w:val="Heading2"/>
      </w:pPr>
      <w:bookmarkStart w:id="23" w:name="first-128-symbols-in-ascii"/>
      <w:bookmarkEnd w:id="23"/>
      <w:r>
        <w:t xml:space="preserve">First 128 symbols in ASCII</w:t>
      </w:r>
    </w:p>
    <w:p>
      <w:pPr>
        <w:pStyle w:val="FigureWithCaption"/>
      </w:pPr>
      <w:r>
        <w:drawing>
          <wp:inline>
            <wp:extent cx="3898900" cy="4965700"/>
            <wp:effectExtent b="0" l="0" r="0" t="0"/>
            <wp:docPr descr="Source: ascii-table.com" id="1" name="Picture"/>
            <a:graphic>
              <a:graphicData uri="http://schemas.openxmlformats.org/drawingml/2006/picture">
                <pic:pic>
                  <pic:nvPicPr>
                    <pic:cNvPr descr="http://ascii-table.com/img/ascii-tabl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27">
        <w:r>
          <w:rPr>
            <w:rStyle w:val="Hyperlink"/>
          </w:rPr>
          <w:t xml:space="preserve">Source: ascii-table.com</w:t>
        </w:r>
      </w:hyperlink>
    </w:p>
    <w:p>
      <w:pPr>
        <w:pStyle w:val="Heading2"/>
      </w:pPr>
      <w:bookmarkStart w:id="28" w:name="unicode-basic-multilingual-plane-bmp"/>
      <w:bookmarkEnd w:id="28"/>
      <w:r>
        <w:t xml:space="preserve">Unicode Basic Multilingual Plane (BMP)</w:t>
      </w:r>
    </w:p>
    <w:p>
      <w:pPr>
        <w:pStyle w:val="FigureWithCaption"/>
      </w:pPr>
      <w:r>
        <w:drawing>
          <wp:inline>
            <wp:extent cx="5334000" cy="3558778"/>
            <wp:effectExtent b="0" l="0" r="0" t="0"/>
            <wp:docPr descr="Source: Wikipedia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8/8e/Roadmap_to_Unicode_BMP.svg/640px-Roadmap_to_Unicode_BMP.sv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Source: Wikipedia</w:t>
      </w:r>
    </w:p>
    <w:p>
      <w:pPr>
        <w:pStyle w:val="BodyText"/>
      </w:pPr>
      <w:r>
        <w:t xml:space="preserve">In the Unicode standard, a plane is a continuous group of 65,536 code points. There are 17 planes, identified by the numbers 0 to 16 decimal. The 17 planes can accommodate 1,114,112 code points, of which 2,048 are surrogates, 66 are non-characters, and 137,468 are reserved for private use, leaving 974,530 for public assignment.</w:t>
      </w:r>
    </w:p>
    <w:p>
      <w:pPr>
        <w:pStyle w:val="Heading1"/>
      </w:pPr>
      <w:bookmarkStart w:id="32" w:name="grammars"/>
      <w:bookmarkEnd w:id="32"/>
      <w:r>
        <w:t xml:space="preserve">Grammars</w:t>
      </w:r>
    </w:p>
    <w:p>
      <w:pPr>
        <w:pStyle w:val="Heading2"/>
      </w:pPr>
      <w:bookmarkStart w:id="33" w:name="formal-languages"/>
      <w:bookmarkEnd w:id="33"/>
      <w:r>
        <w:t xml:space="preserve">Formal languages</w:t>
      </w:r>
    </w:p>
    <w:p>
      <w:pPr>
        <w:pStyle w:val="FirstParagraph"/>
      </w:pPr>
      <w:r>
        <w:t xml:space="preserve">Exploration on the board. Learning questions:</w:t>
      </w:r>
    </w:p>
    <w:p>
      <w:pPr>
        <w:pStyle w:val="Compact"/>
        <w:numPr>
          <w:numId w:val="1004"/>
          <w:ilvl w:val="0"/>
        </w:numPr>
      </w:pPr>
      <w:r>
        <w:t xml:space="preserve">What is a terminal ?</w:t>
      </w:r>
    </w:p>
    <w:p>
      <w:pPr>
        <w:pStyle w:val="Compact"/>
        <w:numPr>
          <w:numId w:val="1004"/>
          <w:ilvl w:val="0"/>
        </w:numPr>
      </w:pPr>
      <w:r>
        <w:t xml:space="preserve">What is a non-terminal ?</w:t>
      </w:r>
    </w:p>
    <w:p>
      <w:pPr>
        <w:pStyle w:val="Compact"/>
        <w:numPr>
          <w:numId w:val="1004"/>
          <w:ilvl w:val="0"/>
        </w:numPr>
      </w:pPr>
      <w:r>
        <w:t xml:space="preserve">What constitutes a grammar ?</w:t>
      </w:r>
    </w:p>
    <w:p>
      <w:pPr>
        <w:pStyle w:val="Compact"/>
        <w:numPr>
          <w:numId w:val="1004"/>
          <w:ilvl w:val="0"/>
        </w:numPr>
      </w:pPr>
      <w:r>
        <w:t xml:space="preserve">What is meant by production rule ?</w:t>
      </w:r>
    </w:p>
    <w:p>
      <w:pPr>
        <w:pStyle w:val="Heading2"/>
      </w:pPr>
      <w:bookmarkStart w:id="34" w:name="avram-noam-chomsky"/>
      <w:bookmarkEnd w:id="34"/>
      <w:r>
        <w:t xml:space="preserve">Avram Noam Chomsky</w:t>
      </w:r>
    </w:p>
    <w:p>
      <w:pPr>
        <w:pStyle w:val="FirstParagraph"/>
      </w:pPr>
      <w:r>
        <w:t xml:space="preserve">Father of modern linguistics (Professor emeritus MIT)</w:t>
      </w:r>
    </w:p>
    <w:p>
      <w:pPr>
        <w:pStyle w:val="FigureWithCaption"/>
      </w:pPr>
      <w:r>
        <w:drawing>
          <wp:inline>
            <wp:extent cx="3419475" cy="4572000"/>
            <wp:effectExtent b="0" l="0" r="0" t="0"/>
            <wp:docPr descr="Noam Chomsky in 2004 by Duncan Rawlinson CC BY 2.0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6/6e/Chomsky.jpg/359px-Chomsk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38">
        <w:r>
          <w:rPr>
            <w:rStyle w:val="Hyperlink"/>
          </w:rPr>
          <w:t xml:space="preserve">Noam Chomsky in 2004 by Duncan Rawlinson</w:t>
        </w:r>
      </w:hyperlink>
      <w:r>
        <w:t xml:space="preserve"> </w:t>
      </w:r>
      <w:r>
        <w:t xml:space="preserve">CC BY 2.0</w:t>
      </w:r>
    </w:p>
    <w:p>
      <w:pPr>
        <w:pStyle w:val="Heading2"/>
      </w:pPr>
      <w:bookmarkStart w:id="39" w:name="chomsky-hierarchy-101"/>
      <w:bookmarkEnd w:id="39"/>
      <w:r>
        <w:t xml:space="preserve">Chomsky Hierarchy 101</w:t>
      </w:r>
    </w:p>
    <w:tbl>
      <w:tblPr>
        <w:tblStyle w:val="TableNormal"/>
        <w:tblW w:type="pct" w:w="4305.555555555556"/>
        <w:tblLook w:firstRow="1"/>
      </w:tblPr>
      <w:tblGrid>
        <w:gridCol w:w="440"/>
        <w:gridCol w:w="440"/>
        <w:gridCol w:w="59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restrictions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Phrase structure grammar</w:t>
            </w:r>
          </w:p>
        </w:tc>
        <w:tc>
          <w:p>
            <w:pPr>
              <w:pStyle w:val="Compact"/>
              <w:jc w:val="left"/>
            </w:pPr>
            <w:r>
              <w:t xml:space="preserve">No restrictions on form of production rules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Context-sensitive grammar</w:t>
            </w:r>
          </w:p>
        </w:tc>
        <w:tc>
          <w:p>
            <w:pPr>
              <w:pStyle w:val="Compact"/>
              <w:jc w:val="left"/>
            </w:pPr>
            <w:r>
              <w:t xml:space="preserve">Left-hand side shorter than right-hand side for all production rules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Context-free grammar</w:t>
            </w:r>
          </w:p>
        </w:tc>
        <w:tc>
          <w:p>
            <w:pPr>
              <w:pStyle w:val="Compact"/>
              <w:jc w:val="left"/>
            </w:pPr>
            <w:r>
              <w:t xml:space="preserve">Left-hand side of production rule is only a variable (non-terminal)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Regular grammar</w:t>
            </w:r>
          </w:p>
        </w:tc>
        <w:tc>
          <w:p>
            <w:pPr>
              <w:pStyle w:val="Compact"/>
              <w:jc w:val="left"/>
            </w:pPr>
            <w:r>
              <w:t xml:space="preserve">Right-hand side of production rule is either a terminal or a terminal plus a variable</w:t>
            </w:r>
          </w:p>
        </w:tc>
      </w:tr>
    </w:tbl>
    <w:p>
      <w:pPr>
        <w:pStyle w:val="Heading2"/>
      </w:pPr>
      <w:bookmarkStart w:id="40" w:name="computational-complexity"/>
      <w:bookmarkEnd w:id="40"/>
      <w:r>
        <w:t xml:space="preserve">Computational complexity</w:t>
      </w:r>
    </w:p>
    <w:p>
      <w:pPr>
        <w:pStyle w:val="FirstParagraph"/>
      </w:pPr>
      <w:r>
        <w:rPr>
          <w:b/>
        </w:rPr>
        <w:t xml:space="preserve">Membership problem:</w:t>
      </w:r>
    </w:p>
    <w:p>
      <w:pPr>
        <w:pStyle w:val="BodyText"/>
      </w:pPr>
      <w:r>
        <w:t xml:space="preserve">Given a set of data over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does it belong to</w:t>
      </w:r>
      <w:r>
        <w:t xml:space="preserve"> </w:t>
      </w:r>
      <m:oMath>
        <m:r>
          <m:rPr/>
          <m:t>L</m:t>
        </m:r>
        <m:r>
          <m:rPr/>
          <m:t>(</m:t>
        </m:r>
        <m:r>
          <m:rPr/>
          <m:t>G</m:t>
        </m:r>
        <m:r>
          <m:rPr/>
          <m:t>)</m:t>
        </m:r>
      </m:oMath>
      <w:r>
        <w:t xml:space="preserve"> </w:t>
      </w:r>
      <w:r>
        <w:t xml:space="preserve">?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Membership problem decidable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Complexity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Undecidable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exponential complexity (NP-hard)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O</m:t>
              </m:r>
              <m:r>
                <m:rPr/>
                <m:t>(</m:t>
              </m:r>
              <m:sSup>
                <m:e>
                  <m:r>
                    <m:rPr/>
                    <m:t>n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rPr/>
                <m:t>O</m:t>
              </m:r>
              <m:r>
                <m:rPr/>
                <m:t>(</m:t>
              </m:r>
              <m:r>
                <m:rPr/>
                <m:t>n</m:t>
              </m:r>
              <m:r>
                <m:rPr/>
                <m:t>)</m:t>
              </m:r>
            </m:oMath>
            <w:r>
              <w:t xml:space="preserve"> </w:t>
            </w:r>
            <w:r>
              <w:t xml:space="preserve">(linear complexity)</w:t>
            </w:r>
          </w:p>
        </w:tc>
      </w:tr>
    </w:tbl>
    <w:p>
      <w:pPr>
        <w:pStyle w:val="Heading2"/>
      </w:pPr>
      <w:bookmarkStart w:id="41" w:name="recursion"/>
      <w:bookmarkEnd w:id="41"/>
      <w:r>
        <w:t xml:space="preserve">Recursion</w:t>
      </w:r>
    </w:p>
    <w:p>
      <w:pPr>
        <w:pStyle w:val="Compact"/>
        <w:numPr>
          <w:numId w:val="1005"/>
          <w:ilvl w:val="0"/>
        </w:numPr>
      </w:pPr>
      <w:r>
        <w:t xml:space="preserve">Production Rules can be recursive</w:t>
      </w:r>
    </w:p>
    <w:p>
      <w:pPr>
        <w:pStyle w:val="Compact"/>
        <w:numPr>
          <w:numId w:val="1005"/>
          <w:ilvl w:val="0"/>
        </w:numPr>
      </w:pPr>
      <w:r>
        <w:t xml:space="preserve">Recursion happens when variables appear (indirectly) on left and right-hand side of a production rule</w:t>
      </w:r>
    </w:p>
    <w:p>
      <w:pPr>
        <w:pStyle w:val="Compact"/>
        <w:numPr>
          <w:numId w:val="1005"/>
          <w:ilvl w:val="0"/>
        </w:numPr>
      </w:pPr>
      <w:r>
        <w:t xml:space="preserve">Often used in practice</w:t>
      </w:r>
    </w:p>
    <w:p>
      <w:pPr>
        <w:pStyle w:val="Compact"/>
        <w:numPr>
          <w:numId w:val="1005"/>
          <w:ilvl w:val="0"/>
        </w:numPr>
      </w:pPr>
      <w:r>
        <w:t xml:space="preserve">Example: Create a grammar for palindromes</w:t>
      </w:r>
    </w:p>
    <w:p>
      <w:pPr>
        <w:pStyle w:val="FigureWithCaption"/>
      </w:pPr>
      <w:r>
        <w:drawing>
          <wp:inline>
            <wp:extent cx="1854200" cy="1841500"/>
            <wp:effectExtent b="0" l="0" r="0" t="0"/>
            <wp:docPr descr="Photo by M Disdero - Taken at Oppede, Luberon, France - CC BY-SA 3.0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7/71/Sator_Square_at_Opp%C3%A8de.jpg/146px-Sator_Square_at_Opp%C3%A8d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M Disdero - Taken at Oppede, Luberon, France - CC BY-SA 3.0</w:t>
      </w:r>
    </w:p>
    <w:p>
      <w:pPr>
        <w:pStyle w:val="Heading2"/>
      </w:pPr>
      <w:bookmarkStart w:id="45" w:name="movie-grammar-of-happiness"/>
      <w:bookmarkEnd w:id="45"/>
      <w:r>
        <w:t xml:space="preserve">Movie: Grammar of happiness</w:t>
      </w:r>
    </w:p>
    <w:p>
      <w:pPr>
        <w:pStyle w:val="Heading1"/>
      </w:pPr>
      <w:bookmarkStart w:id="46" w:name="ebnf"/>
      <w:bookmarkEnd w:id="46"/>
      <w:r>
        <w:t xml:space="preserve">EBNF</w:t>
      </w:r>
    </w:p>
    <w:p>
      <w:pPr>
        <w:pStyle w:val="Heading2"/>
      </w:pPr>
      <w:bookmarkStart w:id="47" w:name="john-backus-1924---2007"/>
      <w:bookmarkEnd w:id="47"/>
      <w:r>
        <w:t xml:space="preserve">John Backus (1924 - 2007)</w:t>
      </w:r>
    </w:p>
    <w:p>
      <w:pPr>
        <w:pStyle w:val="FigureWithCaption"/>
      </w:pPr>
      <w:r>
        <w:drawing>
          <wp:inline>
            <wp:extent cx="2781300" cy="2628900"/>
            <wp:effectExtent b="0" l="0" r="0" t="0"/>
            <wp:docPr descr="John Backus" id="1" name="Picture"/>
            <a:graphic>
              <a:graphicData uri="http://schemas.openxmlformats.org/drawingml/2006/picture">
                <pic:pic>
                  <pic:nvPicPr>
                    <pic:cNvPr descr="http://amturing.acm.org/images/lg_aw/07035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John Backus</w:t>
      </w:r>
    </w:p>
    <w:p>
      <w:pPr>
        <w:pStyle w:val="BodyText"/>
      </w:pPr>
      <w:r>
        <w:rPr>
          <w:b/>
        </w:rPr>
        <w:t xml:space="preserve">Turing Award (1977)</w:t>
      </w:r>
    </w:p>
    <w:p>
      <w:pPr>
        <w:pStyle w:val="BodyText"/>
      </w:pPr>
      <w:r>
        <w:rPr>
          <w:i/>
        </w:rPr>
        <w:t xml:space="preserve">For profound, influential, and lasting contributions to the design of practical high-level programming systems, notably through his work on FORTRAN, and for seminal publication of formal procedures for the specification of programming languages.</w:t>
      </w:r>
    </w:p>
    <w:p>
      <w:pPr>
        <w:pStyle w:val="Heading2"/>
      </w:pPr>
      <w:bookmarkStart w:id="51" w:name="peter-naur-1928---2016"/>
      <w:bookmarkEnd w:id="51"/>
      <w:r>
        <w:t xml:space="preserve">Peter Naur (1928 - 2016)</w:t>
      </w:r>
    </w:p>
    <w:p>
      <w:pPr>
        <w:pStyle w:val="FigureWithCaption"/>
      </w:pPr>
      <w:r>
        <w:drawing>
          <wp:inline>
            <wp:extent cx="2781300" cy="2628900"/>
            <wp:effectExtent b="0" l="0" r="0" t="0"/>
            <wp:docPr descr="Peter Naur" id="1" name="Picture"/>
            <a:graphic>
              <a:graphicData uri="http://schemas.openxmlformats.org/drawingml/2006/picture">
                <pic:pic>
                  <pic:nvPicPr>
                    <pic:cNvPr descr="http://amturing.acm.org/images/lg_aw/102445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Peter Naur</w:t>
      </w:r>
    </w:p>
    <w:p>
      <w:pPr>
        <w:pStyle w:val="BodyText"/>
      </w:pPr>
      <w:r>
        <w:rPr>
          <w:b/>
        </w:rPr>
        <w:t xml:space="preserve">Turing Award (2005)</w:t>
      </w:r>
    </w:p>
    <w:p>
      <w:pPr>
        <w:pStyle w:val="BodyText"/>
      </w:pPr>
      <w:r>
        <w:rPr>
          <w:i/>
        </w:rPr>
        <w:t xml:space="preserve">For fundamental contributions to programming language design and the definition of Algol 60, to compiler design, and to the art and practice of computer programming.</w:t>
      </w:r>
    </w:p>
    <w:p>
      <w:pPr>
        <w:pStyle w:val="Heading2"/>
      </w:pPr>
      <w:bookmarkStart w:id="55" w:name="ebnf---extended-backus-naur-form"/>
      <w:bookmarkEnd w:id="55"/>
      <w:r>
        <w:t xml:space="preserve">EBNF - Extended Backus-Naur Form</w:t>
      </w:r>
    </w:p>
    <w:p>
      <w:pPr>
        <w:pStyle w:val="FirstParagraph"/>
      </w:pPr>
      <w:r>
        <w:rPr>
          <w:b/>
        </w:rPr>
        <w:t xml:space="preserve">Meta syntax</w:t>
      </w:r>
      <w:r>
        <w:t xml:space="preserve"> </w:t>
      </w:r>
      <w:r>
        <w:t xml:space="preserve">(Meta language) for definition of context free grammars</w:t>
      </w:r>
    </w:p>
    <w:p>
      <w:pPr>
        <w:pStyle w:val="Compact"/>
        <w:numPr>
          <w:numId w:val="1006"/>
          <w:ilvl w:val="0"/>
        </w:numPr>
      </w:pPr>
      <w:r>
        <w:t xml:space="preserve">Definitions are inline of production rules</w:t>
      </w:r>
    </w:p>
    <w:p>
      <w:pPr>
        <w:pStyle w:val="Compact"/>
        <w:numPr>
          <w:numId w:val="1007"/>
          <w:ilvl w:val="1"/>
        </w:numPr>
      </w:pPr>
      <w:r>
        <w:t xml:space="preserve">Terminal symbols (Alphabet)</w:t>
      </w:r>
    </w:p>
    <w:p>
      <w:pPr>
        <w:pStyle w:val="Compact"/>
        <w:numPr>
          <w:numId w:val="1007"/>
          <w:ilvl w:val="1"/>
        </w:numPr>
      </w:pPr>
      <w:r>
        <w:t xml:space="preserve">Non-Terminal symbols (Variables)</w:t>
      </w:r>
    </w:p>
    <w:p>
      <w:pPr>
        <w:pStyle w:val="Compact"/>
        <w:numPr>
          <w:numId w:val="1006"/>
          <w:ilvl w:val="0"/>
        </w:numPr>
      </w:pPr>
      <w:r>
        <w:t xml:space="preserve">Standard: ISO/IEC 14977:1996(E)</w:t>
      </w:r>
    </w:p>
    <w:p>
      <w:pPr>
        <w:pStyle w:val="Compact"/>
        <w:numPr>
          <w:numId w:val="1006"/>
          <w:ilvl w:val="0"/>
        </w:numPr>
      </w:pPr>
      <w:r>
        <w:t xml:space="preserve">Extended by Niklaus Wirth (ETH) to create a formal definition of the computer language Pascal</w:t>
      </w:r>
    </w:p>
    <w:p>
      <w:pPr>
        <w:pStyle w:val="Heading2"/>
      </w:pPr>
      <w:bookmarkStart w:id="56" w:name="ebnf-example"/>
      <w:bookmarkEnd w:id="56"/>
      <w:r>
        <w:t xml:space="preserve">EBNF Example</w:t>
      </w:r>
    </w:p>
    <w:p>
      <w:pPr>
        <w:pStyle w:val="SourceCode"/>
      </w:pPr>
      <w:r>
        <w:rPr>
          <w:rStyle w:val="VerbatimChar"/>
        </w:rPr>
        <w:t xml:space="preserve">twelve = "1", "2";</w:t>
      </w:r>
      <w:r>
        <w:br w:type="textWrapping"/>
      </w:r>
      <w:r>
        <w:rPr>
          <w:rStyle w:val="VerbatimChar"/>
        </w:rPr>
        <w:t xml:space="preserve">non-zero-number = "1" | "2" | "3" | "4" | "5" | "6" | "7" | "8" | "9" ; </w:t>
      </w:r>
      <w:r>
        <w:br w:type="textWrapping"/>
      </w:r>
      <w:r>
        <w:rPr>
          <w:rStyle w:val="VerbatimChar"/>
        </w:rPr>
        <w:t xml:space="preserve">digit = "0" | non-zero-number ; </w:t>
      </w:r>
      <w:r>
        <w:br w:type="textWrapping"/>
      </w:r>
      <w:r>
        <w:rPr>
          <w:rStyle w:val="VerbatimChar"/>
        </w:rPr>
        <w:t xml:space="preserve">natural-number = non-zero-number, { Digit } ; </w:t>
      </w:r>
      <w:r>
        <w:br w:type="textWrapping"/>
      </w:r>
      <w:r>
        <w:rPr>
          <w:rStyle w:val="VerbatimChar"/>
        </w:rPr>
        <w:t xml:space="preserve">integer = "0" | [ "-" ], natural-number ; </w:t>
      </w:r>
    </w:p>
    <w:p>
      <w:pPr>
        <w:pStyle w:val="Heading2"/>
      </w:pPr>
      <w:bookmarkStart w:id="57" w:name="ebnf-symbols"/>
      <w:bookmarkEnd w:id="57"/>
      <w:r>
        <w:t xml:space="preserve">EBNF symbols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concatenation</w:t>
            </w:r>
          </w:p>
        </w:tc>
        <w:tc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termination</w:t>
            </w:r>
          </w:p>
        </w:tc>
        <w:tc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alternation</w:t>
            </w:r>
          </w:p>
        </w:tc>
        <w:tc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p>
            <w:pPr>
              <w:pStyle w:val="Compact"/>
              <w:jc w:val="left"/>
            </w:pPr>
            <w:r>
              <w:t xml:space="preserve">[ ... 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repetition</w:t>
            </w:r>
          </w:p>
        </w:tc>
        <w:tc>
          <w:p>
            <w:pPr>
              <w:pStyle w:val="Compact"/>
              <w:jc w:val="left"/>
            </w:pPr>
            <w:r>
              <w:t xml:space="preserve">{ ... 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p>
            <w:pPr>
              <w:pStyle w:val="Compact"/>
              <w:jc w:val="left"/>
            </w:pPr>
            <w:r>
              <w:t xml:space="preserve">( ...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terminal string</w:t>
            </w:r>
          </w:p>
        </w:tc>
        <w:tc>
          <w:p>
            <w:pPr>
              <w:pStyle w:val="Compact"/>
              <w:jc w:val="left"/>
            </w:pPr>
            <w:r>
              <w:t xml:space="preserve">" ... " or ' ... '</w:t>
            </w:r>
          </w:p>
        </w:tc>
      </w:tr>
    </w:tbl>
    <w:p>
      <w:pPr>
        <w:pStyle w:val="Heading1"/>
      </w:pPr>
      <w:bookmarkStart w:id="58" w:name="parsers"/>
      <w:bookmarkEnd w:id="58"/>
      <w:r>
        <w:t xml:space="preserve">Parsers</w:t>
      </w:r>
    </w:p>
    <w:p>
      <w:pPr>
        <w:pStyle w:val="Heading2"/>
      </w:pPr>
      <w:bookmarkStart w:id="59" w:name="parser"/>
      <w:bookmarkEnd w:id="59"/>
      <w:r>
        <w:t xml:space="preserve">Parser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parser</w:t>
      </w:r>
      <w:r>
        <w:t xml:space="preserve"> </w:t>
      </w:r>
      <w:r>
        <w:t xml:space="preserve">is a computer program that</w:t>
      </w:r>
    </w:p>
    <w:p>
      <w:pPr>
        <w:pStyle w:val="Compact"/>
        <w:numPr>
          <w:numId w:val="1008"/>
          <w:ilvl w:val="0"/>
        </w:numPr>
      </w:pPr>
      <w:r>
        <w:t xml:space="preserve">performs lexical and syntactic analysis</w:t>
      </w:r>
    </w:p>
    <w:p>
      <w:pPr>
        <w:pStyle w:val="Compact"/>
        <w:numPr>
          <w:numId w:val="1008"/>
          <w:ilvl w:val="0"/>
        </w:numPr>
      </w:pPr>
      <w:r>
        <w:t xml:space="preserve">analyses whether data conforms to a formal grammar</w:t>
      </w:r>
    </w:p>
    <w:p>
      <w:pPr>
        <w:pStyle w:val="Compact"/>
        <w:numPr>
          <w:numId w:val="1008"/>
          <w:ilvl w:val="0"/>
        </w:numPr>
      </w:pPr>
      <w:r>
        <w:t xml:space="preserve">creates an object representation of the data that can be used within programs</w:t>
      </w:r>
    </w:p>
    <w:p>
      <w:pPr>
        <w:pStyle w:val="Compact"/>
        <w:numPr>
          <w:numId w:val="1008"/>
          <w:ilvl w:val="0"/>
        </w:numPr>
      </w:pPr>
      <w:r>
        <w:t xml:space="preserve">provides meaningful error messages and reporting</w:t>
      </w:r>
    </w:p>
    <w:p>
      <w:pPr>
        <w:pStyle w:val="Compact"/>
        <w:numPr>
          <w:numId w:val="1008"/>
          <w:ilvl w:val="0"/>
        </w:numPr>
      </w:pPr>
      <w:r>
        <w:t xml:space="preserve">is mostly generated from a grammar via generators</w:t>
      </w:r>
    </w:p>
    <w:p>
      <w:pPr>
        <w:pStyle w:val="Compact"/>
        <w:numPr>
          <w:numId w:val="1008"/>
          <w:ilvl w:val="0"/>
        </w:numPr>
      </w:pPr>
      <w:r>
        <w:t xml:space="preserve">is always part of compilers and interpreters that translate computer programs into executable binary code</w:t>
      </w:r>
    </w:p>
    <w:p>
      <w:pPr>
        <w:pStyle w:val="Heading2"/>
      </w:pPr>
      <w:bookmarkStart w:id="60" w:name="jeg.js"/>
      <w:bookmarkEnd w:id="60"/>
      <w:r>
        <w:t xml:space="preserve">JEG.js</w:t>
      </w:r>
    </w:p>
    <w:p>
      <w:pPr>
        <w:pStyle w:val="FirstParagraph"/>
      </w:pPr>
      <w:hyperlink r:id="rId61">
        <w:r>
          <w:rPr>
            <w:rStyle w:val="Hyperlink"/>
          </w:rPr>
          <w:t xml:space="preserve">Parser generator written in JavaScript</w:t>
        </w:r>
      </w:hyperlink>
    </w:p>
    <w:p>
      <w:pPr>
        <w:pStyle w:val="Compact"/>
        <w:numPr>
          <w:numId w:val="1009"/>
          <w:ilvl w:val="0"/>
        </w:numPr>
      </w:pPr>
      <w:r>
        <w:t xml:space="preserve">Creates a parser program based on a grammar</w:t>
      </w:r>
    </w:p>
    <w:p>
      <w:pPr>
        <w:pStyle w:val="Compact"/>
        <w:numPr>
          <w:numId w:val="1009"/>
          <w:ilvl w:val="0"/>
        </w:numPr>
      </w:pPr>
      <w:r>
        <w:t xml:space="preserve">Metasyntax goes beyond EBNF</w:t>
      </w:r>
    </w:p>
    <w:p>
      <w:pPr>
        <w:pStyle w:val="Compact"/>
        <w:numPr>
          <w:numId w:val="1010"/>
          <w:ilvl w:val="1"/>
        </w:numPr>
      </w:pPr>
      <w:r>
        <w:t xml:space="preserve">Embeds code fragments into production rules</w:t>
      </w:r>
    </w:p>
    <w:p>
      <w:pPr>
        <w:pStyle w:val="Compact"/>
        <w:numPr>
          <w:numId w:val="1010"/>
          <w:ilvl w:val="1"/>
        </w:numPr>
      </w:pPr>
      <w:r>
        <w:t xml:space="preserve">Binds non-terminals in grammar to variables in code</w:t>
      </w:r>
    </w:p>
    <w:p>
      <w:pPr>
        <w:pStyle w:val="Compact"/>
        <w:numPr>
          <w:numId w:val="1010"/>
          <w:ilvl w:val="1"/>
        </w:numPr>
      </w:pPr>
      <w:r>
        <w:t xml:space="preserve">Embedded code executed while processing data</w:t>
      </w:r>
    </w:p>
    <w:p>
      <w:pPr>
        <w:pStyle w:val="Compact"/>
        <w:numPr>
          <w:numId w:val="1009"/>
          <w:ilvl w:val="0"/>
        </w:numPr>
      </w:pPr>
      <w:r>
        <w:t xml:space="preserve">Generated parser is itself a JavaScript program</w:t>
      </w:r>
    </w:p>
    <w:p>
      <w:pPr>
        <w:pStyle w:val="Compact"/>
        <w:numPr>
          <w:numId w:val="1011"/>
          <w:ilvl w:val="1"/>
        </w:numPr>
      </w:pPr>
      <w:r>
        <w:t xml:space="preserve">typically downloaded and embedded into own JavaScript programs (and Websites)</w:t>
      </w:r>
    </w:p>
    <w:p>
      <w:pPr>
        <w:pStyle w:val="Compact"/>
        <w:numPr>
          <w:numId w:val="1011"/>
          <w:ilvl w:val="1"/>
        </w:numPr>
      </w:pPr>
      <w:r>
        <w:t xml:space="preserve">executed by the browser (or in other JS environments)</w:t>
      </w:r>
    </w:p>
    <w:p>
      <w:pPr>
        <w:pStyle w:val="Heading2"/>
      </w:pPr>
      <w:bookmarkStart w:id="62" w:name="jeg.js-example-and-exercise"/>
      <w:bookmarkEnd w:id="62"/>
      <w:r>
        <w:t xml:space="preserve">JEG.js example and exercise</w:t>
      </w:r>
    </w:p>
    <w:p>
      <w:pPr>
        <w:pStyle w:val="Compact"/>
        <w:numPr>
          <w:numId w:val="1012"/>
          <w:ilvl w:val="0"/>
        </w:numPr>
      </w:pPr>
      <w:r>
        <w:t xml:space="preserve">Example:</w:t>
      </w:r>
      <w:r>
        <w:t xml:space="preserve"> </w:t>
      </w:r>
      <w:hyperlink r:id="rId61">
        <w:r>
          <w:rPr>
            <w:rStyle w:val="Hyperlink"/>
          </w:rPr>
          <w:t xml:space="preserve">Simple grammar for basic arithmetics</w:t>
        </w:r>
      </w:hyperlink>
    </w:p>
    <w:p>
      <w:pPr>
        <w:pStyle w:val="Compact"/>
        <w:numPr>
          <w:numId w:val="1012"/>
          <w:ilvl w:val="0"/>
        </w:numPr>
      </w:pPr>
      <w:r>
        <w:t xml:space="preserve">Exercise: Change the grammar to allow division with remainder (modulo) using</w:t>
      </w:r>
      <w:r>
        <w:t xml:space="preserve"> </w:t>
      </w:r>
      <w:r>
        <w:rPr>
          <w:b/>
        </w:rPr>
        <w:t xml:space="preserve">%</w:t>
      </w:r>
      <w:r>
        <w:t xml:space="preserve"> </w:t>
      </w:r>
      <w:r>
        <w:t xml:space="preserve">notation</w:t>
      </w:r>
    </w:p>
    <w:p>
      <w:pPr>
        <w:pStyle w:val="Heading1"/>
      </w:pPr>
      <w:bookmarkStart w:id="63" w:name="student-evaluation"/>
      <w:bookmarkEnd w:id="63"/>
      <w:r>
        <w:t xml:space="preserve">Student Evaluation</w:t>
      </w:r>
    </w:p>
    <w:p>
      <w:pPr>
        <w:pStyle w:val="Heading2"/>
      </w:pPr>
      <w:bookmarkStart w:id="64" w:name="please-participate-in-the-questionaire"/>
      <w:bookmarkEnd w:id="64"/>
      <w:r>
        <w:t xml:space="preserve">Please participate in the questionaire</w:t>
      </w:r>
    </w:p>
    <w:p>
      <w:pPr>
        <w:pStyle w:val="Compact"/>
      </w:pPr>
      <w:r>
        <w:t xml:space="preserve">Wird geladen...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172d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756a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26" Target="media/rId26.gif" /><Relationship Type="http://schemas.openxmlformats.org/officeDocument/2006/relationships/image" Id="rId37" Target="media/rId37.jpg" /><Relationship Type="http://schemas.openxmlformats.org/officeDocument/2006/relationships/image" Id="rId44" Target="media/rId44.jpg" /><Relationship Type="http://schemas.openxmlformats.org/officeDocument/2006/relationships/image" Id="rId31" Target="media/rId31.png" /><Relationship Type="http://schemas.openxmlformats.org/officeDocument/2006/relationships/hyperlink" Id="rId27" Target="http://ascii-table.com/" TargetMode="External" /><Relationship Type="http://schemas.openxmlformats.org/officeDocument/2006/relationships/hyperlink" Id="rId38" Target="http://flickr.com/photos/thelastminute/97182354/in/set-72057594061270615/" TargetMode="External" /><Relationship Type="http://schemas.openxmlformats.org/officeDocument/2006/relationships/hyperlink" Id="rId61" Target="http://pegjs.org/onlin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ascii-table.com/" TargetMode="External" /><Relationship Type="http://schemas.openxmlformats.org/officeDocument/2006/relationships/hyperlink" Id="rId38" Target="http://flickr.com/photos/thelastminute/97182354/in/set-72057594061270615/" TargetMode="External" /><Relationship Type="http://schemas.openxmlformats.org/officeDocument/2006/relationships/hyperlink" Id="rId61" Target="http://pegjs.org/onl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Alphabet Encodings and Formal languages</dc:title>
  <dc:creator>Prof. Dr. Raphael Volz</dc:creator>
</cp:coreProperties>
</file>