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Plattform für gemeinsame Erlebnisse im Alter</w:t>
      </w:r>
    </w:p>
    <w:p>
      <w:pPr>
        <w:pStyle w:val="Subtitle"/>
        <w:pBdr>
          <w:bottom w:val="single" w:sz="12" w:color="2A726B" w:space="8"/>
        </w:pBdr>
      </w:pPr>
      <w:r>
        <w:t>Deep-Research-Markt- und Produktanalyse</w:t>
      </w:r>
    </w:p>
    <w:p>
      <w:pPr>
        <w:pStyle w:val="Heading1"/>
      </w:pPr>
      <w:r>
        <w:t>Deep-Research-Markt- und Produktanalyse</w:t>
      </w:r>
    </w:p>
    <w:p>
      <w:r>
        <w:rPr>
          <w:b/>
        </w:rPr>
        <w:t>Zielgruppe:</w:t>
      </w:r>
      <w:r>
        <w:t xml:space="preserve"> Gründerteam Kreativ Solutions GmbH</w:t>
      </w:r>
    </w:p>
    <w:p>
      <w:r>
        <w:rPr>
          <w:b/>
        </w:rPr>
        <w:t>Stand:</w:t>
      </w:r>
      <w:r>
        <w:t xml:space="preserve"> 28. August 2026</w:t>
      </w:r>
    </w:p>
    <w:p>
      <w:r>
        <w:rPr>
          <w:b/>
        </w:rPr>
        <w:t>Geografie:</w:t>
      </w:r>
      <w:r>
        <w:t xml:space="preserve"> Schweiz als Startmarkt; Deutschland als spätere Expansion</w:t>
      </w:r>
    </w:p>
    <w:p>
      <w:r>
        <w:rPr>
          <w:b/>
        </w:rPr>
        <w:t>Arbeitsannahme:</w:t>
      </w:r>
      <w:r>
        <w:t xml:space="preserve"> Aufbau einer transaktionsfähigen Erlebnis- und Begegnungsplattform, nicht einer Dating-App und nicht eines blossen Eventkalenders.</w:t>
      </w:r>
    </w:p>
    <w:p>
      <w:pPr>
        <w:pStyle w:val="Heading1"/>
      </w:pPr>
      <w:r>
        <w:t>Direkte Antwort</w:t>
      </w:r>
    </w:p>
    <w:p>
      <w:r>
        <w:t>Die Idee löst ein reales, wachsendes Problem und hat in der Schweiz einen erkennbaren Differenzierungsraum. Sie ist aber nicht konkurrenzlos. Allgemeine Freizeit-Communities, Seniorennetzwerke, Pro Senectute sowie Event- und Ticketplattformen decken jeweils Teile der Idee ab. Erfolgversprechend ist deshalb nicht «noch eine Senioren-Community», sondern eine klarere Kombination:</w:t>
      </w:r>
    </w:p>
    <w:p>
      <w:pPr>
        <w:spacing w:before="100" w:after="160"/>
        <w:ind w:left="432" w:right="288"/>
        <w:pBdr>
          <w:left w:val="single" w:sz="18" w:color="2A726B" w:space="10"/>
        </w:pBdr>
      </w:pPr>
      <w:r>
        <w:rPr>
          <w:b/>
          <w:color w:val="2A726B"/>
          <w:sz w:val="26"/>
        </w:rPr>
        <w:t>Vertrauenswürdige, seniorengerechte Kleingruppen-Erlebnisse, die verbindlich entdeckt, gemeinsam gebucht und sicher besucht werden können.</w:t>
      </w:r>
    </w:p>
    <w:p>
      <w:r>
        <w:t>Die Plattform sollte für Teilnehmende kostenlos bleiben. Geld sollte primär bei erfolgreich vermittelten, bezahlten Buchungen sowie optionalen B2B-Leistungen verdient werden. Eine pauschale Provision von 10 % ist als Testwert vertretbar, aber für reine Inserate zu hoch und für betreute, nachfragegenerierende Angebote möglicherweise angemessen. Empfohlen ist ein gestuftes Modell.</w:t>
      </w:r>
    </w:p>
    <w:p>
      <w:r>
        <w:t>Eine Chatfunktion ist sinnvoll, aber nur ereignisbezogen und kontrolliert. Ein öffentliches, stark persönliches Social-Media-Profil ist für den Start nicht nötig und erhöht Moderations-, Datenschutz- und Betrugsrisiken. Sinnvoller ist ein zurückhaltender Steckbrief mit Vorname, ungefährem Alter, Region, Interessen, Sprachen, Mobilität und freiwilligem Foto.</w:t>
      </w:r>
    </w:p>
    <w:p>
      <w:pPr>
        <w:pStyle w:val="Heading1"/>
      </w:pPr>
      <w:r>
        <w:t>1. Warum der Markt relevant ist</w:t>
      </w:r>
    </w:p>
    <w:p>
      <w:r>
        <w:t>Die Schweiz zählte 2025 rund 1,81 Millionen Menschen ab 65 Jahren: 1'267'528 Personen zwischen 65 und 79 sowie 543'120 Personen ab 80. Ende 2024 waren es rund 1,8 Millionen; das Bundesamt für Statistik erwartet bis 2055 etwa 2,7 Millionen. Das ist ein strukturell wachsender Markt, nicht ein kurzfristiger Trend.[1][2]</w:t>
      </w:r>
    </w:p>
    <w:p>
      <w:r>
        <w:t>Das Programm «connect! – gemeinsam weniger einsam» beziffert den Anteil der zu Hause lebenden älteren Menschen, die sich ziemlich oder sehr häufig einsam fühlen, auf 5–9 %, entsprechend etwa 80'000–150'000 Personen ab 65. Einsamkeit ist dabei nicht nur fehlender Kontakt, sondern kann auch fehlende Qualität und Zugehörigkeit bedeuten.[3]</w:t>
      </w:r>
    </w:p>
    <w:p>
      <w:r>
        <w:t>Gleichzeitig ist «Senior» keine homogene Kategorie. Gemäss BFS hat sich der subjektiv empfundene Beginn des Altseins auf ungefähr 80 Jahre verschoben.[4] Eine Marke, die Menschen ab 65 pauschal als hilfsbedürftig oder einsam darstellt, dürfte viele aktive Pensionierte abstossen. Die Plattform sollte deshalb das positive Ziel – gemeinsame Erlebnisse, Zugehörigkeit und unkompliziertes Mitmachen – in den Vordergrund stellen.</w:t>
      </w:r>
    </w:p>
    <w:p>
      <w:r>
        <w:t>Die digitale Erreichbarkeit ist heute deutlich besser als das verbreitete Klischee vermuten lässt: Die Studie «Digital Seniors 2025» berichtet, dass neun von zehn Personen über 65 online sind. Zugleich unterscheiden sich digitale Kompetenzen stark, besonders im hohen Alter.[5] Das spricht für Web und App, aber ebenso für telefonische Hilfe, Gastbuchung und sehr einfache Abläufe.</w:t>
      </w:r>
    </w:p>
    <w:p>
      <w:pPr>
        <w:pStyle w:val="Heading1"/>
      </w:pPr>
      <w:r>
        <w:t>2. Wettbewerbslandschaft Schweiz</w:t>
      </w:r>
    </w:p>
    <w:p>
      <w:pPr>
        <w:pStyle w:val="Heading2"/>
      </w:pPr>
      <w:r>
        <w:t>Direkte und nahe Wettbewerber</w:t>
      </w:r>
    </w:p>
    <w:tbl>
      <w:tblPr>
        <w:tblW w:type="auto" w:w="0"/>
        <w:jc w:val="left"/>
        <w:tblLayout w:type="fixed"/>
        <w:tblLook w:firstColumn="1" w:firstRow="1" w:lastColumn="0" w:lastRow="0" w:noHBand="0" w:noVBand="1" w:val="04A0"/>
        <w:tblBorders>
          <w:top w:val="single" w:sz="4" w:color="CDD5DB"/>
          <w:left w:val="single" w:sz="4" w:color="CDD5DB"/>
          <w:bottom w:val="single" w:sz="4" w:color="CDD5DB"/>
          <w:right w:val="single" w:sz="4" w:color="CDD5DB"/>
          <w:insideH w:val="single" w:sz="4" w:color="CDD5DB"/>
          <w:insideV w:val="single" w:sz="4" w:color="CDD5DB"/>
        </w:tblBorders>
      </w:tblPr>
      <w:tblGrid>
        <w:gridCol w:w="2412"/>
        <w:gridCol w:w="2412"/>
        <w:gridCol w:w="2412"/>
        <w:gridCol w:w="2412"/>
      </w:tblGrid>
      <w:tr>
        <w:trPr>
          <w:tblHeader w:val="true"/>
        </w:trPr>
        <w:tc>
          <w:tcPr>
            <w:tcW w:type="dxa" w:w="1800"/>
            <w:vAlign w:val="top"/>
            <w:shd w:fill="1E2A38"/>
          </w:tcPr>
          <w:p>
            <w:r>
              <w:rPr>
                <w:b/>
                <w:color w:val="FFFFFF"/>
                <w:sz w:val="17"/>
              </w:rPr>
            </w:r>
            <w:r>
              <w:rPr>
                <w:b/>
                <w:color w:val="FFFFFF"/>
                <w:sz w:val="17"/>
              </w:rPr>
              <w:t>Angebot</w:t>
            </w:r>
          </w:p>
        </w:tc>
        <w:tc>
          <w:tcPr>
            <w:tcW w:type="dxa" w:w="2900"/>
            <w:vAlign w:val="top"/>
            <w:shd w:fill="1E2A38"/>
          </w:tcPr>
          <w:p>
            <w:r>
              <w:rPr>
                <w:b/>
                <w:color w:val="FFFFFF"/>
                <w:sz w:val="17"/>
              </w:rPr>
            </w:r>
            <w:r>
              <w:rPr>
                <w:b/>
                <w:color w:val="FFFFFF"/>
                <w:sz w:val="17"/>
              </w:rPr>
              <w:t>Positionierung und Funktionen</w:t>
            </w:r>
          </w:p>
        </w:tc>
        <w:tc>
          <w:tcPr>
            <w:tcW w:type="dxa" w:w="2100"/>
            <w:vAlign w:val="top"/>
            <w:shd w:fill="1E2A38"/>
          </w:tcPr>
          <w:p>
            <w:r>
              <w:rPr>
                <w:b/>
                <w:color w:val="FFFFFF"/>
                <w:sz w:val="17"/>
              </w:rPr>
            </w:r>
            <w:r>
              <w:rPr>
                <w:b/>
                <w:color w:val="FFFFFF"/>
                <w:sz w:val="17"/>
              </w:rPr>
              <w:t>Stärke</w:t>
            </w:r>
          </w:p>
        </w:tc>
        <w:tc>
          <w:tcPr>
            <w:tcW w:type="dxa" w:w="2560"/>
            <w:vAlign w:val="top"/>
            <w:shd w:fill="1E2A38"/>
          </w:tcPr>
          <w:p>
            <w:r>
              <w:rPr>
                <w:b/>
                <w:color w:val="FFFFFF"/>
                <w:sz w:val="17"/>
              </w:rPr>
            </w:r>
            <w:r>
              <w:rPr>
                <w:b/>
                <w:color w:val="FFFFFF"/>
                <w:sz w:val="17"/>
              </w:rPr>
              <w:t>Offener Raum für das Konzept</w:t>
            </w:r>
          </w:p>
        </w:tc>
      </w:tr>
      <w:tr>
        <w:tc>
          <w:tcPr>
            <w:tcW w:type="dxa" w:w="1800"/>
            <w:vAlign w:val="top"/>
          </w:tcPr>
          <w:p>
            <w:r>
              <w:rPr>
                <w:color w:val="1E2A38"/>
                <w:sz w:val="17"/>
              </w:rPr>
            </w:r>
            <w:r>
              <w:rPr>
                <w:color w:val="1E2A38"/>
                <w:sz w:val="17"/>
              </w:rPr>
              <w:t>Freizeit60Plus / GemeinsamErleben</w:t>
            </w:r>
          </w:p>
        </w:tc>
        <w:tc>
          <w:tcPr>
            <w:tcW w:type="dxa" w:w="2900"/>
            <w:vAlign w:val="top"/>
          </w:tcPr>
          <w:p>
            <w:r>
              <w:rPr>
                <w:color w:val="1E2A38"/>
                <w:sz w:val="17"/>
              </w:rPr>
            </w:r>
            <w:r>
              <w:rPr>
                <w:color w:val="1E2A38"/>
                <w:sz w:val="17"/>
              </w:rPr>
              <w:t>Profile, Aktivitäten, Gruppen, Events, Gruppenchat und private Kontakte; Grundfunktionen kostenlos; in CH, DE und AT verfügbar.[6]</w:t>
            </w:r>
          </w:p>
        </w:tc>
        <w:tc>
          <w:tcPr>
            <w:tcW w:type="dxa" w:w="2100"/>
            <w:vAlign w:val="top"/>
          </w:tcPr>
          <w:p>
            <w:r>
              <w:rPr>
                <w:color w:val="1E2A38"/>
                <w:sz w:val="17"/>
              </w:rPr>
            </w:r>
            <w:r>
              <w:rPr>
                <w:color w:val="1E2A38"/>
                <w:sz w:val="17"/>
              </w:rPr>
              <w:t>Grösste direkte funktionale Überschneidung; GemeinsamErleben nennt über 1,5 Mio. registrierte Mitglieder und bietet B2B-Eventmarketing.[7]</w:t>
            </w:r>
          </w:p>
        </w:tc>
        <w:tc>
          <w:tcPr>
            <w:tcW w:type="dxa" w:w="2560"/>
            <w:vAlign w:val="top"/>
          </w:tcPr>
          <w:p>
            <w:r>
              <w:rPr>
                <w:color w:val="1E2A38"/>
                <w:sz w:val="17"/>
              </w:rPr>
            </w:r>
            <w:r>
              <w:rPr>
                <w:color w:val="1E2A38"/>
                <w:sz w:val="17"/>
              </w:rPr>
              <w:t>Nicht primär eine kuratierte Schweizer Buchungsplattform mit integrierter Anbietertransaktion, Senior-Support und verbindlichem Kleingruppenstandard.</w:t>
            </w:r>
          </w:p>
        </w:tc>
      </w:tr>
      <w:tr>
        <w:tc>
          <w:tcPr>
            <w:tcW w:type="dxa" w:w="1800"/>
            <w:vAlign w:val="top"/>
            <w:shd w:fill="F3F5F7"/>
          </w:tcPr>
          <w:p>
            <w:r>
              <w:rPr>
                <w:color w:val="1E2A38"/>
                <w:sz w:val="17"/>
              </w:rPr>
            </w:r>
            <w:r>
              <w:rPr>
                <w:color w:val="1E2A38"/>
                <w:sz w:val="17"/>
              </w:rPr>
              <w:t>Sozialkontakt.ch</w:t>
            </w:r>
          </w:p>
        </w:tc>
        <w:tc>
          <w:tcPr>
            <w:tcW w:type="dxa" w:w="2900"/>
            <w:vAlign w:val="top"/>
            <w:shd w:fill="F3F5F7"/>
          </w:tcPr>
          <w:p>
            <w:r>
              <w:rPr>
                <w:color w:val="1E2A38"/>
                <w:sz w:val="17"/>
              </w:rPr>
            </w:r>
            <w:r>
              <w:rPr>
                <w:color w:val="1E2A38"/>
                <w:sz w:val="17"/>
              </w:rPr>
              <w:t>Schweizer, ortsbezogene und kostenlose Kontaktsuche nach Interessen; nennt 2,5 Mio. Besuche pro Jahr.[8]</w:t>
            </w:r>
          </w:p>
        </w:tc>
        <w:tc>
          <w:tcPr>
            <w:tcW w:type="dxa" w:w="2100"/>
            <w:vAlign w:val="top"/>
            <w:shd w:fill="F3F5F7"/>
          </w:tcPr>
          <w:p>
            <w:r>
              <w:rPr>
                <w:color w:val="1E2A38"/>
                <w:sz w:val="17"/>
              </w:rPr>
            </w:r>
            <w:r>
              <w:rPr>
                <w:color w:val="1E2A38"/>
                <w:sz w:val="17"/>
              </w:rPr>
              <w:t>Bekanntheit, lokale Kontaktsuche, kostenlos.</w:t>
            </w:r>
          </w:p>
        </w:tc>
        <w:tc>
          <w:tcPr>
            <w:tcW w:type="dxa" w:w="2560"/>
            <w:vAlign w:val="top"/>
            <w:shd w:fill="F3F5F7"/>
          </w:tcPr>
          <w:p>
            <w:r>
              <w:rPr>
                <w:color w:val="1E2A38"/>
                <w:sz w:val="17"/>
              </w:rPr>
            </w:r>
            <w:r>
              <w:rPr>
                <w:color w:val="1E2A38"/>
                <w:sz w:val="17"/>
              </w:rPr>
              <w:t>Eher Kontaktbörse als kuratierter Erlebnis-Marktplatz mit Buchung, Mindestzahl und Warteliste.</w:t>
            </w:r>
          </w:p>
        </w:tc>
      </w:tr>
      <w:tr>
        <w:tc>
          <w:tcPr>
            <w:tcW w:type="dxa" w:w="1800"/>
            <w:vAlign w:val="top"/>
          </w:tcPr>
          <w:p>
            <w:r>
              <w:rPr>
                <w:color w:val="1E2A38"/>
                <w:sz w:val="17"/>
              </w:rPr>
            </w:r>
            <w:r>
              <w:rPr>
                <w:color w:val="1E2A38"/>
                <w:sz w:val="17"/>
              </w:rPr>
              <w:t>Pro Senectute</w:t>
            </w:r>
          </w:p>
        </w:tc>
        <w:tc>
          <w:tcPr>
            <w:tcW w:type="dxa" w:w="2900"/>
            <w:vAlign w:val="top"/>
          </w:tcPr>
          <w:p>
            <w:r>
              <w:rPr>
                <w:color w:val="1E2A38"/>
                <w:sz w:val="17"/>
              </w:rPr>
            </w:r>
            <w:r>
              <w:rPr>
                <w:color w:val="1E2A38"/>
                <w:sz w:val="17"/>
              </w:rPr>
              <w:t>Umfangreiche regionale Kurse, Sport, Kultur, Treffen und Reisen; teils Online-, Telefon- und E-Mail-Anmeldung.[9]</w:t>
            </w:r>
          </w:p>
        </w:tc>
        <w:tc>
          <w:tcPr>
            <w:tcW w:type="dxa" w:w="2100"/>
            <w:vAlign w:val="top"/>
          </w:tcPr>
          <w:p>
            <w:r>
              <w:rPr>
                <w:color w:val="1E2A38"/>
                <w:sz w:val="17"/>
              </w:rPr>
            </w:r>
            <w:r>
              <w:rPr>
                <w:color w:val="1E2A38"/>
                <w:sz w:val="17"/>
              </w:rPr>
              <w:t>Sehr hohes Vertrauen und starke lokale Präsenz.</w:t>
            </w:r>
          </w:p>
        </w:tc>
        <w:tc>
          <w:tcPr>
            <w:tcW w:type="dxa" w:w="2560"/>
            <w:vAlign w:val="top"/>
          </w:tcPr>
          <w:p>
            <w:r>
              <w:rPr>
                <w:color w:val="1E2A38"/>
                <w:sz w:val="17"/>
              </w:rPr>
            </w:r>
            <w:r>
              <w:rPr>
                <w:color w:val="1E2A38"/>
                <w:sz w:val="17"/>
              </w:rPr>
              <w:t>Angebote sind institutionell und kantonal fragmentiert; keine offene, anbieterübergreifende Community- und Marktplatzlogik. Potenzieller Partner statt nur Konkurrent.</w:t>
            </w:r>
          </w:p>
        </w:tc>
      </w:tr>
      <w:tr>
        <w:tc>
          <w:tcPr>
            <w:tcW w:type="dxa" w:w="1800"/>
            <w:vAlign w:val="top"/>
            <w:shd w:fill="F3F5F7"/>
          </w:tcPr>
          <w:p>
            <w:r>
              <w:rPr>
                <w:color w:val="1E2A38"/>
                <w:sz w:val="17"/>
              </w:rPr>
            </w:r>
            <w:r>
              <w:rPr>
                <w:color w:val="1E2A38"/>
                <w:sz w:val="17"/>
              </w:rPr>
              <w:t>Infosenior</w:t>
            </w:r>
          </w:p>
        </w:tc>
        <w:tc>
          <w:tcPr>
            <w:tcW w:type="dxa" w:w="2900"/>
            <w:vAlign w:val="top"/>
            <w:shd w:fill="F3F5F7"/>
          </w:tcPr>
          <w:p>
            <w:r>
              <w:rPr>
                <w:color w:val="1E2A38"/>
                <w:sz w:val="17"/>
              </w:rPr>
            </w:r>
            <w:r>
              <w:rPr>
                <w:color w:val="1E2A38"/>
                <w:sz w:val="17"/>
              </w:rPr>
              <w:t>Schweizer Suchportal für Dienstleistungen im Alter, inklusive Freizeitkategorien.[10]</w:t>
            </w:r>
          </w:p>
        </w:tc>
        <w:tc>
          <w:tcPr>
            <w:tcW w:type="dxa" w:w="2100"/>
            <w:vAlign w:val="top"/>
            <w:shd w:fill="F3F5F7"/>
          </w:tcPr>
          <w:p>
            <w:r>
              <w:rPr>
                <w:color w:val="1E2A38"/>
                <w:sz w:val="17"/>
              </w:rPr>
            </w:r>
            <w:r>
              <w:rPr>
                <w:color w:val="1E2A38"/>
                <w:sz w:val="17"/>
              </w:rPr>
              <w:t>Breites Verzeichnis und Seniorenausrichtung.</w:t>
            </w:r>
          </w:p>
        </w:tc>
        <w:tc>
          <w:tcPr>
            <w:tcW w:type="dxa" w:w="2560"/>
            <w:vAlign w:val="top"/>
            <w:shd w:fill="F3F5F7"/>
          </w:tcPr>
          <w:p>
            <w:r>
              <w:rPr>
                <w:color w:val="1E2A38"/>
                <w:sz w:val="17"/>
              </w:rPr>
            </w:r>
            <w:r>
              <w:rPr>
                <w:color w:val="1E2A38"/>
                <w:sz w:val="17"/>
              </w:rPr>
              <w:t>Verzeichnischarakter; weniger soziale Gruppenbildung und Transaktion.</w:t>
            </w:r>
          </w:p>
        </w:tc>
      </w:tr>
      <w:tr>
        <w:tc>
          <w:tcPr>
            <w:tcW w:type="dxa" w:w="1800"/>
            <w:vAlign w:val="top"/>
          </w:tcPr>
          <w:p>
            <w:r>
              <w:rPr>
                <w:color w:val="1E2A38"/>
                <w:sz w:val="17"/>
              </w:rPr>
            </w:r>
            <w:r>
              <w:rPr>
                <w:color w:val="1E2A38"/>
                <w:sz w:val="17"/>
              </w:rPr>
              <w:t>Spontacts / Meetup</w:t>
            </w:r>
          </w:p>
        </w:tc>
        <w:tc>
          <w:tcPr>
            <w:tcW w:type="dxa" w:w="2900"/>
            <w:vAlign w:val="top"/>
          </w:tcPr>
          <w:p>
            <w:r>
              <w:rPr>
                <w:color w:val="1E2A38"/>
                <w:sz w:val="17"/>
              </w:rPr>
            </w:r>
            <w:r>
              <w:rPr>
                <w:color w:val="1E2A38"/>
                <w:sz w:val="17"/>
              </w:rPr>
              <w:t>Allgemeine lokale Freizeitaktivitäten, Gruppen und neue Kontakte.[11][12]</w:t>
            </w:r>
          </w:p>
        </w:tc>
        <w:tc>
          <w:tcPr>
            <w:tcW w:type="dxa" w:w="2100"/>
            <w:vAlign w:val="top"/>
          </w:tcPr>
          <w:p>
            <w:r>
              <w:rPr>
                <w:color w:val="1E2A38"/>
                <w:sz w:val="17"/>
              </w:rPr>
            </w:r>
            <w:r>
              <w:rPr>
                <w:color w:val="1E2A38"/>
                <w:sz w:val="17"/>
              </w:rPr>
              <w:t>Grosse, etablierte Community-Mechanik.</w:t>
            </w:r>
          </w:p>
        </w:tc>
        <w:tc>
          <w:tcPr>
            <w:tcW w:type="dxa" w:w="2560"/>
            <w:vAlign w:val="top"/>
          </w:tcPr>
          <w:p>
            <w:r>
              <w:rPr>
                <w:color w:val="1E2A38"/>
                <w:sz w:val="17"/>
              </w:rPr>
            </w:r>
            <w:r>
              <w:rPr>
                <w:color w:val="1E2A38"/>
                <w:sz w:val="17"/>
              </w:rPr>
              <w:t>Nicht spezifisch auf die Vertrauens-, Zugänglichkeits- und Supportbedürfnisse älterer Menschen zugeschnitten.</w:t>
            </w:r>
          </w:p>
        </w:tc>
      </w:tr>
      <w:tr>
        <w:tc>
          <w:tcPr>
            <w:tcW w:type="dxa" w:w="1800"/>
            <w:vAlign w:val="top"/>
            <w:shd w:fill="F3F5F7"/>
          </w:tcPr>
          <w:p>
            <w:r>
              <w:rPr>
                <w:color w:val="1E2A38"/>
                <w:sz w:val="17"/>
              </w:rPr>
            </w:r>
            <w:r>
              <w:rPr>
                <w:color w:val="1E2A38"/>
                <w:sz w:val="17"/>
              </w:rPr>
              <w:t>Eventfrog / Eventbrite</w:t>
            </w:r>
          </w:p>
        </w:tc>
        <w:tc>
          <w:tcPr>
            <w:tcW w:type="dxa" w:w="2900"/>
            <w:vAlign w:val="top"/>
            <w:shd w:fill="F3F5F7"/>
          </w:tcPr>
          <w:p>
            <w:r>
              <w:rPr>
                <w:color w:val="1E2A38"/>
                <w:sz w:val="17"/>
              </w:rPr>
            </w:r>
            <w:r>
              <w:rPr>
                <w:color w:val="1E2A38"/>
                <w:sz w:val="17"/>
              </w:rPr>
              <w:t>Eventagenda, Ticketverkauf und Veranstalterwerkzeuge. Eventfrog nennt über 90'000 Veranstalter und 5,1 Mio. erreichbare Menschen.[13]</w:t>
            </w:r>
          </w:p>
        </w:tc>
        <w:tc>
          <w:tcPr>
            <w:tcW w:type="dxa" w:w="2100"/>
            <w:vAlign w:val="top"/>
            <w:shd w:fill="F3F5F7"/>
          </w:tcPr>
          <w:p>
            <w:r>
              <w:rPr>
                <w:color w:val="1E2A38"/>
                <w:sz w:val="17"/>
              </w:rPr>
            </w:r>
            <w:r>
              <w:rPr>
                <w:color w:val="1E2A38"/>
                <w:sz w:val="17"/>
              </w:rPr>
              <w:t>Sehr günstige, etablierte Ticketinfrastruktur und hohe Reichweite.</w:t>
            </w:r>
          </w:p>
        </w:tc>
        <w:tc>
          <w:tcPr>
            <w:tcW w:type="dxa" w:w="2560"/>
            <w:vAlign w:val="top"/>
            <w:shd w:fill="F3F5F7"/>
          </w:tcPr>
          <w:p>
            <w:r>
              <w:rPr>
                <w:color w:val="1E2A38"/>
                <w:sz w:val="17"/>
              </w:rPr>
            </w:r>
            <w:r>
              <w:rPr>
                <w:color w:val="1E2A38"/>
                <w:sz w:val="17"/>
              </w:rPr>
              <w:t>Keine gezielte soziale Begleitung: «Mit wem gehe ich?», kleine passende Gruppen, Mobilitätsinformationen, sozialer Check-in.</w:t>
            </w:r>
          </w:p>
        </w:tc>
      </w:tr>
      <w:tr>
        <w:tc>
          <w:tcPr>
            <w:tcW w:type="dxa" w:w="1800"/>
            <w:vAlign w:val="top"/>
          </w:tcPr>
          <w:p>
            <w:r>
              <w:rPr>
                <w:color w:val="1E2A38"/>
                <w:sz w:val="17"/>
              </w:rPr>
            </w:r>
            <w:r>
              <w:rPr>
                <w:color w:val="1E2A38"/>
                <w:sz w:val="17"/>
              </w:rPr>
              <w:t>Lokale Vereine, Gemeinden, Kirchen und Seniorentreffs</w:t>
            </w:r>
          </w:p>
        </w:tc>
        <w:tc>
          <w:tcPr>
            <w:tcW w:type="dxa" w:w="2900"/>
            <w:vAlign w:val="top"/>
          </w:tcPr>
          <w:p>
            <w:r>
              <w:rPr>
                <w:color w:val="1E2A38"/>
                <w:sz w:val="17"/>
              </w:rPr>
            </w:r>
            <w:r>
              <w:rPr>
                <w:color w:val="1E2A38"/>
                <w:sz w:val="17"/>
              </w:rPr>
              <w:t>Mittagstische, Spielnachmittage, Bewegung, Kultur und Ausflüge.</w:t>
            </w:r>
          </w:p>
        </w:tc>
        <w:tc>
          <w:tcPr>
            <w:tcW w:type="dxa" w:w="2100"/>
            <w:vAlign w:val="top"/>
          </w:tcPr>
          <w:p>
            <w:r>
              <w:rPr>
                <w:color w:val="1E2A38"/>
                <w:sz w:val="17"/>
              </w:rPr>
            </w:r>
            <w:r>
              <w:rPr>
                <w:color w:val="1E2A38"/>
                <w:sz w:val="17"/>
              </w:rPr>
              <w:t>Persönliches Vertrauen und Offline-Zugang.</w:t>
            </w:r>
          </w:p>
        </w:tc>
        <w:tc>
          <w:tcPr>
            <w:tcW w:type="dxa" w:w="2560"/>
            <w:vAlign w:val="top"/>
          </w:tcPr>
          <w:p>
            <w:r>
              <w:rPr>
                <w:color w:val="1E2A38"/>
                <w:sz w:val="17"/>
              </w:rPr>
            </w:r>
            <w:r>
              <w:rPr>
                <w:color w:val="1E2A38"/>
                <w:sz w:val="17"/>
              </w:rPr>
              <w:t>Fragmentierte Auffindbarkeit und Anmeldung; oft keine gemeinsame digitale Oberfläche. Wichtige Angebots- und Vertriebspartner.</w:t>
            </w:r>
          </w:p>
        </w:tc>
      </w:tr>
    </w:tbl>
    <w:p>
      <w:pPr>
        <w:spacing w:after="20"/>
      </w:pPr>
    </w:p>
    <w:p>
      <w:pPr>
        <w:pStyle w:val="Heading2"/>
      </w:pPr>
      <w:r>
        <w:t>Bewertung der Konkurrenzintensität</w:t>
      </w:r>
    </w:p>
    <w:p>
      <w:r>
        <w:t xml:space="preserve">Die funktionale Konkurrenz ist </w:t>
      </w:r>
      <w:r>
        <w:rPr>
          <w:b/>
        </w:rPr>
        <w:t>mittel bis hoch</w:t>
      </w:r>
      <w:r>
        <w:t xml:space="preserve">, wenn das Produkt als «Profile + Chat + Events für 60+» beschrieben wird. Freizeit60Plus/GemeinsamErleben deckt dies bereits sehr nah ab. Die Konkurrenz ist </w:t>
      </w:r>
      <w:r>
        <w:rPr>
          <w:b/>
        </w:rPr>
        <w:t>niedriger</w:t>
      </w:r>
      <w:r>
        <w:t>, wenn das Produkt als vertrauenswürdiger Schweizer Erlebnis-Marktplatz mit folgenden Elementen positioniert wird:</w:t>
      </w:r>
    </w:p>
    <w:p>
      <w:pPr>
        <w:pStyle w:val="ListBullet"/>
      </w:pPr>
      <w:r>
        <w:t>kuratierte, verifizierte professionelle Anbieter;</w:t>
      </w:r>
    </w:p>
    <w:p>
      <w:pPr>
        <w:pStyle w:val="ListBullet"/>
      </w:pPr>
      <w:r>
        <w:t>verbindliche Buchung und Zahlung;</w:t>
      </w:r>
    </w:p>
    <w:p>
      <w:pPr>
        <w:pStyle w:val="ListBullet"/>
      </w:pPr>
      <w:r>
        <w:t>sichtbare Mindest- und Höchstteilnehmerzahl;</w:t>
      </w:r>
    </w:p>
    <w:p>
      <w:pPr>
        <w:pStyle w:val="ListBullet"/>
      </w:pPr>
      <w:r>
        <w:t>automatische Warteliste und Nachrücken;</w:t>
      </w:r>
    </w:p>
    <w:p>
      <w:pPr>
        <w:pStyle w:val="ListBullet"/>
      </w:pPr>
      <w:r>
        <w:t>Gruppengefühl vor dem Anlass ohne offene Kontaktbörse;</w:t>
      </w:r>
    </w:p>
    <w:p>
      <w:pPr>
        <w:pStyle w:val="ListBullet"/>
      </w:pPr>
      <w:r>
        <w:t>klare Angaben zu Tempo, Barrierefreiheit, ÖV, Abholung und Begleitung;</w:t>
      </w:r>
    </w:p>
    <w:p>
      <w:pPr>
        <w:pStyle w:val="ListBullet"/>
      </w:pPr>
      <w:r>
        <w:t>Telefon-/Angehörigen-Unterstützung;</w:t>
      </w:r>
    </w:p>
    <w:p>
      <w:pPr>
        <w:pStyle w:val="ListBullet"/>
      </w:pPr>
      <w:r>
        <w:t>Fokus auf wiederkehrende lokale Kleingruppen, nicht nur einmalige Grossveranstaltungen.</w:t>
      </w:r>
    </w:p>
    <w:p>
      <w:r>
        <w:t>Der eigentliche Wettbewerber ist somit nicht eine einzelne Firma, sondern die Kombination aus WhatsApp-Gruppe, Gemeindekalender, Pro-Senectute-Programm, Restauranttelefon und Eventfrog. Die Plattform muss diesen Prozess spürbar einfacher machen.</w:t>
      </w:r>
    </w:p>
    <w:p>
      <w:pPr>
        <w:pStyle w:val="Heading1"/>
      </w:pPr>
      <w:r>
        <w:t>3. Deutschland als spätere Expansion</w:t>
      </w:r>
    </w:p>
    <w:p>
      <w:r>
        <w:t>Deutschland besitzt einen deutlich grösseren, aber auch dichteren Markt. Neben GemeinsamErleben/Freizeit60Plus existieren etablierte Senioren-Communities wie Feierabend.de mit Chat, Foren und Regionalgruppen sowie Seniorentreff.de mit Profilen, Gruppen, Chat, redaktionellen Inhalten und kostenlosen Privatfunktionen.[14][15] Nebenan.de konkurriert indirekt über lokale Nachbarschaftskontakte; das Netzwerk berichtete bereits 2021 über zwei Millionen Nutzende.[16] Regionale öffentliche Portale wie das Seniorennetz Berlin sammeln geprüfte Angebote für soziale Teilhabe.[17]</w:t>
      </w:r>
    </w:p>
    <w:p>
      <w:r>
        <w:t>Eine Expansion sollte daher nicht mit einer landesweiten Kopie beginnen. Sinnvoller wäre ein stadtweiser oder regionaler Eintritt – beispielsweise Süddeutschland – erst nachdem das Schweizer Modell wiederholbar funktioniert. Für Deutschland sind zusätzlich EU-/deutsche Verbraucher-, Plattform- und Datenschutzanforderungen zu prüfen. Bei termingebundenen Freizeitveranstaltungen bestehen zwar Ausnahmen vom allgemeinen Widerrufsrecht, die konkrete Vertrags- und Vermittlerrolle muss aber juristisch sauber festgelegt werden.[18]</w:t>
      </w:r>
    </w:p>
    <w:p>
      <w:pPr>
        <w:pStyle w:val="Heading1"/>
      </w:pPr>
      <w:r>
        <w:t>4. Zielgruppen und Positionierung</w:t>
      </w:r>
    </w:p>
    <w:p>
      <w:pPr>
        <w:pStyle w:val="Heading2"/>
      </w:pPr>
      <w:r>
        <w:t>Primäre Nutzergruppen</w:t>
      </w:r>
    </w:p>
    <w:p>
      <w:pPr>
        <w:pStyle w:val="ListNumber"/>
      </w:pPr>
      <w:r>
        <w:rPr>
          <w:b/>
        </w:rPr>
        <w:t>Aktive Pensionierte, ungefähr 65–79:</w:t>
      </w:r>
      <w:r>
        <w:t xml:space="preserve"> digital erreichbar, suchen Erlebnisse oder neue Bekanntschaften, möchten aber nicht als «einsam» etikettiert werden.</w:t>
      </w:r>
    </w:p>
    <w:p>
      <w:pPr>
        <w:pStyle w:val="ListNumber"/>
      </w:pPr>
      <w:r>
        <w:rPr>
          <w:b/>
        </w:rPr>
        <w:t>Menschen nach einem Übergang:</w:t>
      </w:r>
      <w:r>
        <w:t xml:space="preserve"> Pensionierung, Verwitwung, Trennung, Umzug oder Verlust des bisherigen sozialen Netzes. Der Bedarf ist ereignisgetrieben und nicht rein altersgetrieben.</w:t>
      </w:r>
    </w:p>
    <w:p>
      <w:pPr>
        <w:pStyle w:val="ListNumber"/>
      </w:pPr>
      <w:r>
        <w:rPr>
          <w:b/>
        </w:rPr>
        <w:t>Ältere Personen mit Unterstützungsbedarf:</w:t>
      </w:r>
      <w:r>
        <w:t xml:space="preserve"> benötigen einfache Bedienung, klare Mobilitätsangaben, Telefonhilfe oder Buchung durch Angehörige.</w:t>
      </w:r>
    </w:p>
    <w:p>
      <w:pPr>
        <w:pStyle w:val="ListNumber"/>
      </w:pPr>
      <w:r>
        <w:rPr>
          <w:b/>
        </w:rPr>
        <w:t>Jüngere Mitmachende:</w:t>
      </w:r>
      <w:r>
        <w:t xml:space="preserve"> willkommen, wenn der Anlass dies zulässt. Dadurch bleibt die Marke offen und generationenverbindend.</w:t>
      </w:r>
    </w:p>
    <w:p>
      <w:pPr>
        <w:pStyle w:val="Heading2"/>
      </w:pPr>
      <w:r>
        <w:t>Angebotsseite</w:t>
      </w:r>
    </w:p>
    <w:p>
      <w:pPr>
        <w:pStyle w:val="ListBullet"/>
      </w:pPr>
      <w:r>
        <w:t>Restaurants, Cafés, Hotels und Ausflugsgastronomie;</w:t>
      </w:r>
    </w:p>
    <w:p>
      <w:pPr>
        <w:pStyle w:val="ListBullet"/>
      </w:pPr>
      <w:r>
        <w:t>Reise-, Bus-, Schiffs- und Ausflugsanbieter;</w:t>
      </w:r>
    </w:p>
    <w:p>
      <w:pPr>
        <w:pStyle w:val="ListBullet"/>
      </w:pPr>
      <w:r>
        <w:t>Museen, Theater, Kinos und Kulturhäuser;</w:t>
      </w:r>
    </w:p>
    <w:p>
      <w:pPr>
        <w:pStyle w:val="ListBullet"/>
      </w:pPr>
      <w:r>
        <w:t>Kursanbieter, Tanzschulen, Kochschulen und Kreativateliers;</w:t>
      </w:r>
    </w:p>
    <w:p>
      <w:pPr>
        <w:pStyle w:val="ListBullet"/>
      </w:pPr>
      <w:r>
        <w:t>Sport-, Wander- und Gesundheitsanbieter mit geeigneter Qualifikation;</w:t>
      </w:r>
    </w:p>
    <w:p>
      <w:pPr>
        <w:pStyle w:val="ListBullet"/>
      </w:pPr>
      <w:r>
        <w:t>Gemeinden, Vereine, Kirchen, Bibliotheken und gemeinnützige Organisationen;</w:t>
      </w:r>
    </w:p>
    <w:p>
      <w:pPr>
        <w:pStyle w:val="ListBullet"/>
      </w:pPr>
      <w:r>
        <w:t>Freiwillige oder private Gastgeber – erst später und mit strengeren Regeln.</w:t>
      </w:r>
    </w:p>
    <w:p>
      <w:pPr>
        <w:pStyle w:val="Heading2"/>
      </w:pPr>
      <w:r>
        <w:t>Empfohlener Markenkern</w:t>
      </w:r>
    </w:p>
    <w:p>
      <w:r>
        <w:t>Nicht «eine App gegen Einsamkeit», sondern:</w:t>
      </w:r>
    </w:p>
    <w:p>
      <w:pPr>
        <w:spacing w:before="100" w:after="160"/>
        <w:ind w:left="432" w:right="288"/>
        <w:pBdr>
          <w:left w:val="single" w:sz="18" w:color="2A726B" w:space="10"/>
        </w:pBdr>
      </w:pPr>
      <w:r>
        <w:rPr>
          <w:b/>
          <w:color w:val="2A726B"/>
          <w:sz w:val="26"/>
        </w:rPr>
        <w:t>Gemeinsam etwas erleben – einfach, sicher und in der Nähe.</w:t>
      </w:r>
    </w:p>
    <w:p>
      <w:r>
        <w:t>«Primär für die Generation 65+, offen für alle» ist strategisch besser als eine harte Altersgrenze. Ein Seniorentarif ist bei einer kostenlosen Teilnehmendennutzung nicht nötig; stattdessen können ausgewählte Angebote einen transparenten 65+-Preis haben.</w:t>
      </w:r>
    </w:p>
    <w:p>
      <w:pPr>
        <w:pStyle w:val="Heading1"/>
      </w:pPr>
      <w:r>
        <w:t>5. Was angeboten werden sollte</w:t>
      </w:r>
    </w:p>
    <w:p>
      <w:pPr>
        <w:pStyle w:val="Heading2"/>
      </w:pPr>
      <w:r>
        <w:t>Suchkategorien</w:t>
      </w:r>
    </w:p>
    <w:p>
      <w:pPr>
        <w:pStyle w:val="ListBullet"/>
      </w:pPr>
      <w:r>
        <w:t>Essen &amp; Genuss: Mittagstisch, Brunch, Themenabend, Degustation, gemeinsames Kochen;</w:t>
      </w:r>
    </w:p>
    <w:p>
      <w:pPr>
        <w:pStyle w:val="ListBullet"/>
      </w:pPr>
      <w:r>
        <w:t>Spiel &amp; Geselligkeit: Bingo, Jassen, Quiz, Brettspiele, Tanztee, Stammtisch;</w:t>
      </w:r>
    </w:p>
    <w:p>
      <w:pPr>
        <w:pStyle w:val="ListBullet"/>
      </w:pPr>
      <w:r>
        <w:t>Kultur &amp; Unterhaltung: Museum, Theater, Kino, Konzert, Lesung, Comedy;</w:t>
      </w:r>
    </w:p>
    <w:p>
      <w:pPr>
        <w:pStyle w:val="ListBullet"/>
      </w:pPr>
      <w:r>
        <w:t>Ausflüge &amp; Reisen: Tagesfahrt, Schifffahrt, Bahnreise, Ferien, Weihnachtsmarkt;</w:t>
      </w:r>
    </w:p>
    <w:p>
      <w:pPr>
        <w:pStyle w:val="ListBullet"/>
      </w:pPr>
      <w:r>
        <w:t>Bewegung &amp; Natur: Spaziergang, leichte Wanderung, Velo, Gymnastik, Tanzen;</w:t>
      </w:r>
    </w:p>
    <w:p>
      <w:pPr>
        <w:pStyle w:val="ListBullet"/>
      </w:pPr>
      <w:r>
        <w:t>Lernen &amp; Kreativität: Sprache, Digitales, Malen, Handwerk, Musik, Vorträge;</w:t>
      </w:r>
    </w:p>
    <w:p>
      <w:pPr>
        <w:pStyle w:val="ListBullet"/>
      </w:pPr>
      <w:r>
        <w:t>Engagement &amp; Generationen: Freiwilligenarbeit, Mentoring, gemeinschaftliche Projekte;</w:t>
      </w:r>
    </w:p>
    <w:p>
      <w:pPr>
        <w:pStyle w:val="ListBullet"/>
      </w:pPr>
      <w:r>
        <w:t>Online &amp; von zuhause: digitale Gesprächsrunden oder Vorträge als Ergänzung, nicht als Kern.</w:t>
      </w:r>
    </w:p>
    <w:p>
      <w:pPr>
        <w:pStyle w:val="Heading2"/>
      </w:pPr>
      <w:r>
        <w:t>Wichtigere Filter als bloss «Kategorie»</w:t>
      </w:r>
    </w:p>
    <w:p>
      <w:r>
        <w:t>Für ältere Nutzende entscheiden oft praktische Details über die Teilnahme:</w:t>
      </w:r>
    </w:p>
    <w:p>
      <w:pPr>
        <w:pStyle w:val="ListBullet"/>
      </w:pPr>
      <w:r>
        <w:t>Entfernung, Gemeinde/Kanton und ÖV-Erreichbarkeit;</w:t>
      </w:r>
    </w:p>
    <w:p>
      <w:pPr>
        <w:pStyle w:val="ListBullet"/>
      </w:pPr>
      <w:r>
        <w:t>Datum, Tageszeit und Dauer;</w:t>
      </w:r>
    </w:p>
    <w:p>
      <w:pPr>
        <w:pStyle w:val="ListBullet"/>
      </w:pPr>
      <w:r>
        <w:t>Preis inklusive aller Gebühren und Inklusivleistungen;</w:t>
      </w:r>
    </w:p>
    <w:p>
      <w:pPr>
        <w:pStyle w:val="ListBullet"/>
      </w:pPr>
      <w:r>
        <w:t>Intensität/Tempo: gemütlich, moderat, aktiv;</w:t>
      </w:r>
    </w:p>
    <w:p>
      <w:pPr>
        <w:pStyle w:val="ListBullet"/>
      </w:pPr>
      <w:r>
        <w:t>barrierefrei, rollatorgeeignet, Treppen, Sitzmöglichkeiten, WC;</w:t>
      </w:r>
    </w:p>
    <w:p>
      <w:pPr>
        <w:pStyle w:val="ListBullet"/>
      </w:pPr>
      <w:r>
        <w:t>Sprache;</w:t>
      </w:r>
    </w:p>
    <w:p>
      <w:pPr>
        <w:pStyle w:val="ListBullet"/>
      </w:pPr>
      <w:r>
        <w:t>Abholung/Fahrgemeinschaft/Begleitperson möglich;</w:t>
      </w:r>
    </w:p>
    <w:p>
      <w:pPr>
        <w:pStyle w:val="ListBullet"/>
      </w:pPr>
      <w:r>
        <w:t>Gruppengrösse und bereits angemeldete Personen;</w:t>
      </w:r>
    </w:p>
    <w:p>
      <w:pPr>
        <w:pStyle w:val="ListBullet"/>
      </w:pPr>
      <w:r>
        <w:t>Altersfokus: offen, 60+, 65+, generationenübergreifend;</w:t>
      </w:r>
    </w:p>
    <w:p>
      <w:pPr>
        <w:pStyle w:val="ListBullet"/>
      </w:pPr>
      <w:r>
        <w:t>Einzelteilnahme ausdrücklich willkommen;</w:t>
      </w:r>
    </w:p>
    <w:p>
      <w:pPr>
        <w:pStyle w:val="ListBullet"/>
      </w:pPr>
      <w:r>
        <w:t>Männer/Frauen/gemischt nur dort, wo sachlich relevant und diskriminierungsrechtlich vertretbar;</w:t>
      </w:r>
    </w:p>
    <w:p>
      <w:pPr>
        <w:pStyle w:val="ListBullet"/>
      </w:pPr>
      <w:r>
        <w:t>Verpflegung und Allergien;</w:t>
      </w:r>
    </w:p>
    <w:p>
      <w:pPr>
        <w:pStyle w:val="ListBullet"/>
      </w:pPr>
      <w:r>
        <w:t>kostenlos, vor Ort zahlen oder online buchen.</w:t>
      </w:r>
    </w:p>
    <w:p>
      <w:pPr>
        <w:pStyle w:val="Heading2"/>
      </w:pPr>
      <w:r>
        <w:t>Veranstaltungslogik</w:t>
      </w:r>
    </w:p>
    <w:p>
      <w:r>
        <w:t>Jedes Angebot sollte enthalten: Gastgeber, klaren Treffpunkt, Beginn/Ende, Leistung, Preis, Storno, Mindest- und Höchstzahl, Buchungsschluss, Zugänglichkeit, Kontakt am Veranstaltungstag sowie eine einfache «Alleine willkommen»-Kennzeichnung.</w:t>
      </w:r>
    </w:p>
    <w:p>
      <w:r>
        <w:t>Bei Nichterreichen der Mindestzahl muss das System automatisch bis zu einem definierten Zeitpunkt absagen oder dem Anbieter eine Durchführung erlauben. Zahlungen werden dann automatisch rückerstattet. Bei vollem Anlass folgt eine Warteliste mit zeitlich begrenztem Nachrückangebot.</w:t>
      </w:r>
    </w:p>
    <w:p>
      <w:pPr>
        <w:pStyle w:val="Heading1"/>
      </w:pPr>
      <w:r>
        <w:t>6. Profile, Chat und soziale Funktionen</w:t>
      </w:r>
    </w:p>
    <w:p>
      <w:pPr>
        <w:pStyle w:val="Heading2"/>
      </w:pPr>
      <w:r>
        <w:t>Profil: ja, aber als sicherer Steckbrief</w:t>
      </w:r>
    </w:p>
    <w:p>
      <w:r>
        <w:t>Empfohlene Pflichtfelder:</w:t>
      </w:r>
    </w:p>
    <w:p>
      <w:pPr>
        <w:pStyle w:val="ListBullet"/>
      </w:pPr>
      <w:r>
        <w:t>Vorname oder gewählter Anzeigename;</w:t>
      </w:r>
    </w:p>
    <w:p>
      <w:pPr>
        <w:pStyle w:val="ListBullet"/>
      </w:pPr>
      <w:r>
        <w:t>Region, nicht vollständige Wohnadresse;</w:t>
      </w:r>
    </w:p>
    <w:p>
      <w:pPr>
        <w:pStyle w:val="ListBullet"/>
      </w:pPr>
      <w:r>
        <w:t>Altersband statt exaktem Geburtsdatum in der Öffentlichkeit;</w:t>
      </w:r>
    </w:p>
    <w:p>
      <w:pPr>
        <w:pStyle w:val="ListBullet"/>
      </w:pPr>
      <w:r>
        <w:t>Sprachen;</w:t>
      </w:r>
    </w:p>
    <w:p>
      <w:pPr>
        <w:pStyle w:val="ListBullet"/>
      </w:pPr>
      <w:r>
        <w:t>Interessen;</w:t>
      </w:r>
    </w:p>
    <w:p>
      <w:pPr>
        <w:pStyle w:val="ListBullet"/>
      </w:pPr>
      <w:r>
        <w:t>gewünschtes Aktivitätsniveau;</w:t>
      </w:r>
    </w:p>
    <w:p>
      <w:pPr>
        <w:pStyle w:val="ListBullet"/>
      </w:pPr>
      <w:r>
        <w:t>optionale Hinweise zur Mobilität, nur für die Buchungsabwicklung sichtbar.</w:t>
      </w:r>
    </w:p>
    <w:p>
      <w:r>
        <w:t>Freiwillig:</w:t>
      </w:r>
    </w:p>
    <w:p>
      <w:pPr>
        <w:pStyle w:val="ListBullet"/>
      </w:pPr>
      <w:r>
        <w:t>ein geprüftes oder moderiertes Profilfoto;</w:t>
      </w:r>
    </w:p>
    <w:p>
      <w:pPr>
        <w:pStyle w:val="ListBullet"/>
      </w:pPr>
      <w:r>
        <w:t>kurzer Text «Das mache ich gerne»;</w:t>
      </w:r>
    </w:p>
    <w:p>
      <w:pPr>
        <w:pStyle w:val="ListBullet"/>
      </w:pPr>
      <w:r>
        <w:t>«Ich bin neu hier / komme meist allein / bringe gelegentlich eine Begleitperson mit»;</w:t>
      </w:r>
    </w:p>
    <w:p>
      <w:pPr>
        <w:pStyle w:val="ListBullet"/>
      </w:pPr>
      <w:r>
        <w:t>Vertrauenszeichen wie verifizierte Telefonnummer oder Anzahl besuchter Anlässe.</w:t>
      </w:r>
    </w:p>
    <w:p>
      <w:r>
        <w:t>Nicht in V1:</w:t>
      </w:r>
    </w:p>
    <w:p>
      <w:pPr>
        <w:pStyle w:val="ListBullet"/>
      </w:pPr>
      <w:r>
        <w:t>öffentliche vollständige Geburtsdaten;</w:t>
      </w:r>
    </w:p>
    <w:p>
      <w:pPr>
        <w:pStyle w:val="ListBullet"/>
      </w:pPr>
      <w:r>
        <w:t>genaue Wohnadresse;</w:t>
      </w:r>
    </w:p>
    <w:p>
      <w:pPr>
        <w:pStyle w:val="ListBullet"/>
      </w:pPr>
      <w:r>
        <w:t>Familienstand als Pflichtfeld;</w:t>
      </w:r>
    </w:p>
    <w:p>
      <w:pPr>
        <w:pStyle w:val="ListBullet"/>
      </w:pPr>
      <w:r>
        <w:t>öffentliche Gesundheitsdiagnosen;</w:t>
      </w:r>
    </w:p>
    <w:p>
      <w:pPr>
        <w:pStyle w:val="ListBullet"/>
      </w:pPr>
      <w:r>
        <w:t>frei sichtbare Teilnehmerlisten für Nichtangemeldete;</w:t>
      </w:r>
    </w:p>
    <w:p>
      <w:pPr>
        <w:pStyle w:val="ListBullet"/>
      </w:pPr>
      <w:r>
        <w:t>Follower-, Like- und Popularitätsmechaniken.</w:t>
      </w:r>
    </w:p>
    <w:p>
      <w:pPr>
        <w:pStyle w:val="Heading2"/>
      </w:pPr>
      <w:r>
        <w:t>Chat: ja, gestuft</w:t>
      </w:r>
    </w:p>
    <w:p>
      <w:r>
        <w:t>Ein vollständig offener 1:1-Chat ab Tag eins erhöht Romance-Scam, Belästigung, Spam und Moderationsaufwand. Das SECO warnt bei Kontakt-/Datingplattformen ausdrücklich vor versteckten Kosten und betrügerischen Geldforderungen.[19]</w:t>
      </w:r>
    </w:p>
    <w:p>
      <w:r>
        <w:t>Empfehlung für V1:</w:t>
      </w:r>
    </w:p>
    <w:p>
      <w:pPr>
        <w:pStyle w:val="ListBullet"/>
      </w:pPr>
      <w:r>
        <w:t>veranstaltungsbezogener Gruppenchat nur für bestätigte Teilnehmende;</w:t>
      </w:r>
    </w:p>
    <w:p>
      <w:pPr>
        <w:pStyle w:val="ListBullet"/>
      </w:pPr>
      <w:r>
        <w:t>vordefinierte hilfreiche Nachrichten («Fährt jemand ab Bahnhof X?», «Ich komme fünf Minuten später»);</w:t>
      </w:r>
    </w:p>
    <w:p>
      <w:pPr>
        <w:pStyle w:val="ListBullet"/>
      </w:pPr>
      <w:r>
        <w:t>Gastgeber kann Ankündigungen senden;</w:t>
      </w:r>
    </w:p>
    <w:p>
      <w:pPr>
        <w:pStyle w:val="ListBullet"/>
      </w:pPr>
      <w:r>
        <w:t>Telefonnummern bleiben verborgen;</w:t>
      </w:r>
    </w:p>
    <w:p>
      <w:pPr>
        <w:pStyle w:val="ListBullet"/>
      </w:pPr>
      <w:r>
        <w:t>melden, blockieren und Moderationsprotokoll;</w:t>
      </w:r>
    </w:p>
    <w:p>
      <w:pPr>
        <w:pStyle w:val="ListBullet"/>
      </w:pPr>
      <w:r>
        <w:t>Chat schliesst beispielsweise sieben Tage nach dem Event, sofern keine Folgeveranstaltung gegründet wird.</w:t>
      </w:r>
    </w:p>
    <w:p>
      <w:r>
        <w:t>1:1-Nachrichten können später nach gegenseitiger Zustimmung oder nach einem gemeinsam besuchten Anlass freigeschaltet werden.</w:t>
      </w:r>
    </w:p>
    <w:p>
      <w:pPr>
        <w:pStyle w:val="Heading2"/>
      </w:pPr>
      <w:r>
        <w:t>Weitere starke Funktionen</w:t>
      </w:r>
    </w:p>
    <w:p>
      <w:pPr>
        <w:pStyle w:val="ListBullet"/>
      </w:pPr>
      <w:r>
        <w:t>«Gemeinsam hingehen»: Teilnehmer finden sich bereits am Bahnhof oder Eingang;</w:t>
      </w:r>
    </w:p>
    <w:p>
      <w:pPr>
        <w:pStyle w:val="ListBullet"/>
      </w:pPr>
      <w:r>
        <w:t>Buddy-Modus für das erste Event;</w:t>
      </w:r>
    </w:p>
    <w:p>
      <w:pPr>
        <w:pStyle w:val="ListBullet"/>
      </w:pPr>
      <w:r>
        <w:t>Buchung durch Angehörige mit klar getrennter Teilnehmeridentität;</w:t>
      </w:r>
    </w:p>
    <w:p>
      <w:pPr>
        <w:pStyle w:val="ListBullet"/>
      </w:pPr>
      <w:r>
        <w:t>Telefonhotline bzw. Rückrufservice;</w:t>
      </w:r>
    </w:p>
    <w:p>
      <w:pPr>
        <w:pStyle w:val="ListBullet"/>
      </w:pPr>
      <w:r>
        <w:t>gedruckte Monatsübersicht oder E-Mail-Newsletter nach Region;</w:t>
      </w:r>
    </w:p>
    <w:p>
      <w:pPr>
        <w:pStyle w:val="ListBullet"/>
      </w:pPr>
      <w:r>
        <w:t>Wiederholungsgruppen: z. B. jeden ersten Dienstag Mittagstisch;</w:t>
      </w:r>
    </w:p>
    <w:p>
      <w:pPr>
        <w:pStyle w:val="ListBullet"/>
      </w:pPr>
      <w:r>
        <w:t>«Noch 2 Personen bis zur Durchführung» als Aktivierungsimpuls;</w:t>
      </w:r>
    </w:p>
    <w:p>
      <w:pPr>
        <w:pStyle w:val="ListBullet"/>
      </w:pPr>
      <w:r>
        <w:t>nach dem Anlass nur einfache Rückmeldung: Gastgeber, Organisation, Wohlgefühl;</w:t>
      </w:r>
    </w:p>
    <w:p>
      <w:pPr>
        <w:pStyle w:val="ListBullet"/>
      </w:pPr>
      <w:r>
        <w:t>Favoriten und Erinnerungen, aber kein endloser Social Feed;</w:t>
      </w:r>
    </w:p>
    <w:p>
      <w:pPr>
        <w:pStyle w:val="ListBullet"/>
      </w:pPr>
      <w:r>
        <w:t>Notfallkontakt optional und nur veranstaltungsbezogen zugänglich;</w:t>
      </w:r>
    </w:p>
    <w:p>
      <w:pPr>
        <w:pStyle w:val="ListBullet"/>
      </w:pPr>
      <w:r>
        <w:t>Gastgeber-Check-in, um Alleinankommende aktiv zu begrüssen.</w:t>
      </w:r>
    </w:p>
    <w:p>
      <w:pPr>
        <w:pStyle w:val="Heading1"/>
      </w:pPr>
      <w:r>
        <w:t>7. Empfohlenes Geschäftsmodell</w:t>
      </w:r>
    </w:p>
    <w:p>
      <w:pPr>
        <w:pStyle w:val="Heading2"/>
      </w:pPr>
      <w:r>
        <w:t>Grundsatz</w:t>
      </w:r>
    </w:p>
    <w:p>
      <w:r>
        <w:t>Teilnehmende sollten kostenlos suchen, Profile anlegen, Veranstaltungen vormerken und Gruppenfunktionen nutzen können. Ein obligatorisches Abo würde die Einstiegshürde erhöhen, die soziale Mission schwächen und steht im Wettbewerb zu mehreren kostenlosen Angeboten.</w:t>
      </w:r>
    </w:p>
    <w:p>
      <w:pPr>
        <w:pStyle w:val="Heading2"/>
      </w:pPr>
      <w:r>
        <w:t>Gestuftes B2B-Modell</w:t>
      </w:r>
    </w:p>
    <w:tbl>
      <w:tblPr>
        <w:tblW w:type="auto" w:w="0"/>
        <w:jc w:val="left"/>
        <w:tblLayout w:type="fixed"/>
        <w:tblLook w:firstColumn="1" w:firstRow="1" w:lastColumn="0" w:lastRow="0" w:noHBand="0" w:noVBand="1" w:val="04A0"/>
        <w:tblBorders>
          <w:top w:val="single" w:sz="4" w:color="CDD5DB"/>
          <w:left w:val="single" w:sz="4" w:color="CDD5DB"/>
          <w:bottom w:val="single" w:sz="4" w:color="CDD5DB"/>
          <w:right w:val="single" w:sz="4" w:color="CDD5DB"/>
          <w:insideH w:val="single" w:sz="4" w:color="CDD5DB"/>
          <w:insideV w:val="single" w:sz="4" w:color="CDD5DB"/>
        </w:tblBorders>
      </w:tblPr>
      <w:tblGrid>
        <w:gridCol w:w="3216"/>
        <w:gridCol w:w="3216"/>
        <w:gridCol w:w="3216"/>
      </w:tblGrid>
      <w:tr>
        <w:trPr>
          <w:tblHeader w:val="true"/>
        </w:trPr>
        <w:tc>
          <w:tcPr>
            <w:tcW w:type="dxa" w:w="2100"/>
            <w:vAlign w:val="top"/>
            <w:shd w:fill="1E2A38"/>
          </w:tcPr>
          <w:p>
            <w:r>
              <w:rPr>
                <w:b/>
                <w:color w:val="FFFFFF"/>
                <w:sz w:val="17"/>
              </w:rPr>
            </w:r>
            <w:r>
              <w:rPr>
                <w:b/>
                <w:color w:val="FFFFFF"/>
                <w:sz w:val="17"/>
              </w:rPr>
              <w:t>Modell</w:t>
            </w:r>
          </w:p>
        </w:tc>
        <w:tc>
          <w:tcPr>
            <w:tcW w:type="dxa" w:w="3500"/>
            <w:vAlign w:val="top"/>
            <w:shd w:fill="1E2A38"/>
          </w:tcPr>
          <w:p>
            <w:r>
              <w:rPr>
                <w:b/>
                <w:color w:val="FFFFFF"/>
                <w:sz w:val="17"/>
              </w:rPr>
            </w:r>
            <w:r>
              <w:rPr>
                <w:b/>
                <w:color w:val="FFFFFF"/>
                <w:sz w:val="17"/>
              </w:rPr>
              <w:t>Geeignet für</w:t>
            </w:r>
          </w:p>
        </w:tc>
        <w:tc>
          <w:tcPr>
            <w:tcW w:type="dxa" w:w="3760"/>
            <w:vAlign w:val="top"/>
            <w:shd w:fill="1E2A38"/>
          </w:tcPr>
          <w:p>
            <w:r>
              <w:rPr>
                <w:b/>
                <w:color w:val="FFFFFF"/>
                <w:sz w:val="17"/>
              </w:rPr>
            </w:r>
            <w:r>
              <w:rPr>
                <w:b/>
                <w:color w:val="FFFFFF"/>
                <w:sz w:val="17"/>
              </w:rPr>
              <w:t>Empfehlung</w:t>
            </w:r>
          </w:p>
        </w:tc>
      </w:tr>
      <w:tr>
        <w:tc>
          <w:tcPr>
            <w:tcW w:type="dxa" w:w="2100"/>
            <w:vAlign w:val="top"/>
          </w:tcPr>
          <w:p>
            <w:r>
              <w:rPr>
                <w:color w:val="1E2A38"/>
                <w:sz w:val="17"/>
              </w:rPr>
            </w:r>
            <w:r>
              <w:rPr>
                <w:color w:val="1E2A38"/>
                <w:sz w:val="17"/>
              </w:rPr>
              <w:t>Kostenloses Inserat / Anfrage</w:t>
            </w:r>
          </w:p>
        </w:tc>
        <w:tc>
          <w:tcPr>
            <w:tcW w:type="dxa" w:w="3500"/>
            <w:vAlign w:val="top"/>
          </w:tcPr>
          <w:p>
            <w:r>
              <w:rPr>
                <w:color w:val="1E2A38"/>
                <w:sz w:val="17"/>
              </w:rPr>
            </w:r>
            <w:r>
              <w:rPr>
                <w:color w:val="1E2A38"/>
                <w:sz w:val="17"/>
              </w:rPr>
              <w:t>kostenlose Gemeinde-, Vereins- und Community-Angebote</w:t>
            </w:r>
          </w:p>
        </w:tc>
        <w:tc>
          <w:tcPr>
            <w:tcW w:type="dxa" w:w="3760"/>
            <w:vAlign w:val="top"/>
          </w:tcPr>
          <w:p>
            <w:r>
              <w:rPr>
                <w:color w:val="1E2A38"/>
                <w:sz w:val="17"/>
              </w:rPr>
            </w:r>
            <w:r>
              <w:rPr>
                <w:color w:val="1E2A38"/>
                <w:sz w:val="17"/>
              </w:rPr>
              <w:t>Keine Provision; begrenzte Funktionen oder kuratierte Freigabe. Sichert Angebotsdichte.</w:t>
            </w:r>
          </w:p>
        </w:tc>
      </w:tr>
      <w:tr>
        <w:tc>
          <w:tcPr>
            <w:tcW w:type="dxa" w:w="2100"/>
            <w:vAlign w:val="top"/>
            <w:shd w:fill="F3F5F7"/>
          </w:tcPr>
          <w:p>
            <w:r>
              <w:rPr>
                <w:color w:val="1E2A38"/>
                <w:sz w:val="17"/>
              </w:rPr>
            </w:r>
            <w:r>
              <w:rPr>
                <w:color w:val="1E2A38"/>
                <w:sz w:val="17"/>
              </w:rPr>
              <w:t>Buchung extern</w:t>
            </w:r>
          </w:p>
        </w:tc>
        <w:tc>
          <w:tcPr>
            <w:tcW w:type="dxa" w:w="3500"/>
            <w:vAlign w:val="top"/>
            <w:shd w:fill="F3F5F7"/>
          </w:tcPr>
          <w:p>
            <w:r>
              <w:rPr>
                <w:color w:val="1E2A38"/>
                <w:sz w:val="17"/>
              </w:rPr>
            </w:r>
            <w:r>
              <w:rPr>
                <w:color w:val="1E2A38"/>
                <w:sz w:val="17"/>
              </w:rPr>
              <w:t>Anbieter mit bestehendem Ticketshop</w:t>
            </w:r>
          </w:p>
        </w:tc>
        <w:tc>
          <w:tcPr>
            <w:tcW w:type="dxa" w:w="3760"/>
            <w:vAlign w:val="top"/>
            <w:shd w:fill="F3F5F7"/>
          </w:tcPr>
          <w:p>
            <w:r>
              <w:rPr>
                <w:color w:val="1E2A38"/>
                <w:sz w:val="17"/>
              </w:rPr>
            </w:r>
            <w:r>
              <w:rPr>
                <w:color w:val="1E2A38"/>
                <w:sz w:val="17"/>
              </w:rPr>
              <w:t>Fixe Lead-/Marketinggebühr oder später B2B-Paket; kein Anspruch auf volle 10 %, da Transaktion und Storno extern liegen.</w:t>
            </w:r>
          </w:p>
        </w:tc>
      </w:tr>
      <w:tr>
        <w:tc>
          <w:tcPr>
            <w:tcW w:type="dxa" w:w="2100"/>
            <w:vAlign w:val="top"/>
          </w:tcPr>
          <w:p>
            <w:r>
              <w:rPr>
                <w:color w:val="1E2A38"/>
                <w:sz w:val="17"/>
              </w:rPr>
            </w:r>
            <w:r>
              <w:rPr>
                <w:color w:val="1E2A38"/>
                <w:sz w:val="17"/>
              </w:rPr>
              <w:t>Standard-Marktplatzbuchung</w:t>
            </w:r>
          </w:p>
        </w:tc>
        <w:tc>
          <w:tcPr>
            <w:tcW w:type="dxa" w:w="3500"/>
            <w:vAlign w:val="top"/>
          </w:tcPr>
          <w:p>
            <w:r>
              <w:rPr>
                <w:color w:val="1E2A38"/>
                <w:sz w:val="17"/>
              </w:rPr>
            </w:r>
            <w:r>
              <w:rPr>
                <w:color w:val="1E2A38"/>
                <w:sz w:val="17"/>
              </w:rPr>
              <w:t>Restaurantabend, Kurs, lokaler Ausflug</w:t>
            </w:r>
          </w:p>
        </w:tc>
        <w:tc>
          <w:tcPr>
            <w:tcW w:type="dxa" w:w="3760"/>
            <w:vAlign w:val="top"/>
          </w:tcPr>
          <w:p>
            <w:r>
              <w:rPr>
                <w:color w:val="1E2A38"/>
                <w:sz w:val="17"/>
              </w:rPr>
            </w:r>
            <w:r>
              <w:rPr>
                <w:color w:val="1E2A38"/>
                <w:sz w:val="17"/>
              </w:rPr>
              <w:t>Testkorridor etwa 6–10 % inklusive Zahlungs- und Plattformleistung; exakte Höhe per Pilot validieren.</w:t>
            </w:r>
          </w:p>
        </w:tc>
      </w:tr>
      <w:tr>
        <w:tc>
          <w:tcPr>
            <w:tcW w:type="dxa" w:w="2100"/>
            <w:vAlign w:val="top"/>
            <w:shd w:fill="F3F5F7"/>
          </w:tcPr>
          <w:p>
            <w:r>
              <w:rPr>
                <w:color w:val="1E2A38"/>
                <w:sz w:val="17"/>
              </w:rPr>
            </w:r>
            <w:r>
              <w:rPr>
                <w:color w:val="1E2A38"/>
                <w:sz w:val="17"/>
              </w:rPr>
              <w:t>Managed Event</w:t>
            </w:r>
          </w:p>
        </w:tc>
        <w:tc>
          <w:tcPr>
            <w:tcW w:type="dxa" w:w="3500"/>
            <w:vAlign w:val="top"/>
            <w:shd w:fill="F3F5F7"/>
          </w:tcPr>
          <w:p>
            <w:r>
              <w:rPr>
                <w:color w:val="1E2A38"/>
                <w:sz w:val="17"/>
              </w:rPr>
            </w:r>
            <w:r>
              <w:rPr>
                <w:color w:val="1E2A38"/>
                <w:sz w:val="17"/>
              </w:rPr>
              <w:t>Plattform konzipiert, vermarktet und betreut das Format</w:t>
            </w:r>
          </w:p>
        </w:tc>
        <w:tc>
          <w:tcPr>
            <w:tcW w:type="dxa" w:w="3760"/>
            <w:vAlign w:val="top"/>
            <w:shd w:fill="F3F5F7"/>
          </w:tcPr>
          <w:p>
            <w:r>
              <w:rPr>
                <w:color w:val="1E2A38"/>
                <w:sz w:val="17"/>
              </w:rPr>
            </w:r>
            <w:r>
              <w:rPr>
                <w:color w:val="1E2A38"/>
                <w:sz w:val="17"/>
              </w:rPr>
              <w:t>Etwa 12–20 % oder fixe Produktionsgebühr; höhere Leistung rechtfertigt höhere Marge.</w:t>
            </w:r>
          </w:p>
        </w:tc>
      </w:tr>
      <w:tr>
        <w:tc>
          <w:tcPr>
            <w:tcW w:type="dxa" w:w="2100"/>
            <w:vAlign w:val="top"/>
          </w:tcPr>
          <w:p>
            <w:r>
              <w:rPr>
                <w:color w:val="1E2A38"/>
                <w:sz w:val="17"/>
              </w:rPr>
            </w:r>
            <w:r>
              <w:rPr>
                <w:color w:val="1E2A38"/>
                <w:sz w:val="17"/>
              </w:rPr>
              <w:t>B2B Plus</w:t>
            </w:r>
          </w:p>
        </w:tc>
        <w:tc>
          <w:tcPr>
            <w:tcW w:type="dxa" w:w="3500"/>
            <w:vAlign w:val="top"/>
          </w:tcPr>
          <w:p>
            <w:r>
              <w:rPr>
                <w:color w:val="1E2A38"/>
                <w:sz w:val="17"/>
              </w:rPr>
            </w:r>
            <w:r>
              <w:rPr>
                <w:color w:val="1E2A38"/>
                <w:sz w:val="17"/>
              </w:rPr>
              <w:t>Ketten, Reiseanbieter, wiederkehrende Gastgeber</w:t>
            </w:r>
          </w:p>
        </w:tc>
        <w:tc>
          <w:tcPr>
            <w:tcW w:type="dxa" w:w="3760"/>
            <w:vAlign w:val="top"/>
          </w:tcPr>
          <w:p>
            <w:r>
              <w:rPr>
                <w:color w:val="1E2A38"/>
                <w:sz w:val="17"/>
              </w:rPr>
            </w:r>
            <w:r>
              <w:rPr>
                <w:color w:val="1E2A38"/>
                <w:sz w:val="17"/>
              </w:rPr>
              <w:t>Monatlicher Tarif für Analytics, CRM-Export, mehrere Standorte oder Promotions – optional, nicht als einzige Monetarisierung.</w:t>
            </w:r>
          </w:p>
        </w:tc>
      </w:tr>
    </w:tbl>
    <w:p>
      <w:pPr>
        <w:spacing w:after="20"/>
      </w:pPr>
    </w:p>
    <w:p>
      <w:r>
        <w:t>Der Vergleich mit Eventfrog ist entscheidend: Eventfrog bietet Einträge kostenlos und nennt für Plus CHF 0.49 + 2,4 % sowie für Pro CHF 0.49 + 3,6 % pro verkauftem Ticket, jeweils exklusive MWST.[20] Bei einem CHF-70-Bingoabend wären 10 % CHF 7. Die Plattform muss dem Restaurant folglich klar mehr als Ticketing liefern – insbesondere neue zahlende Gäste und eine gefüllte Gruppe.</w:t>
      </w:r>
    </w:p>
    <w:p>
      <w:pPr>
        <w:pStyle w:val="Heading2"/>
      </w:pPr>
      <w:r>
        <w:t>Beispielrechnung, keine Prognose</w:t>
      </w:r>
    </w:p>
    <w:p>
      <w:r>
        <w:t>Bei CHF 70 Ticketpreis, 16 Teilnehmenden und 10 % Provision beträgt der Plattformumsatz CHF 112 pro ausverkauftem Event. Bei 100 solchen Events pro Monat wären dies CHF 11'200 Bruttoumsatz vor Zahlungsgebühren, Rückerstattungen, Support, Akquise, Moderation, MWST und Personal. Das zeigt: Provision allein funktioniert erst bei erheblicher lokaler Veranstaltungsdichte. Managed Events, Partnerschaften und optionale B2B-Werkzeuge können die Ökonomie verbessern.</w:t>
      </w:r>
    </w:p>
    <w:p>
      <w:pPr>
        <w:pStyle w:val="Heading1"/>
      </w:pPr>
      <w:r>
        <w:t>8. Vertrauen, Sicherheit und Recht</w:t>
      </w:r>
    </w:p>
    <w:p>
      <w:r>
        <w:t>Diese Plattform bedient eine teilweise verletzliche Zielgruppe. Vertrauen ist kein Zusatzfeature, sondern das Produkt.</w:t>
      </w:r>
    </w:p>
    <w:p>
      <w:pPr>
        <w:pStyle w:val="Heading2"/>
      </w:pPr>
      <w:r>
        <w:t>Mindestmassnahmen</w:t>
      </w:r>
    </w:p>
    <w:p>
      <w:pPr>
        <w:pStyle w:val="ListBullet"/>
      </w:pPr>
      <w:r>
        <w:t>Anbieterprüfung mit Handelsregister-/Identitäts- und Bankkontoabgleich;</w:t>
      </w:r>
    </w:p>
    <w:p>
      <w:pPr>
        <w:pStyle w:val="ListBullet"/>
      </w:pPr>
      <w:r>
        <w:t>klare Kennzeichnung: professioneller Anbieter, Organisation oder Privatgastgeber;</w:t>
      </w:r>
    </w:p>
    <w:p>
      <w:pPr>
        <w:pStyle w:val="ListBullet"/>
      </w:pPr>
      <w:r>
        <w:t>Telefonnummerverifikation der Teilnehmenden;</w:t>
      </w:r>
    </w:p>
    <w:p>
      <w:pPr>
        <w:pStyle w:val="ListBullet"/>
      </w:pPr>
      <w:r>
        <w:t>progressive Freischaltung von Kontaktfunktionen;</w:t>
      </w:r>
    </w:p>
    <w:p>
      <w:pPr>
        <w:pStyle w:val="ListBullet"/>
      </w:pPr>
      <w:r>
        <w:t>Betrugswarnungen und Verbot von Geldforderungen im Chat;</w:t>
      </w:r>
    </w:p>
    <w:p>
      <w:pPr>
        <w:pStyle w:val="ListBullet"/>
      </w:pPr>
      <w:r>
        <w:t>Melden/Blockieren, schnelle menschliche Moderation und Eskalationsprozess;</w:t>
      </w:r>
    </w:p>
    <w:p>
      <w:pPr>
        <w:pStyle w:val="ListBullet"/>
      </w:pPr>
      <w:r>
        <w:t>keine Bewertung einzelner Teilnehmender mit Sternen; stattdessen Verhaltensmeldungen intern;</w:t>
      </w:r>
    </w:p>
    <w:p>
      <w:pPr>
        <w:pStyle w:val="ListBullet"/>
      </w:pPr>
      <w:r>
        <w:t>klare Storno-, No-show-, Absage- und Rückerstattungsregeln;</w:t>
      </w:r>
    </w:p>
    <w:p>
      <w:pPr>
        <w:pStyle w:val="ListBullet"/>
      </w:pPr>
      <w:r>
        <w:t>Veranstaltungshaftung und Versicherungsrollen vertraglich abgrenzen;</w:t>
      </w:r>
    </w:p>
    <w:p>
      <w:pPr>
        <w:pStyle w:val="ListBullet"/>
      </w:pPr>
      <w:r>
        <w:t>für Reiseangebote Pauschalreise- und Veranstalterpflichten gesondert juristisch prüfen.</w:t>
      </w:r>
    </w:p>
    <w:p>
      <w:r>
        <w:t>Das revidierte Schweizer Datenschutzgesetz ist seit 1. September 2023 in Kraft.[21] Profile, Standort, Fotos, Chat und mögliche Mobilitäts-/Gesundheitsangaben erfordern Privacy by Design: minimale öffentliche Daten, verständliche Einwilligungen, Lösch- und Auskunftsprozesse, definierte Aufbewahrung sowie Rollenrechte. Besonders schützenswerte Angaben dürfen nicht beiläufig in öffentlichen Profilen landen.</w:t>
      </w:r>
    </w:p>
    <w:p>
      <w:r>
        <w:t>Zahlungen sollten über einen etablierten Marketplace-Payment-Provider abgewickelt werden, sodass die Plattform Kundengelder nicht selbst hält. FINMA weist allgemein darauf hin, dass Unternehmen, die Kundengelder verwalten, je nach Tätigkeit eine Bewilligung benötigen können.[22] Die konkrete Vertrags-, Inkasso-, MWST- und Auszahlungsstruktur ist vor Launch mit Schweizer Rechts- und Steuerberatung zu bestätigen.</w:t>
      </w:r>
    </w:p>
    <w:p>
      <w:pPr>
        <w:pStyle w:val="Heading1"/>
      </w:pPr>
      <w:r>
        <w:t>9. Empfohlener MVP</w:t>
      </w:r>
    </w:p>
    <w:p>
      <w:pPr>
        <w:pStyle w:val="Heading2"/>
      </w:pPr>
      <w:r>
        <w:t>Im MVP enthalten</w:t>
      </w:r>
    </w:p>
    <w:p>
      <w:pPr>
        <w:pStyle w:val="ListNumber"/>
      </w:pPr>
      <w:r>
        <w:t>Responsive Website zuerst; App oder sehr schlanke App ergänzend.</w:t>
      </w:r>
    </w:p>
    <w:p>
      <w:pPr>
        <w:pStyle w:val="ListNumber"/>
      </w:pPr>
      <w:r>
        <w:t>Regionale Veranstaltungssuche und Filter.</w:t>
      </w:r>
    </w:p>
    <w:p>
      <w:pPr>
        <w:pStyle w:val="ListNumber"/>
      </w:pPr>
      <w:r>
        <w:t>Verifizierte Anbieter und manuell kuratierte Events.</w:t>
      </w:r>
    </w:p>
    <w:p>
      <w:pPr>
        <w:pStyle w:val="ListNumber"/>
      </w:pPr>
      <w:r>
        <w:t>Anmeldung/Buchung, Mindest-/Höchstzahl, Warteliste, Storno und Rückerstattung.</w:t>
      </w:r>
    </w:p>
    <w:p>
      <w:pPr>
        <w:pStyle w:val="ListNumber"/>
      </w:pPr>
      <w:r>
        <w:t>Einfacher Steckbrief, freiwilliges Foto, Interessen und Region.</w:t>
      </w:r>
    </w:p>
    <w:p>
      <w:pPr>
        <w:pStyle w:val="ListNumber"/>
      </w:pPr>
      <w:r>
        <w:t>Event-Gruppenchat mit Melden/Blockieren.</w:t>
      </w:r>
    </w:p>
    <w:p>
      <w:pPr>
        <w:pStyle w:val="ListNumber"/>
      </w:pPr>
      <w:r>
        <w:t>Gastgeber-Dashboard mit Teilnehmerliste, Check-in und Kommunikation.</w:t>
      </w:r>
    </w:p>
    <w:p>
      <w:pPr>
        <w:pStyle w:val="ListNumber"/>
      </w:pPr>
      <w:r>
        <w:t>E-Mail, Push und optional SMS/Telefonhilfe.</w:t>
      </w:r>
    </w:p>
    <w:p>
      <w:pPr>
        <w:pStyle w:val="ListNumber"/>
      </w:pPr>
      <w:r>
        <w:t>Adminbereich für Prüfung, Support, Moderation und Rückerstattungen.</w:t>
      </w:r>
    </w:p>
    <w:p>
      <w:pPr>
        <w:pStyle w:val="ListNumber"/>
      </w:pPr>
      <w:r>
        <w:t>Barrierefreiheits- und Mobilitätsinformationen pro Anlass.</w:t>
      </w:r>
    </w:p>
    <w:p>
      <w:pPr>
        <w:pStyle w:val="Heading2"/>
      </w:pPr>
      <w:r>
        <w:t>Bewusst später</w:t>
      </w:r>
    </w:p>
    <w:p>
      <w:pPr>
        <w:pStyle w:val="ListBullet"/>
      </w:pPr>
      <w:r>
        <w:t>offener 1:1-Chat;</w:t>
      </w:r>
    </w:p>
    <w:p>
      <w:pPr>
        <w:pStyle w:val="ListBullet"/>
      </w:pPr>
      <w:r>
        <w:t>private, unmoderierte Events;</w:t>
      </w:r>
    </w:p>
    <w:p>
      <w:pPr>
        <w:pStyle w:val="ListBullet"/>
      </w:pPr>
      <w:r>
        <w:t>algorithmischer Social Feed;</w:t>
      </w:r>
    </w:p>
    <w:p>
      <w:pPr>
        <w:pStyle w:val="ListBullet"/>
      </w:pPr>
      <w:r>
        <w:t>Dating-Funktionen;</w:t>
      </w:r>
    </w:p>
    <w:p>
      <w:pPr>
        <w:pStyle w:val="ListBullet"/>
      </w:pPr>
      <w:r>
        <w:t>landesweiter Start in allen Sprachregionen;</w:t>
      </w:r>
    </w:p>
    <w:p>
      <w:pPr>
        <w:pStyle w:val="ListBullet"/>
      </w:pPr>
      <w:r>
        <w:t>komplexe Treuepunkte oder Abos;</w:t>
      </w:r>
    </w:p>
    <w:p>
      <w:pPr>
        <w:pStyle w:val="ListBullet"/>
      </w:pPr>
      <w:r>
        <w:t>eigene Reiseproduktion;</w:t>
      </w:r>
    </w:p>
    <w:p>
      <w:pPr>
        <w:pStyle w:val="ListBullet"/>
      </w:pPr>
      <w:r>
        <w:t>Deutschland vor belegtem Schweizer Product-Market-Fit.</w:t>
      </w:r>
    </w:p>
    <w:p>
      <w:pPr>
        <w:pStyle w:val="Heading2"/>
      </w:pPr>
      <w:r>
        <w:t>Technische Reihenfolge</w:t>
      </w:r>
    </w:p>
    <w:p>
      <w:r>
        <w:t>Eine Website ist für Validierung, Suchmaschinenauffindbarkeit, Angehörige und telefonischen Support wichtiger als sofort zwei native Apps. Ein gutes responsives Webprodukt bzw. eine installierbare Web-App kann die ersten Piloten abdecken. Native Apps lohnen sich, wenn Push, wiederkehrende Nutzung und Community-Verhalten belegt sind.</w:t>
      </w:r>
    </w:p>
    <w:p>
      <w:pPr>
        <w:pStyle w:val="Heading1"/>
      </w:pPr>
      <w:r>
        <w:t>10. Pilotvorschlag</w:t>
      </w:r>
    </w:p>
    <w:p>
      <w:pPr>
        <w:pStyle w:val="Heading2"/>
      </w:pPr>
      <w:r>
        <w:t>Region</w:t>
      </w:r>
    </w:p>
    <w:p>
      <w:r>
        <w:t>Eine kompakte Region mit hoher Dichte wählen, beispielsweise Stadt Zürich plus angrenzende Gemeinden. Nicht die ganze Schweiz gleichzeitig starten.</w:t>
      </w:r>
    </w:p>
    <w:p>
      <w:pPr>
        <w:pStyle w:val="Heading2"/>
      </w:pPr>
      <w:r>
        <w:t>Angebotsmix für 12 Wochen</w:t>
      </w:r>
    </w:p>
    <w:p>
      <w:pPr>
        <w:pStyle w:val="ListBullet"/>
      </w:pPr>
      <w:r>
        <w:t>5–10 verifizierte Anbieter;</w:t>
      </w:r>
    </w:p>
    <w:p>
      <w:pPr>
        <w:pStyle w:val="ListBullet"/>
      </w:pPr>
      <w:r>
        <w:t>20–30 buchbare Termine;</w:t>
      </w:r>
    </w:p>
    <w:p>
      <w:pPr>
        <w:pStyle w:val="ListBullet"/>
      </w:pPr>
      <w:r>
        <w:t>wiederkehrender Mittagstisch;</w:t>
      </w:r>
    </w:p>
    <w:p>
      <w:pPr>
        <w:pStyle w:val="ListBullet"/>
      </w:pPr>
      <w:r>
        <w:t>Bingo/Jass/Quiz;</w:t>
      </w:r>
    </w:p>
    <w:p>
      <w:pPr>
        <w:pStyle w:val="ListBullet"/>
      </w:pPr>
      <w:r>
        <w:t>ein Kulturangebot;</w:t>
      </w:r>
    </w:p>
    <w:p>
      <w:pPr>
        <w:pStyle w:val="ListBullet"/>
      </w:pPr>
      <w:r>
        <w:t>ein gemütlicher Ausflug;</w:t>
      </w:r>
    </w:p>
    <w:p>
      <w:pPr>
        <w:pStyle w:val="ListBullet"/>
      </w:pPr>
      <w:r>
        <w:t>ein Bewegungsangebot;</w:t>
      </w:r>
    </w:p>
    <w:p>
      <w:pPr>
        <w:pStyle w:val="ListBullet"/>
      </w:pPr>
      <w:r>
        <w:t>mehrere kostenlose Partnerangebote als Einstieg.</w:t>
      </w:r>
    </w:p>
    <w:p>
      <w:pPr>
        <w:pStyle w:val="Heading2"/>
      </w:pPr>
      <w:r>
        <w:t>Vor dem Bau testen</w:t>
      </w:r>
    </w:p>
    <w:p>
      <w:r>
        <w:t>Zuerst 20–30 Gespräche mit Pensionierten aus unterschiedlichen Alters-, Einkommens- und Digitalkompetenzgruppen sowie 10–15 Anbieterinterviews. Danach ein Concierge-Pilot: Landingpage, Telefon, manuelle Buchung und WhatsApp/SMS im Hintergrund. Erst wenn reale Anmeldungen und Wiederholungswünsche auftreten, die Plattform automatisieren.</w:t>
      </w:r>
    </w:p>
    <w:p>
      <w:pPr>
        <w:pStyle w:val="Heading2"/>
      </w:pPr>
      <w:r>
        <w:t>Kernkennzahlen</w:t>
      </w:r>
    </w:p>
    <w:p>
      <w:pPr>
        <w:pStyle w:val="ListBullet"/>
      </w:pPr>
      <w:r>
        <w:t>Anteil Eventseitenbesucher → Anmeldung;</w:t>
      </w:r>
    </w:p>
    <w:p>
      <w:pPr>
        <w:pStyle w:val="ListBullet"/>
      </w:pPr>
      <w:r>
        <w:t>Anteil Erstteilnehmende, die wirklich erscheinen;</w:t>
      </w:r>
    </w:p>
    <w:p>
      <w:pPr>
        <w:pStyle w:val="ListBullet"/>
      </w:pPr>
      <w:r>
        <w:t>Wiederbuchung innerhalb von 60 Tagen;</w:t>
      </w:r>
    </w:p>
    <w:p>
      <w:pPr>
        <w:pStyle w:val="ListBullet"/>
      </w:pPr>
      <w:r>
        <w:t>Veranstaltungen, die Mindestzahl erreichen;</w:t>
      </w:r>
    </w:p>
    <w:p>
      <w:pPr>
        <w:pStyle w:val="ListBullet"/>
      </w:pPr>
      <w:r>
        <w:t>Wartelisten-Nachrückquote;</w:t>
      </w:r>
    </w:p>
    <w:p>
      <w:pPr>
        <w:pStyle w:val="ListBullet"/>
      </w:pPr>
      <w:r>
        <w:t>Akquisekosten je aktive Person und je Anbieter;</w:t>
      </w:r>
    </w:p>
    <w:p>
      <w:pPr>
        <w:pStyle w:val="ListBullet"/>
      </w:pPr>
      <w:r>
        <w:t>Deckungsbeitrag je durchgeführtem Event;</w:t>
      </w:r>
    </w:p>
    <w:p>
      <w:pPr>
        <w:pStyle w:val="ListBullet"/>
      </w:pPr>
      <w:r>
        <w:t>Supportfälle pro Buchung;</w:t>
      </w:r>
    </w:p>
    <w:p>
      <w:pPr>
        <w:pStyle w:val="ListBullet"/>
      </w:pPr>
      <w:r>
        <w:t>Sicherheitsmeldungen und Reaktionszeit;</w:t>
      </w:r>
    </w:p>
    <w:p>
      <w:pPr>
        <w:pStyle w:val="ListBullet"/>
      </w:pPr>
      <w:r>
        <w:t>Anteil Teilnehmende, die allein gekommen sind und sich willkommen fühlten.</w:t>
      </w:r>
    </w:p>
    <w:p>
      <w:r>
        <w:t xml:space="preserve">Die wichtigste Mission-Kennzahl ist nicht Downloadzahl, sondern </w:t>
      </w:r>
      <w:r>
        <w:rPr>
          <w:b/>
        </w:rPr>
        <w:t>wiederholte reale Teilnahme</w:t>
      </w:r>
      <w:r>
        <w:t>.</w:t>
      </w:r>
    </w:p>
    <w:p>
      <w:pPr>
        <w:pStyle w:val="Heading1"/>
      </w:pPr>
      <w:r>
        <w:t>11. Hauptrisiken und Gegenmassnahmen</w:t>
      </w:r>
    </w:p>
    <w:tbl>
      <w:tblPr>
        <w:tblW w:type="auto" w:w="0"/>
        <w:jc w:val="left"/>
        <w:tblLayout w:type="fixed"/>
        <w:tblLook w:firstColumn="1" w:firstRow="1" w:lastColumn="0" w:lastRow="0" w:noHBand="0" w:noVBand="1" w:val="04A0"/>
        <w:tblBorders>
          <w:top w:val="single" w:sz="4" w:color="CDD5DB"/>
          <w:left w:val="single" w:sz="4" w:color="CDD5DB"/>
          <w:bottom w:val="single" w:sz="4" w:color="CDD5DB"/>
          <w:right w:val="single" w:sz="4" w:color="CDD5DB"/>
          <w:insideH w:val="single" w:sz="4" w:color="CDD5DB"/>
          <w:insideV w:val="single" w:sz="4" w:color="CDD5DB"/>
        </w:tblBorders>
      </w:tblPr>
      <w:tblGrid>
        <w:gridCol w:w="3216"/>
        <w:gridCol w:w="3216"/>
        <w:gridCol w:w="3216"/>
      </w:tblGrid>
      <w:tr>
        <w:trPr>
          <w:tblHeader w:val="true"/>
        </w:trPr>
        <w:tc>
          <w:tcPr>
            <w:tcW w:type="dxa" w:w="2100"/>
            <w:vAlign w:val="top"/>
            <w:shd w:fill="1E2A38"/>
          </w:tcPr>
          <w:p>
            <w:r>
              <w:rPr>
                <w:b/>
                <w:color w:val="FFFFFF"/>
                <w:sz w:val="17"/>
              </w:rPr>
            </w:r>
            <w:r>
              <w:rPr>
                <w:b/>
                <w:color w:val="FFFFFF"/>
                <w:sz w:val="17"/>
              </w:rPr>
              <w:t>Risiko</w:t>
            </w:r>
          </w:p>
        </w:tc>
        <w:tc>
          <w:tcPr>
            <w:tcW w:type="dxa" w:w="3500"/>
            <w:vAlign w:val="top"/>
            <w:shd w:fill="1E2A38"/>
          </w:tcPr>
          <w:p>
            <w:r>
              <w:rPr>
                <w:b/>
                <w:color w:val="FFFFFF"/>
                <w:sz w:val="17"/>
              </w:rPr>
            </w:r>
            <w:r>
              <w:rPr>
                <w:b/>
                <w:color w:val="FFFFFF"/>
                <w:sz w:val="17"/>
              </w:rPr>
              <w:t>Bedeutung</w:t>
            </w:r>
          </w:p>
        </w:tc>
        <w:tc>
          <w:tcPr>
            <w:tcW w:type="dxa" w:w="3760"/>
            <w:vAlign w:val="top"/>
            <w:shd w:fill="1E2A38"/>
          </w:tcPr>
          <w:p>
            <w:r>
              <w:rPr>
                <w:b/>
                <w:color w:val="FFFFFF"/>
                <w:sz w:val="17"/>
              </w:rPr>
            </w:r>
            <w:r>
              <w:rPr>
                <w:b/>
                <w:color w:val="FFFFFF"/>
                <w:sz w:val="17"/>
              </w:rPr>
              <w:t>Gegenmassnahme</w:t>
            </w:r>
          </w:p>
        </w:tc>
      </w:tr>
      <w:tr>
        <w:tc>
          <w:tcPr>
            <w:tcW w:type="dxa" w:w="2100"/>
            <w:vAlign w:val="top"/>
          </w:tcPr>
          <w:p>
            <w:r>
              <w:rPr>
                <w:color w:val="1E2A38"/>
                <w:sz w:val="17"/>
              </w:rPr>
            </w:r>
            <w:r>
              <w:rPr>
                <w:color w:val="1E2A38"/>
                <w:sz w:val="17"/>
              </w:rPr>
              <w:t>Henne-Ei-Problem</w:t>
            </w:r>
          </w:p>
        </w:tc>
        <w:tc>
          <w:tcPr>
            <w:tcW w:type="dxa" w:w="3500"/>
            <w:vAlign w:val="top"/>
          </w:tcPr>
          <w:p>
            <w:r>
              <w:rPr>
                <w:color w:val="1E2A38"/>
                <w:sz w:val="17"/>
              </w:rPr>
            </w:r>
            <w:r>
              <w:rPr>
                <w:color w:val="1E2A38"/>
                <w:sz w:val="17"/>
              </w:rPr>
              <w:t>Ohne lokale Angebote keine Nutzer; ohne Nutzer keine Anbieter.</w:t>
            </w:r>
          </w:p>
        </w:tc>
        <w:tc>
          <w:tcPr>
            <w:tcW w:type="dxa" w:w="3760"/>
            <w:vAlign w:val="top"/>
          </w:tcPr>
          <w:p>
            <w:r>
              <w:rPr>
                <w:color w:val="1E2A38"/>
                <w:sz w:val="17"/>
              </w:rPr>
            </w:r>
            <w:r>
              <w:rPr>
                <w:color w:val="1E2A38"/>
                <w:sz w:val="17"/>
              </w:rPr>
              <w:t>Stadtweise starten, Angebotsseite vorfinanzieren/kuratieren, wiederkehrende Ankerformate.</w:t>
            </w:r>
          </w:p>
        </w:tc>
      </w:tr>
      <w:tr>
        <w:tc>
          <w:tcPr>
            <w:tcW w:type="dxa" w:w="2100"/>
            <w:vAlign w:val="top"/>
            <w:shd w:fill="F3F5F7"/>
          </w:tcPr>
          <w:p>
            <w:r>
              <w:rPr>
                <w:color w:val="1E2A38"/>
                <w:sz w:val="17"/>
              </w:rPr>
            </w:r>
            <w:r>
              <w:rPr>
                <w:color w:val="1E2A38"/>
                <w:sz w:val="17"/>
              </w:rPr>
              <w:t>Stigmatisierende Marke</w:t>
            </w:r>
          </w:p>
        </w:tc>
        <w:tc>
          <w:tcPr>
            <w:tcW w:type="dxa" w:w="3500"/>
            <w:vAlign w:val="top"/>
            <w:shd w:fill="F3F5F7"/>
          </w:tcPr>
          <w:p>
            <w:r>
              <w:rPr>
                <w:color w:val="1E2A38"/>
                <w:sz w:val="17"/>
              </w:rPr>
            </w:r>
            <w:r>
              <w:rPr>
                <w:color w:val="1E2A38"/>
                <w:sz w:val="17"/>
              </w:rPr>
              <w:t>«Einsamkeits-App für Rentner» schreckt aktive 65+ ab.</w:t>
            </w:r>
          </w:p>
        </w:tc>
        <w:tc>
          <w:tcPr>
            <w:tcW w:type="dxa" w:w="3760"/>
            <w:vAlign w:val="top"/>
            <w:shd w:fill="F3F5F7"/>
          </w:tcPr>
          <w:p>
            <w:r>
              <w:rPr>
                <w:color w:val="1E2A38"/>
                <w:sz w:val="17"/>
              </w:rPr>
            </w:r>
            <w:r>
              <w:rPr>
                <w:color w:val="1E2A38"/>
                <w:sz w:val="17"/>
              </w:rPr>
              <w:t>Positive Erlebnis- und Zugehörigkeitsmarke; Alter als Fokus, nicht Defizit.</w:t>
            </w:r>
          </w:p>
        </w:tc>
      </w:tr>
      <w:tr>
        <w:tc>
          <w:tcPr>
            <w:tcW w:type="dxa" w:w="2100"/>
            <w:vAlign w:val="top"/>
          </w:tcPr>
          <w:p>
            <w:r>
              <w:rPr>
                <w:color w:val="1E2A38"/>
                <w:sz w:val="17"/>
              </w:rPr>
            </w:r>
            <w:r>
              <w:rPr>
                <w:color w:val="1E2A38"/>
                <w:sz w:val="17"/>
              </w:rPr>
              <w:t>Niedrige digitale Kompetenz</w:t>
            </w:r>
          </w:p>
        </w:tc>
        <w:tc>
          <w:tcPr>
            <w:tcW w:type="dxa" w:w="3500"/>
            <w:vAlign w:val="top"/>
          </w:tcPr>
          <w:p>
            <w:r>
              <w:rPr>
                <w:color w:val="1E2A38"/>
                <w:sz w:val="17"/>
              </w:rPr>
            </w:r>
            <w:r>
              <w:rPr>
                <w:color w:val="1E2A38"/>
                <w:sz w:val="17"/>
              </w:rPr>
              <w:t>Gerade besonders isolierte Personen werden nicht erreicht.</w:t>
            </w:r>
          </w:p>
        </w:tc>
        <w:tc>
          <w:tcPr>
            <w:tcW w:type="dxa" w:w="3760"/>
            <w:vAlign w:val="top"/>
          </w:tcPr>
          <w:p>
            <w:r>
              <w:rPr>
                <w:color w:val="1E2A38"/>
                <w:sz w:val="17"/>
              </w:rPr>
            </w:r>
            <w:r>
              <w:rPr>
                <w:color w:val="1E2A38"/>
                <w:sz w:val="17"/>
              </w:rPr>
              <w:t>Telefon, Gastbuchung, Angehörigenmodus, lokale Partner und Print.</w:t>
            </w:r>
          </w:p>
        </w:tc>
      </w:tr>
      <w:tr>
        <w:tc>
          <w:tcPr>
            <w:tcW w:type="dxa" w:w="2100"/>
            <w:vAlign w:val="top"/>
            <w:shd w:fill="F3F5F7"/>
          </w:tcPr>
          <w:p>
            <w:r>
              <w:rPr>
                <w:color w:val="1E2A38"/>
                <w:sz w:val="17"/>
              </w:rPr>
            </w:r>
            <w:r>
              <w:rPr>
                <w:color w:val="1E2A38"/>
                <w:sz w:val="17"/>
              </w:rPr>
              <w:t>Betrug/Belästigung</w:t>
            </w:r>
          </w:p>
        </w:tc>
        <w:tc>
          <w:tcPr>
            <w:tcW w:type="dxa" w:w="3500"/>
            <w:vAlign w:val="top"/>
            <w:shd w:fill="F3F5F7"/>
          </w:tcPr>
          <w:p>
            <w:r>
              <w:rPr>
                <w:color w:val="1E2A38"/>
                <w:sz w:val="17"/>
              </w:rPr>
            </w:r>
            <w:r>
              <w:rPr>
                <w:color w:val="1E2A38"/>
                <w:sz w:val="17"/>
              </w:rPr>
              <w:t>Ältere Zielgruppe und Kontaktfunktionen sind attraktiv für Scammer.</w:t>
            </w:r>
          </w:p>
        </w:tc>
        <w:tc>
          <w:tcPr>
            <w:tcW w:type="dxa" w:w="3760"/>
            <w:vAlign w:val="top"/>
            <w:shd w:fill="F3F5F7"/>
          </w:tcPr>
          <w:p>
            <w:r>
              <w:rPr>
                <w:color w:val="1E2A38"/>
                <w:sz w:val="17"/>
              </w:rPr>
            </w:r>
            <w:r>
              <w:rPr>
                <w:color w:val="1E2A38"/>
                <w:sz w:val="17"/>
              </w:rPr>
              <w:t>Verifikation, eventgebundener Chat, Moderation, progressive Kontakte.</w:t>
            </w:r>
          </w:p>
        </w:tc>
      </w:tr>
      <w:tr>
        <w:tc>
          <w:tcPr>
            <w:tcW w:type="dxa" w:w="2100"/>
            <w:vAlign w:val="top"/>
          </w:tcPr>
          <w:p>
            <w:r>
              <w:rPr>
                <w:color w:val="1E2A38"/>
                <w:sz w:val="17"/>
              </w:rPr>
            </w:r>
            <w:r>
              <w:rPr>
                <w:color w:val="1E2A38"/>
                <w:sz w:val="17"/>
              </w:rPr>
              <w:t>Dünne Provision</w:t>
            </w:r>
          </w:p>
        </w:tc>
        <w:tc>
          <w:tcPr>
            <w:tcW w:type="dxa" w:w="3500"/>
            <w:vAlign w:val="top"/>
          </w:tcPr>
          <w:p>
            <w:r>
              <w:rPr>
                <w:color w:val="1E2A38"/>
                <w:sz w:val="17"/>
              </w:rPr>
            </w:r>
            <w:r>
              <w:rPr>
                <w:color w:val="1E2A38"/>
                <w:sz w:val="17"/>
              </w:rPr>
              <w:t>Kleine Events erzeugen geringen Umsatz.</w:t>
            </w:r>
          </w:p>
        </w:tc>
        <w:tc>
          <w:tcPr>
            <w:tcW w:type="dxa" w:w="3760"/>
            <w:vAlign w:val="top"/>
          </w:tcPr>
          <w:p>
            <w:r>
              <w:rPr>
                <w:color w:val="1E2A38"/>
                <w:sz w:val="17"/>
              </w:rPr>
            </w:r>
            <w:r>
              <w:rPr>
                <w:color w:val="1E2A38"/>
                <w:sz w:val="17"/>
              </w:rPr>
              <w:t>Dichte, Wiederholung, Managed Events, B2B-Zusatzleistungen.</w:t>
            </w:r>
          </w:p>
        </w:tc>
      </w:tr>
      <w:tr>
        <w:tc>
          <w:tcPr>
            <w:tcW w:type="dxa" w:w="2100"/>
            <w:vAlign w:val="top"/>
            <w:shd w:fill="F3F5F7"/>
          </w:tcPr>
          <w:p>
            <w:r>
              <w:rPr>
                <w:color w:val="1E2A38"/>
                <w:sz w:val="17"/>
              </w:rPr>
            </w:r>
            <w:r>
              <w:rPr>
                <w:color w:val="1E2A38"/>
                <w:sz w:val="17"/>
              </w:rPr>
              <w:t>No-shows und Absagen</w:t>
            </w:r>
          </w:p>
        </w:tc>
        <w:tc>
          <w:tcPr>
            <w:tcW w:type="dxa" w:w="3500"/>
            <w:vAlign w:val="top"/>
            <w:shd w:fill="F3F5F7"/>
          </w:tcPr>
          <w:p>
            <w:r>
              <w:rPr>
                <w:color w:val="1E2A38"/>
                <w:sz w:val="17"/>
              </w:rPr>
            </w:r>
            <w:r>
              <w:rPr>
                <w:color w:val="1E2A38"/>
                <w:sz w:val="17"/>
              </w:rPr>
              <w:t>Mindestteilnehmermodell wird instabil.</w:t>
            </w:r>
          </w:p>
        </w:tc>
        <w:tc>
          <w:tcPr>
            <w:tcW w:type="dxa" w:w="3760"/>
            <w:vAlign w:val="top"/>
            <w:shd w:fill="F3F5F7"/>
          </w:tcPr>
          <w:p>
            <w:r>
              <w:rPr>
                <w:color w:val="1E2A38"/>
                <w:sz w:val="17"/>
              </w:rPr>
            </w:r>
            <w:r>
              <w:rPr>
                <w:color w:val="1E2A38"/>
                <w:sz w:val="17"/>
              </w:rPr>
              <w:t>Verbindliche Zahlung, Erinnerungen, klare Fristen, Warteliste.</w:t>
            </w:r>
          </w:p>
        </w:tc>
      </w:tr>
      <w:tr>
        <w:tc>
          <w:tcPr>
            <w:tcW w:type="dxa" w:w="2100"/>
            <w:vAlign w:val="top"/>
          </w:tcPr>
          <w:p>
            <w:r>
              <w:rPr>
                <w:color w:val="1E2A38"/>
                <w:sz w:val="17"/>
              </w:rPr>
            </w:r>
            <w:r>
              <w:rPr>
                <w:color w:val="1E2A38"/>
                <w:sz w:val="17"/>
              </w:rPr>
              <w:t>Haftung/Vertrag</w:t>
            </w:r>
          </w:p>
        </w:tc>
        <w:tc>
          <w:tcPr>
            <w:tcW w:type="dxa" w:w="3500"/>
            <w:vAlign w:val="top"/>
          </w:tcPr>
          <w:p>
            <w:r>
              <w:rPr>
                <w:color w:val="1E2A38"/>
                <w:sz w:val="17"/>
              </w:rPr>
            </w:r>
            <w:r>
              <w:rPr>
                <w:color w:val="1E2A38"/>
                <w:sz w:val="17"/>
              </w:rPr>
              <w:t>Unklar, wer Veranstalter, Vermittler oder Reiseanbieter ist.</w:t>
            </w:r>
          </w:p>
        </w:tc>
        <w:tc>
          <w:tcPr>
            <w:tcW w:type="dxa" w:w="3760"/>
            <w:vAlign w:val="top"/>
          </w:tcPr>
          <w:p>
            <w:r>
              <w:rPr>
                <w:color w:val="1E2A38"/>
                <w:sz w:val="17"/>
              </w:rPr>
            </w:r>
            <w:r>
              <w:rPr>
                <w:color w:val="1E2A38"/>
                <w:sz w:val="17"/>
              </w:rPr>
              <w:t>Rollen pro Angebot eindeutig; juristische Prüfung und Anbieterbedingungen.</w:t>
            </w:r>
          </w:p>
        </w:tc>
      </w:tr>
      <w:tr>
        <w:tc>
          <w:tcPr>
            <w:tcW w:type="dxa" w:w="2100"/>
            <w:vAlign w:val="top"/>
            <w:shd w:fill="F3F5F7"/>
          </w:tcPr>
          <w:p>
            <w:r>
              <w:rPr>
                <w:color w:val="1E2A38"/>
                <w:sz w:val="17"/>
              </w:rPr>
            </w:r>
            <w:r>
              <w:rPr>
                <w:color w:val="1E2A38"/>
                <w:sz w:val="17"/>
              </w:rPr>
              <w:t>Zu grosser MVP</w:t>
            </w:r>
          </w:p>
        </w:tc>
        <w:tc>
          <w:tcPr>
            <w:tcW w:type="dxa" w:w="3500"/>
            <w:vAlign w:val="top"/>
            <w:shd w:fill="F3F5F7"/>
          </w:tcPr>
          <w:p>
            <w:r>
              <w:rPr>
                <w:color w:val="1E2A38"/>
                <w:sz w:val="17"/>
              </w:rPr>
            </w:r>
            <w:r>
              <w:rPr>
                <w:color w:val="1E2A38"/>
                <w:sz w:val="17"/>
              </w:rPr>
              <w:t>Social Network + Ticketing + Reiseportal + App überfordert den Start.</w:t>
            </w:r>
          </w:p>
        </w:tc>
        <w:tc>
          <w:tcPr>
            <w:tcW w:type="dxa" w:w="3760"/>
            <w:vAlign w:val="top"/>
            <w:shd w:fill="F3F5F7"/>
          </w:tcPr>
          <w:p>
            <w:r>
              <w:rPr>
                <w:color w:val="1E2A38"/>
                <w:sz w:val="17"/>
              </w:rPr>
            </w:r>
            <w:r>
              <w:rPr>
                <w:color w:val="1E2A38"/>
                <w:sz w:val="17"/>
              </w:rPr>
              <w:t>Kuratierter regionaler Buchungs-MVP und manuelle Prozesse.</w:t>
            </w:r>
          </w:p>
        </w:tc>
      </w:tr>
    </w:tbl>
    <w:p>
      <w:pPr>
        <w:spacing w:after="20"/>
      </w:pPr>
    </w:p>
    <w:p>
      <w:pPr>
        <w:pStyle w:val="Heading1"/>
      </w:pPr>
      <w:r>
        <w:t>12. Gesamturteil</w:t>
      </w:r>
    </w:p>
    <w:p>
      <w:r>
        <w:rPr>
          <w:b/>
        </w:rPr>
        <w:t>Attraktivität der Idee: 7,5/10 – unter einer klaren Bedingung.</w:t>
      </w:r>
    </w:p>
    <w:p>
      <w:r>
        <w:t>Die Idee ist gesellschaftlich relevant, adressiert einen wachsenden Markt und kann für Anbieter einen echten neuen Vertriebskanal schaffen. Sie ist jedoch nur dann wirtschaftlich und unterscheidbar, wenn sie nicht als generisches Seniorennetzwerk gebaut wird. Die stärkste These lautet:</w:t>
      </w:r>
    </w:p>
    <w:p>
      <w:pPr>
        <w:spacing w:before="100" w:after="160"/>
        <w:ind w:left="432" w:right="288"/>
        <w:pBdr>
          <w:left w:val="single" w:sz="18" w:color="2A726B" w:space="10"/>
        </w:pBdr>
      </w:pPr>
      <w:r>
        <w:rPr>
          <w:b/>
          <w:color w:val="2A726B"/>
          <w:sz w:val="26"/>
        </w:rPr>
        <w:t>Nicht Menschen online miteinander bekannt machen, sondern ihnen einen sicheren, konkreten Anlass geben, sich offline wiederzusehen.</w:t>
      </w:r>
    </w:p>
    <w:p>
      <w:r>
        <w:t>Die erste Version sollte daher Erlebnisbuchung, kleine Gruppen, Vertrauen, Zugänglichkeit und menschlichen Support priorisieren. Profile und Chat unterstützen das reale Treffen; sie sind nicht selbst das Hauptprodukt.</w:t>
      </w:r>
    </w:p>
    <w:p>
      <w:pPr>
        <w:pStyle w:val="Heading1"/>
      </w:pPr>
      <w:r>
        <w:t>Empfohlene nächste Entscheidungen</w:t>
      </w:r>
    </w:p>
    <w:p>
      <w:pPr>
        <w:pStyle w:val="ListNumber"/>
      </w:pPr>
      <w:r>
        <w:t>Zielregion für den Pilot festlegen.</w:t>
      </w:r>
    </w:p>
    <w:p>
      <w:pPr>
        <w:pStyle w:val="ListNumber"/>
      </w:pPr>
      <w:r>
        <w:t>Kernsegment auswählen: aktive 65–79 oder breiter 60+.</w:t>
      </w:r>
    </w:p>
    <w:p>
      <w:pPr>
        <w:pStyle w:val="ListNumber"/>
      </w:pPr>
      <w:r>
        <w:t>Entscheiden, ob nur professionelle/ institutionelle Anbieter oder später auch Private anbieten dürfen.</w:t>
      </w:r>
    </w:p>
    <w:p>
      <w:pPr>
        <w:pStyle w:val="ListNumber"/>
      </w:pPr>
      <w:r>
        <w:t>3–5 Ankerformate und erste Anbieter gewinnen.</w:t>
      </w:r>
    </w:p>
    <w:p>
      <w:pPr>
        <w:pStyle w:val="ListNumber"/>
      </w:pPr>
      <w:r>
        <w:t>Anbieterinterviews zur Zahlungsbereitschaft für 6 %, 8 % und 10 % durchführen.</w:t>
      </w:r>
    </w:p>
    <w:p>
      <w:pPr>
        <w:pStyle w:val="ListNumber"/>
      </w:pPr>
      <w:r>
        <w:t>Concierge-Pilot vor Softwarebau durchführen.</w:t>
      </w:r>
    </w:p>
    <w:p>
      <w:pPr>
        <w:pStyle w:val="ListNumber"/>
      </w:pPr>
      <w:r>
        <w:t>Erst danach Name, Marke und technische Produktspezifikation festlegen.</w:t>
      </w:r>
    </w:p>
    <w:p>
      <w:pPr>
        <w:pStyle w:val="Heading1"/>
      </w:pPr>
      <w:r>
        <w:t>Quellen</w:t>
      </w:r>
    </w:p>
    <w:p>
      <w:r>
        <w:t xml:space="preserve">[1] Bundesamt für Statistik, «Alter», Bevölkerungsstand 2025: </w:t>
      </w:r>
      <w:hyperlink r:id="rId11">
        <w:r>
          <w:rPr>
            <w:color w:val="2A726B"/>
            <w:u w:val="single"/>
          </w:rPr>
          <w:t>https://www.bfs.admin.ch/bfs/de/home/statistiken/bevoelkerung/stand-entwicklung/alter.html</w:t>
        </w:r>
      </w:hyperlink>
    </w:p>
    <w:p>
      <w:r>
        <w:t xml:space="preserve">[2] Bundesamt für Statistik, «Szenarien zur Bevölkerungsentwicklung 2025–2055», 15.04.2025: </w:t>
      </w:r>
      <w:hyperlink r:id="rId12">
        <w:r>
          <w:rPr>
            <w:color w:val="2A726B"/>
            <w:u w:val="single"/>
          </w:rPr>
          <w:t>https://www.bfs.admin.ch/bfs/de/home/statistiken/bevoelkerung/zukuenftige-entwicklung/schweiz-szenarien.html</w:t>
        </w:r>
      </w:hyperlink>
    </w:p>
    <w:p>
      <w:r>
        <w:t xml:space="preserve">[3] Verein connect!, «Programm – gemeinsam weniger einsam», abgerufen 28.08.2026: </w:t>
      </w:r>
      <w:hyperlink r:id="rId13">
        <w:r>
          <w:rPr>
            <w:color w:val="2A726B"/>
            <w:u w:val="single"/>
          </w:rPr>
          <w:t>https://ch-connect.ch/programm/</w:t>
        </w:r>
      </w:hyperlink>
    </w:p>
    <w:p>
      <w:r>
        <w:t xml:space="preserve">[4] Bundesamt für Statistik, «Seniorinnen und Senioren werden älter und fühlen sich jünger», 26.08.2024: </w:t>
      </w:r>
      <w:hyperlink r:id="rId14">
        <w:r>
          <w:rPr>
            <w:color w:val="2A726B"/>
            <w:u w:val="single"/>
          </w:rPr>
          <w:t>https://www.bfs.admin.ch/bfs/rm/home.assetdetail.30905183.html</w:t>
        </w:r>
      </w:hyperlink>
    </w:p>
    <w:p>
      <w:r>
        <w:t xml:space="preserve">[5] Pro Senectute Schweiz, «Digital Seniors 2025», 04.06.2025: </w:t>
      </w:r>
      <w:hyperlink r:id="rId15">
        <w:r>
          <w:rPr>
            <w:color w:val="2A726B"/>
            <w:u w:val="single"/>
          </w:rPr>
          <w:t>https://www.prosenectute.ch/de/fachwelt/Grundlagen/studien/digital-seniors-2025.html</w:t>
        </w:r>
      </w:hyperlink>
    </w:p>
    <w:p>
      <w:r>
        <w:t xml:space="preserve">[6] Freizeit60Plus, FAQ, abgerufen 28.08.2026: </w:t>
      </w:r>
      <w:hyperlink r:id="rId16">
        <w:r>
          <w:rPr>
            <w:color w:val="2A726B"/>
            <w:u w:val="single"/>
          </w:rPr>
          <w:t>https://freizeit60plus.com/faq</w:t>
        </w:r>
      </w:hyperlink>
    </w:p>
    <w:p>
      <w:r>
        <w:t xml:space="preserve">[7] GemeinsamErleben, «Unser B2B-Angebot», abgerufen 28.08.2026: </w:t>
      </w:r>
      <w:hyperlink r:id="rId17">
        <w:r>
          <w:rPr>
            <w:color w:val="2A726B"/>
            <w:u w:val="single"/>
          </w:rPr>
          <w:t>https://gemeinsamerleben.com/business</w:t>
        </w:r>
      </w:hyperlink>
    </w:p>
    <w:p>
      <w:r>
        <w:t xml:space="preserve">[8] Sozialkontakt.ch, Startseite, abgerufen 28.08.2026: </w:t>
      </w:r>
      <w:hyperlink r:id="rId18">
        <w:r>
          <w:rPr>
            <w:color w:val="2A726B"/>
            <w:u w:val="single"/>
          </w:rPr>
          <w:t>https://sozialkontakt.ch/</w:t>
        </w:r>
      </w:hyperlink>
    </w:p>
    <w:p>
      <w:r>
        <w:t xml:space="preserve">[9] Pro Senectute, «Kultur und Geselligkeit» sowie regionale Programme: </w:t>
      </w:r>
      <w:hyperlink r:id="rId19">
        <w:r>
          <w:rPr>
            <w:color w:val="2A726B"/>
            <w:u w:val="single"/>
          </w:rPr>
          <w:t>https://www.prosenectute.ch/de/dienstleistungen/freizeit/geselligkeit.html</w:t>
        </w:r>
      </w:hyperlink>
    </w:p>
    <w:p>
      <w:r>
        <w:t xml:space="preserve">[10] Infosenior, «Freizeit», abgerufen 28.08.2026: </w:t>
      </w:r>
      <w:hyperlink r:id="rId20">
        <w:r>
          <w:rPr>
            <w:color w:val="2A726B"/>
            <w:u w:val="single"/>
          </w:rPr>
          <w:t>https://www.infosenior.ch/de/kategorien/freizeit</w:t>
        </w:r>
      </w:hyperlink>
    </w:p>
    <w:p>
      <w:r>
        <w:t xml:space="preserve">[11] Spontacts, Startseite, abgerufen 28.08.2026: </w:t>
      </w:r>
      <w:hyperlink r:id="rId21">
        <w:r>
          <w:rPr>
            <w:color w:val="2A726B"/>
            <w:u w:val="single"/>
          </w:rPr>
          <w:t>https://spontacts.com/</w:t>
        </w:r>
      </w:hyperlink>
    </w:p>
    <w:p>
      <w:r>
        <w:t xml:space="preserve">[12] Meetup, Startseite, abgerufen 28.08.2026: </w:t>
      </w:r>
      <w:hyperlink r:id="rId22">
        <w:r>
          <w:rPr>
            <w:color w:val="2A726B"/>
            <w:u w:val="single"/>
          </w:rPr>
          <w:t>https://www.meetup.com/de-DE/</w:t>
        </w:r>
      </w:hyperlink>
    </w:p>
    <w:p>
      <w:r>
        <w:t xml:space="preserve">[13] Eventfrog, Veranstalterseite, abgerufen 28.08.2026: </w:t>
      </w:r>
      <w:hyperlink r:id="rId23">
        <w:r>
          <w:rPr>
            <w:color w:val="2A726B"/>
            <w:u w:val="single"/>
          </w:rPr>
          <w:t>https://eventfrog.ch/de/veranstalten.html</w:t>
        </w:r>
      </w:hyperlink>
    </w:p>
    <w:p>
      <w:r>
        <w:t xml:space="preserve">[14] Feierabend.de, Startseite und Regionalgruppen, abgerufen 28.08.2026: </w:t>
      </w:r>
      <w:hyperlink r:id="rId24">
        <w:r>
          <w:rPr>
            <w:color w:val="2A726B"/>
            <w:u w:val="single"/>
          </w:rPr>
          <w:t>https://www.feierabend.de/</w:t>
        </w:r>
      </w:hyperlink>
    </w:p>
    <w:p>
      <w:r>
        <w:t xml:space="preserve">[15] Seniorentreff.de, Startseite, abgerufen 28.08.2026: </w:t>
      </w:r>
      <w:hyperlink r:id="rId25">
        <w:r>
          <w:rPr>
            <w:color w:val="2A726B"/>
            <w:u w:val="single"/>
          </w:rPr>
          <w:t>https://seniorentreff.de/</w:t>
        </w:r>
      </w:hyperlink>
    </w:p>
    <w:p>
      <w:r>
        <w:t xml:space="preserve">[16] nebenan.de, «2-Millionen-Meilenstein», 16.11.2021: </w:t>
      </w:r>
      <w:hyperlink r:id="rId26">
        <w:r>
          <w:rPr>
            <w:color w:val="2A726B"/>
            <w:u w:val="single"/>
          </w:rPr>
          <w:t>https://magazin.nebenan.de/artikel/darum-nutzen-bereits-2-millionen-nachbar-innen-nebenan-de</w:t>
        </w:r>
      </w:hyperlink>
    </w:p>
    <w:p>
      <w:r>
        <w:t xml:space="preserve">[17] Seniorennetz Berlin, Startseite, abgerufen 28.08.2026: </w:t>
      </w:r>
      <w:hyperlink r:id="rId27">
        <w:r>
          <w:rPr>
            <w:color w:val="2A726B"/>
            <w:u w:val="single"/>
          </w:rPr>
          <w:t>https://seniorennetz.berlin/de</w:t>
        </w:r>
      </w:hyperlink>
    </w:p>
    <w:p>
      <w:r>
        <w:t xml:space="preserve">[18] Your Europe / Europäisches Verbraucherzentrum, Widerrufsrecht, 21.03.2025: </w:t>
      </w:r>
      <w:hyperlink r:id="rId28">
        <w:r>
          <w:rPr>
            <w:color w:val="2A726B"/>
            <w:u w:val="single"/>
          </w:rPr>
          <w:t>https://www.europe-consommateurs.eu/en/topics/guarantees/withdrawal/</w:t>
        </w:r>
      </w:hyperlink>
    </w:p>
    <w:p>
      <w:r>
        <w:t xml:space="preserve">[19] SECO, «Waren und Dienstleistungen – Dating-Plattformen», abgerufen 28.08.2026: </w:t>
      </w:r>
      <w:hyperlink r:id="rId29">
        <w:r>
          <w:rPr>
            <w:color w:val="2A726B"/>
            <w:u w:val="single"/>
          </w:rPr>
          <w:t>https://www.seco.admin.ch/de/waren-und-dienstleistungen</w:t>
        </w:r>
      </w:hyperlink>
    </w:p>
    <w:p>
      <w:r>
        <w:t xml:space="preserve">[20] Eventfrog, «Preise &amp; Funktionen», abgerufen 28.08.2026: </w:t>
      </w:r>
      <w:hyperlink r:id="rId30">
        <w:r>
          <w:rPr>
            <w:color w:val="2A726B"/>
            <w:u w:val="single"/>
          </w:rPr>
          <w:t>https://eventfrog.ch/de/veranstalten/preise-funktionen.html</w:t>
        </w:r>
      </w:hyperlink>
    </w:p>
    <w:p>
      <w:r>
        <w:t xml:space="preserve">[21] EDÖB, «The new Data Protection Act in figures», 18.11.2024: </w:t>
      </w:r>
      <w:hyperlink r:id="rId31">
        <w:r>
          <w:rPr>
            <w:color w:val="2A726B"/>
            <w:u w:val="single"/>
          </w:rPr>
          <w:t>https://www.edoeb.admin.ch/en/18112024-the-new-data-protection-act-in-figures</w:t>
        </w:r>
      </w:hyperlink>
    </w:p>
    <w:p>
      <w:r>
        <w:t xml:space="preserve">[22] FINMA, «Authorisation – gaining entry to the financial market», abgerufen 28.08.2026: </w:t>
      </w:r>
      <w:hyperlink r:id="rId32">
        <w:r>
          <w:rPr>
            <w:color w:val="2A726B"/>
            <w:u w:val="single"/>
          </w:rPr>
          <w:t>https://www.finma.ch/en/finma-public/authorised-institutions-individuals-and-products/</w:t>
        </w:r>
      </w:hyperlink>
    </w:p>
    <w:p>
      <w:pPr>
        <w:pStyle w:val="Heading1"/>
      </w:pPr>
      <w:r>
        <w:t>Claim-to-source ledger und Grenzen</w:t>
      </w:r>
    </w:p>
    <w:p>
      <w:pPr>
        <w:pStyle w:val="ListBullet"/>
      </w:pPr>
      <w:r>
        <w:t>Marktgrösse/Alterung: BFS [1][2], hohe Sicherheit.</w:t>
      </w:r>
    </w:p>
    <w:p>
      <w:pPr>
        <w:pStyle w:val="ListBullet"/>
      </w:pPr>
      <w:r>
        <w:t>Einsamkeit 5–9 % / 80'000–150'000: connect! [3], Fachprogramm mit referenzierten Studien; Definition ist enger als allgemeine Einsamkeitsangaben, daher nicht mit «jede vierte Person 55+» vermischt.</w:t>
      </w:r>
    </w:p>
    <w:p>
      <w:pPr>
        <w:pStyle w:val="ListBullet"/>
      </w:pPr>
      <w:r>
        <w:t>Digitale Nutzung 65+: Pro Senectute 2025 [5], hohe Relevanz; heterogene Kompetenzen bleiben eine Einschränkung.</w:t>
      </w:r>
    </w:p>
    <w:p>
      <w:pPr>
        <w:pStyle w:val="ListBullet"/>
      </w:pPr>
      <w:r>
        <w:t>Wettbewerbsfunktionen und Reichweiten: Anbieterangaben [6]–[17]; funktional verifiziert, Reichweiten sind nicht unabhängig auditiert.</w:t>
      </w:r>
    </w:p>
    <w:p>
      <w:pPr>
        <w:pStyle w:val="ListBullet"/>
      </w:pPr>
      <w:r>
        <w:t>Pricing: aktuelle Eventfrog-Anbieterangabe [20]; als Benchmark für Ticketing, nicht als direkt vergleichbare Vollleistung.</w:t>
      </w:r>
    </w:p>
    <w:p>
      <w:pPr>
        <w:pStyle w:val="ListBullet"/>
      </w:pPr>
      <w:r>
        <w:t>Recht: behördliche Übersichtsquellen [19][21][22]; keine Rechts- oder Steuerberatung. Vertragsrolle, Zahlungsfluss, Pauschalreiserecht, MWST und Expansion müssen vor Launch fachlich geprüft werden.</w:t>
      </w:r>
    </w:p>
    <w:p>
      <w:pPr>
        <w:pStyle w:val="ListBullet"/>
      </w:pPr>
      <w:r>
        <w:t>Vollständigkeit: Recherche konzentriert auf hochrelevante CH-/DE-Angebote und Kategorien. Lokale Kleinstinitiativen sind zahlreich und nicht vollständig inventarisierbar. Weitere breite Suche hätte voraussichtlich zusätzliche Namen, aber keine Änderung der strategischen Kernaussage ergeben.</w:t>
      </w:r>
    </w:p>
    <w:sectPr w:rsidR="00FC693F" w:rsidRPr="0006063C" w:rsidSect="00034616">
      <w:headerReference w:type="default" r:id="rId9"/>
      <w:footerReference w:type="default" r:id="rId10"/>
      <w:pgSz w:w="12240" w:h="15840"/>
      <w:pgMar w:top="1008" w:right="1296" w:bottom="95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Vertraulich · Arbeitsstand 28.08.2026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2A726B"/>
        <w:sz w:val="16"/>
      </w:rPr>
      <w:t>KREATIV SOLUTIONS  /  STRATEGISCHE PRODUKTANALYSE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4" w:lineRule="auto"/>
    </w:pPr>
    <w:rPr>
      <w:rFonts w:ascii="Aptos" w:hAnsi="Aptos"/>
      <w:color w:val="1E2A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E2A3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A726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E2A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E2A3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6A768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30"/>
      <w:contextualSpacing/>
    </w:pPr>
    <w:rPr>
      <w:rFonts w:ascii="Aptos" w:hAnsi="Aptos"/>
      <w:color w:val="1E2A38"/>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30"/>
      <w:contextualSpacing/>
    </w:pPr>
    <w:rPr>
      <w:rFonts w:ascii="Aptos" w:hAnsi="Aptos"/>
      <w:color w:val="1E2A38"/>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fs.admin.ch/bfs/de/home/statistiken/bevoelkerung/stand-entwicklung/alter.html" TargetMode="External"/><Relationship Id="rId12" Type="http://schemas.openxmlformats.org/officeDocument/2006/relationships/hyperlink" Target="https://www.bfs.admin.ch/bfs/de/home/statistiken/bevoelkerung/zukuenftige-entwicklung/schweiz-szenarien.html" TargetMode="External"/><Relationship Id="rId13" Type="http://schemas.openxmlformats.org/officeDocument/2006/relationships/hyperlink" Target="https://ch-connect.ch/programm/" TargetMode="External"/><Relationship Id="rId14" Type="http://schemas.openxmlformats.org/officeDocument/2006/relationships/hyperlink" Target="https://www.bfs.admin.ch/bfs/rm/home.assetdetail.30905183.html" TargetMode="External"/><Relationship Id="rId15" Type="http://schemas.openxmlformats.org/officeDocument/2006/relationships/hyperlink" Target="https://www.prosenectute.ch/de/fachwelt/Grundlagen/studien/digital-seniors-2025.html" TargetMode="External"/><Relationship Id="rId16" Type="http://schemas.openxmlformats.org/officeDocument/2006/relationships/hyperlink" Target="https://freizeit60plus.com/faq" TargetMode="External"/><Relationship Id="rId17" Type="http://schemas.openxmlformats.org/officeDocument/2006/relationships/hyperlink" Target="https://gemeinsamerleben.com/business" TargetMode="External"/><Relationship Id="rId18" Type="http://schemas.openxmlformats.org/officeDocument/2006/relationships/hyperlink" Target="https://sozialkontakt.ch/" TargetMode="External"/><Relationship Id="rId19" Type="http://schemas.openxmlformats.org/officeDocument/2006/relationships/hyperlink" Target="https://www.prosenectute.ch/de/dienstleistungen/freizeit/geselligkeit.html" TargetMode="External"/><Relationship Id="rId20" Type="http://schemas.openxmlformats.org/officeDocument/2006/relationships/hyperlink" Target="https://www.infosenior.ch/de/kategorien/freizeit" TargetMode="External"/><Relationship Id="rId21" Type="http://schemas.openxmlformats.org/officeDocument/2006/relationships/hyperlink" Target="https://spontacts.com/" TargetMode="External"/><Relationship Id="rId22" Type="http://schemas.openxmlformats.org/officeDocument/2006/relationships/hyperlink" Target="https://www.meetup.com/de-DE/" TargetMode="External"/><Relationship Id="rId23" Type="http://schemas.openxmlformats.org/officeDocument/2006/relationships/hyperlink" Target="https://eventfrog.ch/de/veranstalten.html" TargetMode="External"/><Relationship Id="rId24" Type="http://schemas.openxmlformats.org/officeDocument/2006/relationships/hyperlink" Target="https://www.feierabend.de/" TargetMode="External"/><Relationship Id="rId25" Type="http://schemas.openxmlformats.org/officeDocument/2006/relationships/hyperlink" Target="https://seniorentreff.de/" TargetMode="External"/><Relationship Id="rId26" Type="http://schemas.openxmlformats.org/officeDocument/2006/relationships/hyperlink" Target="https://magazin.nebenan.de/artikel/darum-nutzen-bereits-2-millionen-nachbar-innen-nebenan-de" TargetMode="External"/><Relationship Id="rId27" Type="http://schemas.openxmlformats.org/officeDocument/2006/relationships/hyperlink" Target="https://seniorennetz.berlin/de" TargetMode="External"/><Relationship Id="rId28" Type="http://schemas.openxmlformats.org/officeDocument/2006/relationships/hyperlink" Target="https://www.europe-consommateurs.eu/en/topics/guarantees/withdrawal/" TargetMode="External"/><Relationship Id="rId29" Type="http://schemas.openxmlformats.org/officeDocument/2006/relationships/hyperlink" Target="https://www.seco.admin.ch/de/waren-und-dienstleistungen" TargetMode="External"/><Relationship Id="rId30" Type="http://schemas.openxmlformats.org/officeDocument/2006/relationships/hyperlink" Target="https://eventfrog.ch/de/veranstalten/preise-funktionen.html" TargetMode="External"/><Relationship Id="rId31" Type="http://schemas.openxmlformats.org/officeDocument/2006/relationships/hyperlink" Target="https://www.edoeb.admin.ch/en/18112024-the-new-data-protection-act-in-figures" TargetMode="External"/><Relationship Id="rId32" Type="http://schemas.openxmlformats.org/officeDocument/2006/relationships/hyperlink" Target="https://www.finma.ch/en/finma-public/authorised-institutions-individuals-and-produ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Plattform für gemeinsame Erlebnisse im Alter</dc:title>
  <dc:subject>Deep-Research-Markt- und Produktanalyse Schweiz / Deutschland</dc:subject>
  <dc:creator>Kreativ Solutions GmbH</dc:creator>
  <cp:keywords>Senioren, Plattform, Events, Schweiz, Marktanalyse, Einsamkeit</cp:keywords>
  <dc:description>generated by python-docx</dc:description>
  <cp:lastModifiedBy/>
  <cp:revision>1</cp:revision>
  <dcterms:created xsi:type="dcterms:W3CDTF">2013-12-23T23:15:00Z</dcterms:created>
  <dcterms:modified xsi:type="dcterms:W3CDTF">2013-12-23T23:15:00Z</dcterms:modified>
  <cp:category/>
</cp:coreProperties>
</file>