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B771" w14:textId="15EC02A5" w:rsidR="00B6665B" w:rsidRDefault="00B6665B" w:rsidP="00A90C43">
      <w:r w:rsidRPr="00B6665B">
        <w:rPr>
          <w:b/>
          <w:bCs/>
        </w:rPr>
        <w:t>Specialty Plant Nutrition</w:t>
      </w:r>
    </w:p>
    <w:p w14:paraId="0D8DD04C" w14:textId="1B5676DD" w:rsidR="00B6665B" w:rsidRDefault="00B6665B" w:rsidP="00B6665B">
      <w:pPr>
        <w:pStyle w:val="ListParagraph"/>
        <w:numPr>
          <w:ilvl w:val="0"/>
          <w:numId w:val="2"/>
        </w:numPr>
      </w:pPr>
      <w:r>
        <w:t>Market nature</w:t>
      </w:r>
      <w:r w:rsidR="00BE230C">
        <w:t>: Elastic</w:t>
      </w:r>
    </w:p>
    <w:p w14:paraId="0BAA399C" w14:textId="3C1E5713" w:rsidR="00B6665B" w:rsidRDefault="00B6665B" w:rsidP="00B6665B">
      <w:pPr>
        <w:pStyle w:val="ListParagraph"/>
        <w:numPr>
          <w:ilvl w:val="0"/>
          <w:numId w:val="2"/>
        </w:numPr>
      </w:pPr>
      <w:r>
        <w:t>Market history</w:t>
      </w:r>
    </w:p>
    <w:p w14:paraId="47AC7FD1" w14:textId="72961CE6" w:rsidR="00B6665B" w:rsidRDefault="00BE230C" w:rsidP="00B6665B">
      <w:pPr>
        <w:pStyle w:val="ListParagraph"/>
        <w:numPr>
          <w:ilvl w:val="1"/>
          <w:numId w:val="2"/>
        </w:numPr>
      </w:pPr>
      <w:r>
        <w:t xml:space="preserve">Elastic: </w:t>
      </w:r>
      <w:r w:rsidR="00B6665B">
        <w:t xml:space="preserve">2022 higher price (2x) </w:t>
      </w:r>
      <w:r w:rsidR="00B6665B" w:rsidRPr="00B6665B">
        <w:t>Global supply restrictions and significantly higher nitrogen production costs</w:t>
      </w:r>
      <w:r w:rsidR="00B6665B">
        <w:t xml:space="preserve"> -&gt; 1/3 volume decline</w:t>
      </w:r>
    </w:p>
    <w:p w14:paraId="5A9CCAFF" w14:textId="2A4821D2" w:rsidR="00975D72" w:rsidRDefault="00B6665B" w:rsidP="00975D72">
      <w:pPr>
        <w:pStyle w:val="ListParagraph"/>
        <w:numPr>
          <w:ilvl w:val="0"/>
          <w:numId w:val="2"/>
        </w:numPr>
      </w:pPr>
      <w:r>
        <w:t>Sociedad ~ 45% market shar</w:t>
      </w:r>
      <w:r w:rsidR="00975D72">
        <w:t>e</w:t>
      </w:r>
    </w:p>
    <w:p w14:paraId="00259BE3" w14:textId="77777777" w:rsidR="00A90C43" w:rsidRDefault="00975D72" w:rsidP="00975D72">
      <w:pPr>
        <w:pStyle w:val="ListParagraph"/>
        <w:numPr>
          <w:ilvl w:val="0"/>
          <w:numId w:val="2"/>
        </w:numPr>
      </w:pPr>
      <w:r>
        <w:t>Price projection</w:t>
      </w:r>
      <w:r w:rsidR="00CB4966">
        <w:t>:</w:t>
      </w:r>
    </w:p>
    <w:p w14:paraId="1BD5CA86" w14:textId="7C54811E" w:rsidR="00975D72" w:rsidRDefault="00A90C43" w:rsidP="00A90C43">
      <w:pPr>
        <w:pStyle w:val="ListParagraph"/>
        <w:numPr>
          <w:ilvl w:val="1"/>
          <w:numId w:val="2"/>
        </w:numPr>
      </w:pPr>
      <w:r>
        <w:t xml:space="preserve">Return to pre-pandemic level in 2024, maintain </w:t>
      </w:r>
      <w:r w:rsidR="00CB4966">
        <w:t>pre-pandemic historical growth</w:t>
      </w:r>
    </w:p>
    <w:p w14:paraId="2E80A5BA" w14:textId="17FE1C93" w:rsidR="0084335F" w:rsidRDefault="0084335F" w:rsidP="00975D72">
      <w:pPr>
        <w:pStyle w:val="ListParagraph"/>
        <w:numPr>
          <w:ilvl w:val="0"/>
          <w:numId w:val="2"/>
        </w:numPr>
      </w:pPr>
      <w:r>
        <w:t>Volume projection: log regression model</w:t>
      </w:r>
    </w:p>
    <w:p w14:paraId="7D1D5CB3" w14:textId="018969D0" w:rsidR="00E05088" w:rsidRDefault="00E05088" w:rsidP="00B6665B">
      <w:pPr>
        <w:pStyle w:val="ListParagraph"/>
        <w:numPr>
          <w:ilvl w:val="0"/>
          <w:numId w:val="2"/>
        </w:numPr>
      </w:pPr>
      <w:r>
        <w:t>Cost:</w:t>
      </w:r>
    </w:p>
    <w:p w14:paraId="78E5E34E" w14:textId="076E6B01" w:rsidR="00E05088" w:rsidRDefault="00E05088" w:rsidP="00E05088">
      <w:pPr>
        <w:pStyle w:val="ListParagraph"/>
        <w:numPr>
          <w:ilvl w:val="1"/>
          <w:numId w:val="2"/>
        </w:numPr>
      </w:pPr>
      <w:r>
        <w:t>Cost of production</w:t>
      </w:r>
    </w:p>
    <w:p w14:paraId="07AA972D" w14:textId="3256E244" w:rsidR="00E05088" w:rsidRDefault="00E05088" w:rsidP="00E05088">
      <w:pPr>
        <w:pStyle w:val="ListParagraph"/>
        <w:numPr>
          <w:ilvl w:val="1"/>
          <w:numId w:val="2"/>
        </w:numPr>
      </w:pPr>
      <w:r>
        <w:t>Lease fee: &gt; 600, 20% final sales</w:t>
      </w:r>
    </w:p>
    <w:p w14:paraId="2B9AF594" w14:textId="77777777" w:rsidR="00C36036" w:rsidRDefault="00C36036" w:rsidP="00C36036">
      <w:pPr>
        <w:pStyle w:val="ListParagraph"/>
        <w:numPr>
          <w:ilvl w:val="0"/>
          <w:numId w:val="2"/>
        </w:numPr>
      </w:pPr>
      <w:r>
        <w:t xml:space="preserve">Margin projection: based on linear </w:t>
      </w:r>
      <w:proofErr w:type="gramStart"/>
      <w:r>
        <w:t>regression</w:t>
      </w:r>
      <w:proofErr w:type="gramEnd"/>
    </w:p>
    <w:p w14:paraId="1F0335EC" w14:textId="1BFBF2B6" w:rsidR="00426745" w:rsidRDefault="00426745" w:rsidP="00C36036">
      <w:pPr>
        <w:pStyle w:val="ListParagraph"/>
        <w:numPr>
          <w:ilvl w:val="0"/>
          <w:numId w:val="2"/>
        </w:numPr>
      </w:pPr>
    </w:p>
    <w:p w14:paraId="20E7B66C" w14:textId="77777777" w:rsidR="00B6665B" w:rsidRDefault="00B6665B"/>
    <w:p w14:paraId="32D9DAD6" w14:textId="77777777" w:rsidR="00BE230C" w:rsidRDefault="00BE230C"/>
    <w:p w14:paraId="0A583CB7" w14:textId="6056C255" w:rsidR="00BE230C" w:rsidRPr="00BE230C" w:rsidRDefault="00BE230C">
      <w:pPr>
        <w:rPr>
          <w:b/>
          <w:bCs/>
        </w:rPr>
      </w:pPr>
      <w:r w:rsidRPr="00BE230C">
        <w:rPr>
          <w:b/>
          <w:bCs/>
        </w:rPr>
        <w:t>Iodine</w:t>
      </w:r>
    </w:p>
    <w:p w14:paraId="5D2B1C99" w14:textId="77777777" w:rsidR="00EE69D7" w:rsidRDefault="00BE230C" w:rsidP="00BE230C">
      <w:pPr>
        <w:pStyle w:val="ListParagraph"/>
        <w:numPr>
          <w:ilvl w:val="0"/>
          <w:numId w:val="3"/>
        </w:numPr>
      </w:pPr>
      <w:r>
        <w:t>Market nature:</w:t>
      </w:r>
    </w:p>
    <w:p w14:paraId="30AE21E5" w14:textId="51B94CA8" w:rsidR="00BE230C" w:rsidRDefault="00BE230C" w:rsidP="00EE69D7">
      <w:pPr>
        <w:pStyle w:val="ListParagraph"/>
        <w:numPr>
          <w:ilvl w:val="1"/>
          <w:numId w:val="3"/>
        </w:numPr>
      </w:pPr>
      <w:r>
        <w:t>Inelastic (supply-limited)</w:t>
      </w:r>
      <w:r w:rsidR="00B048F5">
        <w:t xml:space="preserve">: Doesn’t mean all of SQM production is sold; SQM volume growth depends on reach to </w:t>
      </w:r>
      <w:proofErr w:type="gramStart"/>
      <w:r w:rsidR="00B048F5">
        <w:t>Asia</w:t>
      </w:r>
      <w:proofErr w:type="gramEnd"/>
    </w:p>
    <w:p w14:paraId="3EEA7D87" w14:textId="77777777" w:rsidR="00EE69D7" w:rsidRDefault="00EE69D7" w:rsidP="00EE69D7">
      <w:pPr>
        <w:pStyle w:val="ListParagraph"/>
        <w:numPr>
          <w:ilvl w:val="1"/>
          <w:numId w:val="3"/>
        </w:numPr>
      </w:pPr>
      <w:r>
        <w:t xml:space="preserve">Only contrast media market + polarized films for screens have growth potentials; others’ demand </w:t>
      </w:r>
      <w:proofErr w:type="gramStart"/>
      <w:r>
        <w:t>remain</w:t>
      </w:r>
      <w:proofErr w:type="gramEnd"/>
      <w:r>
        <w:t xml:space="preserve"> flat</w:t>
      </w:r>
    </w:p>
    <w:p w14:paraId="2930599C" w14:textId="3744CAF2" w:rsidR="00EE69D7" w:rsidRDefault="00EE69D7" w:rsidP="00EE69D7">
      <w:pPr>
        <w:pStyle w:val="ListParagraph"/>
        <w:numPr>
          <w:ilvl w:val="1"/>
          <w:numId w:val="3"/>
        </w:numPr>
      </w:pPr>
      <w:r>
        <w:t>Asia growth demand</w:t>
      </w:r>
    </w:p>
    <w:p w14:paraId="24EA5FFE" w14:textId="3DCE6AD9" w:rsidR="00BE230C" w:rsidRDefault="00EE69D7" w:rsidP="00BE230C">
      <w:pPr>
        <w:pStyle w:val="ListParagraph"/>
        <w:numPr>
          <w:ilvl w:val="0"/>
          <w:numId w:val="3"/>
        </w:numPr>
      </w:pPr>
      <w:r>
        <w:t>Market history</w:t>
      </w:r>
    </w:p>
    <w:p w14:paraId="4DA490DF" w14:textId="77777777" w:rsidR="00F5141E" w:rsidRDefault="00F5141E" w:rsidP="00EE69D7">
      <w:pPr>
        <w:pStyle w:val="ListParagraph"/>
        <w:numPr>
          <w:ilvl w:val="1"/>
          <w:numId w:val="3"/>
        </w:numPr>
      </w:pPr>
      <w:r>
        <w:t>2024 Australia plan</w:t>
      </w:r>
    </w:p>
    <w:p w14:paraId="24CDF502" w14:textId="5E868419" w:rsidR="00F5141E" w:rsidRDefault="00F5141E" w:rsidP="00EE69D7">
      <w:pPr>
        <w:pStyle w:val="ListParagraph"/>
        <w:numPr>
          <w:ilvl w:val="1"/>
          <w:numId w:val="3"/>
        </w:numPr>
      </w:pPr>
      <w:r>
        <w:t>2023 China plan; before, only mine at Carmen Lithium in Chile</w:t>
      </w:r>
    </w:p>
    <w:p w14:paraId="60F79833" w14:textId="3D529940" w:rsidR="00EE69D7" w:rsidRDefault="00EE69D7" w:rsidP="00EE69D7">
      <w:pPr>
        <w:pStyle w:val="ListParagraph"/>
        <w:numPr>
          <w:ilvl w:val="1"/>
          <w:numId w:val="3"/>
        </w:numPr>
      </w:pPr>
      <w:r>
        <w:t>2022: huge price rise, due to demand in Asia</w:t>
      </w:r>
    </w:p>
    <w:p w14:paraId="3885E1FD" w14:textId="77777777" w:rsidR="00B048F5" w:rsidRDefault="00EE69D7" w:rsidP="00B048F5">
      <w:pPr>
        <w:pStyle w:val="ListParagraph"/>
        <w:numPr>
          <w:ilvl w:val="1"/>
          <w:numId w:val="3"/>
        </w:numPr>
      </w:pPr>
      <w:r>
        <w:t>2021:</w:t>
      </w:r>
    </w:p>
    <w:p w14:paraId="17EA5701" w14:textId="6333646E" w:rsidR="00B048F5" w:rsidRDefault="00EE69D7" w:rsidP="00B048F5">
      <w:pPr>
        <w:pStyle w:val="ListParagraph"/>
        <w:numPr>
          <w:ilvl w:val="2"/>
          <w:numId w:val="3"/>
        </w:numPr>
      </w:pPr>
      <w:r w:rsidRPr="00EE69D7">
        <w:t xml:space="preserve">increase </w:t>
      </w:r>
      <w:proofErr w:type="gramStart"/>
      <w:r w:rsidRPr="00EE69D7">
        <w:t>were</w:t>
      </w:r>
      <w:proofErr w:type="gramEnd"/>
      <w:r w:rsidRPr="00EE69D7">
        <w:t xml:space="preserve"> in the X-ray contrast media market, in which demand grew by 14-15% compared to 2020, mainly due to worldwide growth in healthcare industry spending during the year and increased accessibility to these types of treatments in emerging economies, mainly China</w:t>
      </w:r>
    </w:p>
    <w:p w14:paraId="27ACABF9" w14:textId="46BC972C" w:rsidR="00EE69D7" w:rsidRDefault="00EE69D7" w:rsidP="00EE69D7">
      <w:pPr>
        <w:pStyle w:val="ListParagraph"/>
        <w:numPr>
          <w:ilvl w:val="1"/>
          <w:numId w:val="3"/>
        </w:numPr>
      </w:pPr>
      <w:r>
        <w:t>2020: big hit on volume overall due to COVID</w:t>
      </w:r>
      <w:r w:rsidR="00B048F5">
        <w:t xml:space="preserve"> (huge drop in Asia, America recovered)</w:t>
      </w:r>
      <w:r>
        <w:t xml:space="preserve">; but </w:t>
      </w:r>
      <w:r w:rsidRPr="00EE69D7">
        <w:t>povidone iodine</w:t>
      </w:r>
      <w:r w:rsidRPr="00EE69D7">
        <w:t xml:space="preserve"> grew by 6%, and the use of iodine for human nutrition grew by 1%</w:t>
      </w:r>
    </w:p>
    <w:p w14:paraId="667AD759" w14:textId="1327ABAC" w:rsidR="00B048F5" w:rsidRDefault="00B048F5" w:rsidP="00EE69D7">
      <w:pPr>
        <w:pStyle w:val="ListParagraph"/>
        <w:numPr>
          <w:ilvl w:val="1"/>
          <w:numId w:val="3"/>
        </w:numPr>
      </w:pPr>
      <w:r>
        <w:t xml:space="preserve">2018-2020 Iodine volume decrease due to lower NA demand (27% -&gt; 19%) + lower Europe </w:t>
      </w:r>
      <w:proofErr w:type="gramStart"/>
      <w:r>
        <w:t>demand</w:t>
      </w:r>
      <w:proofErr w:type="gramEnd"/>
    </w:p>
    <w:p w14:paraId="537ECF09" w14:textId="2BFB1FF4" w:rsidR="00EE69D7" w:rsidRDefault="00975D72" w:rsidP="00975D72">
      <w:pPr>
        <w:pStyle w:val="ListParagraph"/>
        <w:numPr>
          <w:ilvl w:val="0"/>
          <w:numId w:val="3"/>
        </w:numPr>
      </w:pPr>
      <w:r>
        <w:t>Price projection:</w:t>
      </w:r>
    </w:p>
    <w:p w14:paraId="5E33D801" w14:textId="6C7CF679" w:rsidR="00975D72" w:rsidRDefault="00975D72" w:rsidP="00975D72">
      <w:pPr>
        <w:pStyle w:val="ListParagraph"/>
        <w:numPr>
          <w:ilvl w:val="1"/>
          <w:numId w:val="3"/>
        </w:numPr>
      </w:pPr>
      <w:r>
        <w:t>5.4% CAGR:</w:t>
      </w:r>
      <w:r>
        <w:rPr>
          <w:rStyle w:val="FootnoteReference"/>
        </w:rPr>
        <w:footnoteReference w:id="1"/>
      </w:r>
    </w:p>
    <w:p w14:paraId="0B3A7C26" w14:textId="0F84BC47" w:rsidR="0084335F" w:rsidRDefault="00CB4966" w:rsidP="0084335F">
      <w:pPr>
        <w:pStyle w:val="ListParagraph"/>
        <w:numPr>
          <w:ilvl w:val="0"/>
          <w:numId w:val="3"/>
        </w:numPr>
      </w:pPr>
      <w:r>
        <w:t xml:space="preserve">Volume </w:t>
      </w:r>
      <w:r w:rsidR="00426745">
        <w:t>projection</w:t>
      </w:r>
      <w:r>
        <w:t>:</w:t>
      </w:r>
    </w:p>
    <w:p w14:paraId="6C4020A9" w14:textId="77777777" w:rsidR="00B048F5" w:rsidRDefault="00B048F5" w:rsidP="00B048F5">
      <w:pPr>
        <w:pStyle w:val="ListParagraph"/>
        <w:numPr>
          <w:ilvl w:val="1"/>
          <w:numId w:val="3"/>
        </w:numPr>
      </w:pPr>
      <w:r w:rsidRPr="00B048F5">
        <w:t xml:space="preserve">SQM volume growth depends on reach to </w:t>
      </w:r>
      <w:proofErr w:type="gramStart"/>
      <w:r w:rsidRPr="00B048F5">
        <w:t>Asia</w:t>
      </w:r>
      <w:proofErr w:type="gramEnd"/>
      <w:r w:rsidRPr="00B048F5">
        <w:t xml:space="preserve"> </w:t>
      </w:r>
    </w:p>
    <w:p w14:paraId="597B7E74" w14:textId="77777777" w:rsidR="00B048F5" w:rsidRDefault="00B048F5" w:rsidP="00B048F5">
      <w:pPr>
        <w:pStyle w:val="ListParagraph"/>
        <w:numPr>
          <w:ilvl w:val="1"/>
          <w:numId w:val="3"/>
        </w:numPr>
      </w:pPr>
    </w:p>
    <w:p w14:paraId="4EC58F96" w14:textId="77777777" w:rsidR="00C36036" w:rsidRDefault="00C36036" w:rsidP="00C36036">
      <w:pPr>
        <w:pStyle w:val="ListParagraph"/>
        <w:numPr>
          <w:ilvl w:val="0"/>
          <w:numId w:val="3"/>
        </w:numPr>
      </w:pPr>
      <w:r>
        <w:lastRenderedPageBreak/>
        <w:t xml:space="preserve">Margin projection: based on linear </w:t>
      </w:r>
      <w:proofErr w:type="gramStart"/>
      <w:r>
        <w:t>regression</w:t>
      </w:r>
      <w:proofErr w:type="gramEnd"/>
    </w:p>
    <w:p w14:paraId="303CB978" w14:textId="77777777" w:rsidR="00A6483A" w:rsidRDefault="00A6483A" w:rsidP="00B048F5"/>
    <w:p w14:paraId="6FC230F9" w14:textId="5C1CF0EF" w:rsidR="00B048F5" w:rsidRPr="006707C6" w:rsidRDefault="00B048F5" w:rsidP="00B048F5">
      <w:pPr>
        <w:rPr>
          <w:b/>
          <w:bCs/>
        </w:rPr>
      </w:pPr>
      <w:r w:rsidRPr="006707C6">
        <w:rPr>
          <w:b/>
          <w:bCs/>
        </w:rPr>
        <w:t>Lithium</w:t>
      </w:r>
    </w:p>
    <w:p w14:paraId="4DC921A4" w14:textId="77777777" w:rsidR="00882AA6" w:rsidRDefault="00882AA6" w:rsidP="00B048F5">
      <w:pPr>
        <w:pStyle w:val="ListParagraph"/>
        <w:numPr>
          <w:ilvl w:val="0"/>
          <w:numId w:val="4"/>
        </w:numPr>
      </w:pPr>
      <w:r>
        <w:t>Market dynamics:</w:t>
      </w:r>
    </w:p>
    <w:p w14:paraId="339BCE85" w14:textId="5482858D" w:rsidR="00882AA6" w:rsidRDefault="00882AA6" w:rsidP="00882AA6">
      <w:pPr>
        <w:pStyle w:val="ListParagraph"/>
        <w:numPr>
          <w:ilvl w:val="1"/>
          <w:numId w:val="4"/>
        </w:numPr>
      </w:pPr>
      <w:r>
        <w:t xml:space="preserve">Supply more easily to scale due to Western Australia </w:t>
      </w:r>
      <w:proofErr w:type="gramStart"/>
      <w:r>
        <w:t>development</w:t>
      </w:r>
      <w:proofErr w:type="gramEnd"/>
    </w:p>
    <w:p w14:paraId="6654DAEA" w14:textId="0C9E05EE" w:rsidR="00882AA6" w:rsidRDefault="00882AA6" w:rsidP="00882AA6">
      <w:pPr>
        <w:pStyle w:val="ListParagraph"/>
        <w:numPr>
          <w:ilvl w:val="1"/>
          <w:numId w:val="4"/>
        </w:numPr>
      </w:pPr>
      <w:r>
        <w:t xml:space="preserve">Despite 2022-mid2023 supply limit, market will be in </w:t>
      </w:r>
      <w:proofErr w:type="gramStart"/>
      <w:r>
        <w:t>surplus</w:t>
      </w:r>
      <w:proofErr w:type="gramEnd"/>
    </w:p>
    <w:p w14:paraId="3FED0152" w14:textId="61680403" w:rsidR="00A733C0" w:rsidRDefault="00A733C0" w:rsidP="00A746C0">
      <w:pPr>
        <w:pStyle w:val="ListParagraph"/>
        <w:numPr>
          <w:ilvl w:val="1"/>
          <w:numId w:val="4"/>
        </w:numPr>
      </w:pPr>
      <w:r>
        <w:t>Price changes mostly due to supply</w:t>
      </w:r>
      <w:r w:rsidR="00A746C0">
        <w:rPr>
          <w:rStyle w:val="FootnoteReference"/>
        </w:rPr>
        <w:footnoteReference w:id="2"/>
      </w:r>
      <w:r>
        <w:t xml:space="preserve"> + EV sales</w:t>
      </w:r>
    </w:p>
    <w:p w14:paraId="77113652" w14:textId="31A55D79" w:rsidR="00882AA6" w:rsidRDefault="00A733C0" w:rsidP="00A733C0">
      <w:pPr>
        <w:pStyle w:val="ListParagraph"/>
        <w:numPr>
          <w:ilvl w:val="0"/>
          <w:numId w:val="4"/>
        </w:numPr>
      </w:pPr>
      <w:r>
        <w:t>Market history:</w:t>
      </w:r>
    </w:p>
    <w:p w14:paraId="7EE07DCD" w14:textId="55F1BD8D" w:rsidR="00A733C0" w:rsidRDefault="00A733C0" w:rsidP="00A733C0">
      <w:pPr>
        <w:pStyle w:val="ListParagraph"/>
        <w:numPr>
          <w:ilvl w:val="1"/>
          <w:numId w:val="4"/>
        </w:numPr>
      </w:pPr>
      <w:r>
        <w:t>2019, price drop, decrease revenue + gross margin</w:t>
      </w:r>
    </w:p>
    <w:p w14:paraId="76DE707E" w14:textId="5826720A" w:rsidR="00A733C0" w:rsidRDefault="00A733C0" w:rsidP="00A733C0">
      <w:pPr>
        <w:pStyle w:val="ListParagraph"/>
        <w:numPr>
          <w:ilvl w:val="1"/>
          <w:numId w:val="4"/>
        </w:numPr>
      </w:pPr>
      <w:r>
        <w:t>2016, price increase, leads to 2017 global increase in Lithium supply</w:t>
      </w:r>
    </w:p>
    <w:p w14:paraId="712A8959" w14:textId="381C6001" w:rsidR="00882AA6" w:rsidRDefault="00882AA6" w:rsidP="00B048F5">
      <w:pPr>
        <w:pStyle w:val="ListParagraph"/>
        <w:numPr>
          <w:ilvl w:val="0"/>
          <w:numId w:val="4"/>
        </w:numPr>
      </w:pPr>
      <w:proofErr w:type="spellStart"/>
      <w:r>
        <w:t>Price</w:t>
      </w:r>
      <w:proofErr w:type="spellEnd"/>
      <w:r>
        <w:t xml:space="preserve"> projection:</w:t>
      </w:r>
    </w:p>
    <w:p w14:paraId="53F014BA" w14:textId="13A1DC43" w:rsidR="00882AA6" w:rsidRDefault="00882AA6" w:rsidP="00882AA6">
      <w:pPr>
        <w:pStyle w:val="ListParagraph"/>
        <w:numPr>
          <w:ilvl w:val="1"/>
          <w:numId w:val="4"/>
        </w:numPr>
      </w:pPr>
      <w:r>
        <w:t xml:space="preserve">On average, </w:t>
      </w:r>
      <w:r w:rsidR="000E3E4E">
        <w:t xml:space="preserve">normalize due to supply growth but still above cost of </w:t>
      </w:r>
      <w:proofErr w:type="spellStart"/>
      <w:r w:rsidR="000E3E4E">
        <w:t>producion</w:t>
      </w:r>
      <w:proofErr w:type="spellEnd"/>
      <w:r w:rsidR="000E3E4E">
        <w:rPr>
          <w:rStyle w:val="FootnoteReference"/>
        </w:rPr>
        <w:footnoteReference w:id="3"/>
      </w:r>
    </w:p>
    <w:p w14:paraId="780C19FE" w14:textId="07E4146B" w:rsidR="00B048F5" w:rsidRDefault="00B048F5" w:rsidP="00B048F5">
      <w:pPr>
        <w:pStyle w:val="ListParagraph"/>
        <w:numPr>
          <w:ilvl w:val="0"/>
          <w:numId w:val="4"/>
        </w:numPr>
      </w:pPr>
      <w:r>
        <w:t>Volume projection:</w:t>
      </w:r>
    </w:p>
    <w:p w14:paraId="27974681" w14:textId="70C7D566" w:rsidR="00B048F5" w:rsidRDefault="00B048F5" w:rsidP="00B048F5">
      <w:pPr>
        <w:pStyle w:val="ListParagraph"/>
        <w:numPr>
          <w:ilvl w:val="1"/>
          <w:numId w:val="4"/>
        </w:numPr>
      </w:pPr>
      <w:r>
        <w:t xml:space="preserve">SQM capacity increase: </w:t>
      </w:r>
      <w:r w:rsidR="001040B6">
        <w:t>210MMt</w:t>
      </w:r>
      <w:r>
        <w:t xml:space="preserve"> in 202</w:t>
      </w:r>
      <w:r w:rsidR="001040B6">
        <w:t>3</w:t>
      </w:r>
      <w:r>
        <w:t xml:space="preserve"> -&gt; </w:t>
      </w:r>
      <w:r w:rsidR="001040B6">
        <w:t>265MMt</w:t>
      </w:r>
      <w:r w:rsidR="00F5141E">
        <w:t xml:space="preserve"> 2025</w:t>
      </w:r>
    </w:p>
    <w:p w14:paraId="1203EE4F" w14:textId="10880F74" w:rsidR="001040B6" w:rsidRDefault="00C36036" w:rsidP="00F5141E">
      <w:pPr>
        <w:pStyle w:val="ListParagraph"/>
        <w:numPr>
          <w:ilvl w:val="0"/>
          <w:numId w:val="4"/>
        </w:numPr>
      </w:pPr>
      <w:r>
        <w:t>Margin projection</w:t>
      </w:r>
    </w:p>
    <w:p w14:paraId="6778FD38" w14:textId="307B301F" w:rsidR="00B048F5" w:rsidRDefault="00B048F5" w:rsidP="00DF374E"/>
    <w:p w14:paraId="78FB814E" w14:textId="05F29360" w:rsidR="00DF374E" w:rsidRDefault="00DF374E" w:rsidP="00DF374E">
      <w:proofErr w:type="spellStart"/>
      <w:r>
        <w:t>Potassiumm</w:t>
      </w:r>
      <w:proofErr w:type="spellEnd"/>
    </w:p>
    <w:p w14:paraId="698370B6" w14:textId="6C9647BD" w:rsidR="006544A3" w:rsidRDefault="006544A3" w:rsidP="00DF374E">
      <w:pPr>
        <w:pStyle w:val="ListParagraph"/>
        <w:numPr>
          <w:ilvl w:val="0"/>
          <w:numId w:val="5"/>
        </w:numPr>
      </w:pPr>
      <w:r>
        <w:t>Price projection:</w:t>
      </w:r>
    </w:p>
    <w:p w14:paraId="48A2FA95" w14:textId="63BEEAF2" w:rsidR="006544A3" w:rsidRDefault="006544A3" w:rsidP="006544A3">
      <w:pPr>
        <w:pStyle w:val="ListParagraph"/>
        <w:numPr>
          <w:ilvl w:val="1"/>
          <w:numId w:val="5"/>
        </w:numPr>
      </w:pPr>
      <w:r>
        <w:t xml:space="preserve">Supply to catch up, price falls 400-500 </w:t>
      </w:r>
      <w:proofErr w:type="gramStart"/>
      <w:r>
        <w:t>range</w:t>
      </w:r>
      <w:proofErr w:type="gramEnd"/>
    </w:p>
    <w:p w14:paraId="6690EA1E" w14:textId="4F0180F7" w:rsidR="00DF374E" w:rsidRDefault="00DF374E" w:rsidP="00DF374E">
      <w:pPr>
        <w:pStyle w:val="ListParagraph"/>
        <w:numPr>
          <w:ilvl w:val="0"/>
          <w:numId w:val="5"/>
        </w:numPr>
      </w:pPr>
      <w:r>
        <w:t>Volume projection: log regression</w:t>
      </w:r>
      <w:r w:rsidR="006544A3">
        <w:t xml:space="preserve"> (hasn’t worked); historical scenario comparison and </w:t>
      </w:r>
      <w:r w:rsidR="00B6633B">
        <w:t xml:space="preserve">likelihood </w:t>
      </w:r>
      <w:proofErr w:type="gramStart"/>
      <w:r w:rsidR="00B6633B">
        <w:t>analysis</w:t>
      </w:r>
      <w:proofErr w:type="gramEnd"/>
    </w:p>
    <w:p w14:paraId="12D154AD" w14:textId="6592FE4F" w:rsidR="00C36036" w:rsidRDefault="00C36036" w:rsidP="00DF374E">
      <w:pPr>
        <w:pStyle w:val="ListParagraph"/>
        <w:numPr>
          <w:ilvl w:val="0"/>
          <w:numId w:val="5"/>
        </w:numPr>
      </w:pPr>
      <w:r>
        <w:t xml:space="preserve">Margin projection: based on linear </w:t>
      </w:r>
      <w:proofErr w:type="gramStart"/>
      <w:r>
        <w:t>regression</w:t>
      </w:r>
      <w:proofErr w:type="gramEnd"/>
    </w:p>
    <w:p w14:paraId="3C7EA666" w14:textId="77777777" w:rsidR="00DF374E" w:rsidRDefault="00DF374E" w:rsidP="00A964FE"/>
    <w:p w14:paraId="47C1F82F" w14:textId="70F9516F" w:rsidR="00A964FE" w:rsidRDefault="00A964FE" w:rsidP="00A964FE">
      <w:r>
        <w:t>Industrial Chemical</w:t>
      </w:r>
    </w:p>
    <w:p w14:paraId="0C147B86" w14:textId="3753E06C" w:rsidR="00A964FE" w:rsidRDefault="00A964FE" w:rsidP="00A964FE">
      <w:pPr>
        <w:pStyle w:val="ListParagraph"/>
        <w:numPr>
          <w:ilvl w:val="0"/>
          <w:numId w:val="6"/>
        </w:numPr>
      </w:pPr>
      <w:r>
        <w:t>Low EBIT, not as important</w:t>
      </w:r>
    </w:p>
    <w:sectPr w:rsidR="00A964FE" w:rsidSect="00FA0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4828" w14:textId="77777777" w:rsidR="00192FE6" w:rsidRDefault="00192FE6" w:rsidP="00975D72">
      <w:r>
        <w:separator/>
      </w:r>
    </w:p>
  </w:endnote>
  <w:endnote w:type="continuationSeparator" w:id="0">
    <w:p w14:paraId="14EF6229" w14:textId="77777777" w:rsidR="00192FE6" w:rsidRDefault="00192FE6" w:rsidP="00975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917A" w14:textId="77777777" w:rsidR="00192FE6" w:rsidRDefault="00192FE6" w:rsidP="00975D72">
      <w:r>
        <w:separator/>
      </w:r>
    </w:p>
  </w:footnote>
  <w:footnote w:type="continuationSeparator" w:id="0">
    <w:p w14:paraId="0E92EF93" w14:textId="77777777" w:rsidR="00192FE6" w:rsidRDefault="00192FE6" w:rsidP="00975D72">
      <w:r>
        <w:continuationSeparator/>
      </w:r>
    </w:p>
  </w:footnote>
  <w:footnote w:id="1">
    <w:p w14:paraId="1108650A" w14:textId="0B3FD213" w:rsidR="00975D72" w:rsidRDefault="00975D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5D72">
        <w:t>https://www.mordorintelligence.com/industry-reports/iodine-market</w:t>
      </w:r>
    </w:p>
  </w:footnote>
  <w:footnote w:id="2">
    <w:p w14:paraId="6E6EC067" w14:textId="7D00194F" w:rsidR="00A746C0" w:rsidRDefault="00A746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746C0">
        <w:t>https://www.statista.com/statistics/606684/world-production-of-lithium/</w:t>
      </w:r>
    </w:p>
  </w:footnote>
  <w:footnote w:id="3">
    <w:p w14:paraId="438BB641" w14:textId="65BB09F6" w:rsidR="000E3E4E" w:rsidRDefault="000E3E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3E4E">
        <w:t>https://www.afr.com/companies/mining/will-the-lithium-price-rout-kill-the-next-wave-of-australian-mines-20230802-p5dtee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A0384F"/>
    <w:multiLevelType w:val="hybridMultilevel"/>
    <w:tmpl w:val="8E76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D05FC"/>
    <w:multiLevelType w:val="hybridMultilevel"/>
    <w:tmpl w:val="879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94202"/>
    <w:multiLevelType w:val="hybridMultilevel"/>
    <w:tmpl w:val="F6EA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00CAC"/>
    <w:multiLevelType w:val="hybridMultilevel"/>
    <w:tmpl w:val="7236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96931"/>
    <w:multiLevelType w:val="hybridMultilevel"/>
    <w:tmpl w:val="34BC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10331">
    <w:abstractNumId w:val="0"/>
  </w:num>
  <w:num w:numId="2" w16cid:durableId="1205100576">
    <w:abstractNumId w:val="3"/>
  </w:num>
  <w:num w:numId="3" w16cid:durableId="2031450821">
    <w:abstractNumId w:val="5"/>
  </w:num>
  <w:num w:numId="4" w16cid:durableId="585304419">
    <w:abstractNumId w:val="1"/>
  </w:num>
  <w:num w:numId="5" w16cid:durableId="818961094">
    <w:abstractNumId w:val="4"/>
  </w:num>
  <w:num w:numId="6" w16cid:durableId="765346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25"/>
    <w:rsid w:val="000E3E4E"/>
    <w:rsid w:val="001040B6"/>
    <w:rsid w:val="00192FE6"/>
    <w:rsid w:val="00367DA3"/>
    <w:rsid w:val="003A4070"/>
    <w:rsid w:val="003D452E"/>
    <w:rsid w:val="00424C25"/>
    <w:rsid w:val="00426745"/>
    <w:rsid w:val="006544A3"/>
    <w:rsid w:val="006707C6"/>
    <w:rsid w:val="0084335F"/>
    <w:rsid w:val="008478C7"/>
    <w:rsid w:val="00882AA6"/>
    <w:rsid w:val="00975D72"/>
    <w:rsid w:val="009B4BF4"/>
    <w:rsid w:val="00A6483A"/>
    <w:rsid w:val="00A733C0"/>
    <w:rsid w:val="00A746C0"/>
    <w:rsid w:val="00A90C43"/>
    <w:rsid w:val="00A964FE"/>
    <w:rsid w:val="00B048F5"/>
    <w:rsid w:val="00B6633B"/>
    <w:rsid w:val="00B6665B"/>
    <w:rsid w:val="00BE230C"/>
    <w:rsid w:val="00C36036"/>
    <w:rsid w:val="00CB4966"/>
    <w:rsid w:val="00D25C68"/>
    <w:rsid w:val="00D85C6F"/>
    <w:rsid w:val="00DF374E"/>
    <w:rsid w:val="00E05088"/>
    <w:rsid w:val="00EE69D7"/>
    <w:rsid w:val="00F5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55FFF"/>
  <w15:chartTrackingRefBased/>
  <w15:docId w15:val="{B19DB8A3-2DC2-8740-A762-01604F25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5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5D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D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5D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Tianyu</dc:creator>
  <cp:keywords/>
  <dc:description/>
  <cp:lastModifiedBy>Zhou, Tianyu</cp:lastModifiedBy>
  <cp:revision>21</cp:revision>
  <dcterms:created xsi:type="dcterms:W3CDTF">2023-12-02T22:57:00Z</dcterms:created>
  <dcterms:modified xsi:type="dcterms:W3CDTF">2023-12-04T00:32:00Z</dcterms:modified>
</cp:coreProperties>
</file>