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UNIVERSIDADE FEDERAL DO PARÁ</w:t>
      </w:r>
      <w:r>
        <w:t xml:space="preserve"> </w:t>
      </w:r>
      <w:r>
        <w:t xml:space="preserve">Campus Universitário de Tucuruí (CAMTUC) — Faculdade de Engenharia Elétrica (FEE)</w:t>
      </w:r>
    </w:p>
    <w:bookmarkStart w:id="19" w:name="plano-de-ensino-ementa-da-disciplina"/>
    <w:p>
      <w:pPr>
        <w:pStyle w:val="Heading1"/>
      </w:pPr>
      <w:r>
        <w:t xml:space="preserve">PLANO DE ENSINO — EMENTA DA DISCIPLINA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Sistemas de Controle 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Carga horária</w:t>
            </w:r>
          </w:p>
        </w:tc>
        <w:tc>
          <w:tcPr/>
          <w:p>
            <w:pPr>
              <w:pStyle w:val="Compact"/>
            </w:pPr>
            <w:r>
              <w:t xml:space="preserve">60 horas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Pré-requisito</w:t>
            </w:r>
          </w:p>
        </w:tc>
        <w:tc>
          <w:tcPr/>
          <w:p>
            <w:pPr>
              <w:pStyle w:val="Compact"/>
            </w:pPr>
            <w:r>
              <w:t xml:space="preserve">Análise de Sistemas Lineares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Prof. Dr. Raphael Teixeira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Curso(s)</w:t>
            </w:r>
          </w:p>
        </w:tc>
        <w:tc>
          <w:tcPr/>
          <w:p>
            <w:pPr>
              <w:pStyle w:val="Compact"/>
            </w:pPr>
            <w:r>
              <w:t xml:space="preserve">Engenharia Elétrica</w:t>
            </w:r>
          </w:p>
        </w:tc>
      </w:tr>
    </w:tbl>
    <w:bookmarkStart w:id="9" w:name="ementa"/>
    <w:p>
      <w:pPr>
        <w:pStyle w:val="Heading2"/>
      </w:pPr>
      <w:r>
        <w:t xml:space="preserve">1. Ementa</w:t>
      </w:r>
    </w:p>
    <w:p>
      <w:pPr>
        <w:pStyle w:val="FirstParagraph"/>
      </w:pPr>
      <w:r>
        <w:t xml:space="preserve">Introdução aos sistemas de controle realimentados: terminologia, malha aberta e malha fechada. Modelagem matemática de sistemas dinâmicos lineares e invariantes no tempo por meio da Transformada de Laplace e da função de transferência. Diagrama de blocos e álgebra de blocos. Resposta transitória de sistemas de primeira e de segunda ordem; especificações de desempenho no domínio do tempo. Resposta transitória de sistemas de ordem superior; polos dominantes; efeito de polos e zeros adicionais. Erro de regime permanente e classificação de sistemas por tipo. Critério de estabilidade de Routh-Hurwitz. Lugar geométrico das raízes (LGR): construção, análise e projeto. Resposta em frequência: diagramas de Bode, margens de ganho e de fase, critério de Nyquist. Controladores PID: ações proporcional, integral e derivativa; métodos de sintonia.</w:t>
      </w:r>
    </w:p>
    <w:bookmarkEnd w:id="9"/>
    <w:bookmarkStart w:id="12" w:name="objetivos"/>
    <w:p>
      <w:pPr>
        <w:pStyle w:val="Heading2"/>
      </w:pPr>
      <w:r>
        <w:t xml:space="preserve">2. Objetivos</w:t>
      </w:r>
    </w:p>
    <w:bookmarkStart w:id="10" w:name="objetivo-geral"/>
    <w:p>
      <w:pPr>
        <w:pStyle w:val="Heading3"/>
      </w:pPr>
      <w:r>
        <w:t xml:space="preserve">2.1 Objetivo geral</w:t>
      </w:r>
    </w:p>
    <w:p>
      <w:pPr>
        <w:pStyle w:val="FirstParagraph"/>
      </w:pPr>
      <w:r>
        <w:t xml:space="preserve">Capacitar o(a) estudante a modelar sistemas dinâmicos lineares por função de transferência e a analisar e projetar sistemas de controle realimentados no domínio do tempo, do plano complexo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e da frequência, com ênfase em controladores PID.</w:t>
      </w:r>
    </w:p>
    <w:bookmarkEnd w:id="10"/>
    <w:bookmarkStart w:id="11" w:name="objetivos-específicos"/>
    <w:p>
      <w:pPr>
        <w:pStyle w:val="Heading3"/>
      </w:pPr>
      <w:r>
        <w:t xml:space="preserve">2.2 Objetivos específicos</w:t>
      </w:r>
    </w:p>
    <w:p>
      <w:pPr>
        <w:pStyle w:val="Compact"/>
        <w:numPr>
          <w:ilvl w:val="0"/>
          <w:numId w:val="1001"/>
        </w:numPr>
      </w:pPr>
      <w:r>
        <w:t xml:space="preserve">Compreender a terminologia e a estrutura de sistemas de controle em malha aberta e em malha fechada.</w:t>
      </w:r>
    </w:p>
    <w:p>
      <w:pPr>
        <w:pStyle w:val="Compact"/>
        <w:numPr>
          <w:ilvl w:val="0"/>
          <w:numId w:val="1001"/>
        </w:numPr>
      </w:pPr>
      <w:r>
        <w:t xml:space="preserve">Obter modelos de sistemas dinâmicos (mecânicos, elétricos e eletromecânicos) na forma de função de transferência, a partir da Transformada de Laplace.</w:t>
      </w:r>
    </w:p>
    <w:p>
      <w:pPr>
        <w:pStyle w:val="Compact"/>
        <w:numPr>
          <w:ilvl w:val="0"/>
          <w:numId w:val="1001"/>
        </w:numPr>
      </w:pPr>
      <w:r>
        <w:t xml:space="preserve">Reduzir diagramas de blocos por álgebra de blocos.</w:t>
      </w:r>
    </w:p>
    <w:p>
      <w:pPr>
        <w:pStyle w:val="Compact"/>
        <w:numPr>
          <w:ilvl w:val="0"/>
          <w:numId w:val="1001"/>
        </w:numPr>
      </w:pPr>
      <w:r>
        <w:t xml:space="preserve">Analisar a resposta transitória de sistemas de primeira e de segunda ordem a partir da localização dos polos, e estender essa análise a sistemas de ordem superior por meio do conceito de polos dominantes.</w:t>
      </w:r>
    </w:p>
    <w:p>
      <w:pPr>
        <w:pStyle w:val="Compact"/>
        <w:numPr>
          <w:ilvl w:val="0"/>
          <w:numId w:val="1001"/>
        </w:numPr>
      </w:pPr>
      <w:r>
        <w:t xml:space="preserve">Calcular o erro de regime permanente, classificar sistemas por tipo e aplicar o critério de Routh-Hurwitz para análise de estabilidade.</w:t>
      </w:r>
    </w:p>
    <w:p>
      <w:pPr>
        <w:pStyle w:val="Compact"/>
        <w:numPr>
          <w:ilvl w:val="0"/>
          <w:numId w:val="1001"/>
        </w:numPr>
      </w:pPr>
      <w:r>
        <w:t xml:space="preserve">Esboçar e interpretar o lugar geométrico das raízes (LGR) para análise e projeto de controladores.</w:t>
      </w:r>
    </w:p>
    <w:p>
      <w:pPr>
        <w:pStyle w:val="Compact"/>
        <w:numPr>
          <w:ilvl w:val="0"/>
          <w:numId w:val="1001"/>
        </w:numPr>
      </w:pPr>
      <w:r>
        <w:t xml:space="preserve">Interpretar diagramas de Bode e determinar margens de ganho e de fase.</w:t>
      </w:r>
    </w:p>
    <w:p>
      <w:pPr>
        <w:pStyle w:val="Compact"/>
        <w:numPr>
          <w:ilvl w:val="0"/>
          <w:numId w:val="1001"/>
        </w:numPr>
      </w:pPr>
      <w:r>
        <w:t xml:space="preserve">Projetar e sintonizar controladores PID para atender especificações de desempenho.</w:t>
      </w:r>
    </w:p>
    <w:bookmarkEnd w:id="11"/>
    <w:bookmarkEnd w:id="12"/>
    <w:bookmarkStart w:id="13" w:name="conteúdo-programático"/>
    <w:p>
      <w:pPr>
        <w:pStyle w:val="Heading2"/>
      </w:pPr>
      <w:r>
        <w:t xml:space="preserve">3. Conteúdo Programático</w:t>
      </w:r>
    </w:p>
    <w:p>
      <w:pPr>
        <w:pStyle w:val="FirstParagraph"/>
      </w:pPr>
      <w:r>
        <w:rPr>
          <w:b/>
          <w:bCs/>
        </w:rPr>
        <w:t xml:space="preserve">Unidade 1 — Introdução a sistemas de controle</w:t>
      </w:r>
    </w:p>
    <w:p>
      <w:pPr>
        <w:pStyle w:val="Compact"/>
        <w:numPr>
          <w:ilvl w:val="0"/>
          <w:numId w:val="1002"/>
        </w:numPr>
      </w:pPr>
      <w:r>
        <w:t xml:space="preserve">Conceito de controle automático; componentes de um sistema de controle (planta, atuador, sensor, controlador).</w:t>
      </w:r>
    </w:p>
    <w:p>
      <w:pPr>
        <w:pStyle w:val="Compact"/>
        <w:numPr>
          <w:ilvl w:val="0"/>
          <w:numId w:val="1002"/>
        </w:numPr>
      </w:pPr>
      <w:r>
        <w:t xml:space="preserve">Sistemas em malha aberta e em malha fechada; realimentação negativa.</w:t>
      </w:r>
    </w:p>
    <w:p>
      <w:pPr>
        <w:pStyle w:val="Compact"/>
        <w:numPr>
          <w:ilvl w:val="0"/>
          <w:numId w:val="1002"/>
        </w:numPr>
      </w:pPr>
      <w:r>
        <w:t xml:space="preserve">Sinais e variáveis do sistema: referência, erro, sinal de controle, perturbação.</w:t>
      </w:r>
    </w:p>
    <w:p>
      <w:pPr>
        <w:pStyle w:val="Compact"/>
        <w:numPr>
          <w:ilvl w:val="0"/>
          <w:numId w:val="1002"/>
        </w:numPr>
      </w:pPr>
      <w:r>
        <w:t xml:space="preserve">Objetivos de projeto: estabilidade, resposta transitória e erro de regime permanente.</w:t>
      </w:r>
    </w:p>
    <w:p>
      <w:pPr>
        <w:pStyle w:val="Compact"/>
        <w:numPr>
          <w:ilvl w:val="0"/>
          <w:numId w:val="1002"/>
        </w:numPr>
      </w:pPr>
      <w:r>
        <w:t xml:space="preserve">Breve histórico do controle automático.</w:t>
      </w:r>
    </w:p>
    <w:p>
      <w:pPr>
        <w:pStyle w:val="FirstParagraph"/>
      </w:pPr>
      <w:r>
        <w:rPr>
          <w:b/>
          <w:bCs/>
        </w:rPr>
        <w:t xml:space="preserve">Unidade 2 — Modelagem e função de transferência</w:t>
      </w:r>
    </w:p>
    <w:p>
      <w:pPr>
        <w:pStyle w:val="Compact"/>
        <w:numPr>
          <w:ilvl w:val="0"/>
          <w:numId w:val="1003"/>
        </w:numPr>
      </w:pPr>
      <w:r>
        <w:t xml:space="preserve">Revisão da Transformada de Laplace: propriedades e pares notáveis.</w:t>
      </w:r>
    </w:p>
    <w:p>
      <w:pPr>
        <w:pStyle w:val="Compact"/>
        <w:numPr>
          <w:ilvl w:val="0"/>
          <w:numId w:val="1003"/>
        </w:numPr>
      </w:pPr>
      <w:r>
        <w:t xml:space="preserve">Função de transferência: definição, polos e zeros, equação característica.</w:t>
      </w:r>
    </w:p>
    <w:p>
      <w:pPr>
        <w:pStyle w:val="Compact"/>
        <w:numPr>
          <w:ilvl w:val="0"/>
          <w:numId w:val="1003"/>
        </w:numPr>
      </w:pPr>
      <w:r>
        <w:t xml:space="preserve">Modelagem de sistemas mecânicos (massa-mola-amortecedor) e eletromecânicos (motor CC).</w:t>
      </w:r>
    </w:p>
    <w:p>
      <w:pPr>
        <w:pStyle w:val="Compact"/>
        <w:numPr>
          <w:ilvl w:val="0"/>
          <w:numId w:val="1003"/>
        </w:numPr>
      </w:pPr>
      <w:r>
        <w:t xml:space="preserve">Diagrama de blocos: elementos, álgebra de blocos (série, paralelo, realimentação).</w:t>
      </w:r>
    </w:p>
    <w:p>
      <w:pPr>
        <w:pStyle w:val="Compact"/>
        <w:numPr>
          <w:ilvl w:val="0"/>
          <w:numId w:val="1003"/>
        </w:numPr>
      </w:pPr>
      <w:r>
        <w:t xml:space="preserve">Redução de diagramas com múltiplas malhas por álgebra de blocos (malhas aninhadas).</w:t>
      </w:r>
    </w:p>
    <w:p>
      <w:pPr>
        <w:pStyle w:val="FirstParagraph"/>
      </w:pPr>
      <w:r>
        <w:rPr>
          <w:b/>
          <w:bCs/>
        </w:rPr>
        <w:t xml:space="preserve">Unidade 3 — Resposta transitória</w:t>
      </w:r>
    </w:p>
    <w:p>
      <w:pPr>
        <w:pStyle w:val="Compact"/>
        <w:numPr>
          <w:ilvl w:val="0"/>
          <w:numId w:val="1004"/>
        </w:numPr>
      </w:pPr>
      <w:r>
        <w:t xml:space="preserve">Sistemas de primeira ordem: constante de tempo, resposta ao degrau, à rampa e ao impulso.</w:t>
      </w:r>
    </w:p>
    <w:p>
      <w:pPr>
        <w:pStyle w:val="Compact"/>
        <w:numPr>
          <w:ilvl w:val="0"/>
          <w:numId w:val="1004"/>
        </w:numPr>
      </w:pPr>
      <w:r>
        <w:t xml:space="preserve">Sistemas de segunda ordem: frequência natural, coeficiente de amortecimento, classificação (sub, criticamente e sobreamortecido).</w:t>
      </w:r>
    </w:p>
    <w:p>
      <w:pPr>
        <w:pStyle w:val="Compact"/>
        <w:numPr>
          <w:ilvl w:val="0"/>
          <w:numId w:val="1004"/>
        </w:numPr>
      </w:pPr>
      <w:r>
        <w:t xml:space="preserve">Especificações de desempenho: sobressinal, tempo de pico, tempo de acomodação, tempo de subida.</w:t>
      </w:r>
    </w:p>
    <w:p>
      <w:pPr>
        <w:pStyle w:val="Compact"/>
        <w:numPr>
          <w:ilvl w:val="0"/>
          <w:numId w:val="1004"/>
        </w:numPr>
      </w:pPr>
      <w:r>
        <w:t xml:space="preserve">Sistemas de ordem superior: polos dominantes; efeito de polos e zeros adicionais; zeros de fase não-mínima.</w:t>
      </w:r>
    </w:p>
    <w:p>
      <w:pPr>
        <w:pStyle w:val="FirstParagraph"/>
      </w:pPr>
      <w:r>
        <w:rPr>
          <w:b/>
          <w:bCs/>
        </w:rPr>
        <w:t xml:space="preserve">Unidade 4 — Erro de regime permanente e estabilidade</w:t>
      </w:r>
    </w:p>
    <w:p>
      <w:pPr>
        <w:pStyle w:val="Compact"/>
        <w:numPr>
          <w:ilvl w:val="0"/>
          <w:numId w:val="1005"/>
        </w:numPr>
      </w:pPr>
      <w:r>
        <w:t xml:space="preserve">Erro de regime permanente; teorema do valor final.</w:t>
      </w:r>
    </w:p>
    <w:p>
      <w:pPr>
        <w:pStyle w:val="Compact"/>
        <w:numPr>
          <w:ilvl w:val="0"/>
          <w:numId w:val="1005"/>
        </w:numPr>
      </w:pPr>
      <w:r>
        <w:t xml:space="preserve">Tipo de sistema; constantes de erro estático (posição, velocidade, aceleração).</w:t>
      </w:r>
    </w:p>
    <w:p>
      <w:pPr>
        <w:pStyle w:val="Compact"/>
        <w:numPr>
          <w:ilvl w:val="0"/>
          <w:numId w:val="1005"/>
        </w:numPr>
      </w:pPr>
      <w:r>
        <w:t xml:space="preserve">Conceito de estabilidade BIBO; critério de estabilidade de Routh-Hurwitz.</w:t>
      </w:r>
    </w:p>
    <w:p>
      <w:pPr>
        <w:pStyle w:val="Compact"/>
        <w:numPr>
          <w:ilvl w:val="0"/>
          <w:numId w:val="1005"/>
        </w:numPr>
      </w:pPr>
      <w:r>
        <w:t xml:space="preserve">Casos especiais do array de Routh (zero na primeira coluna; linha inteiramente nula).</w:t>
      </w:r>
    </w:p>
    <w:p>
      <w:pPr>
        <w:pStyle w:val="FirstParagraph"/>
      </w:pPr>
      <w:r>
        <w:rPr>
          <w:b/>
          <w:bCs/>
        </w:rPr>
        <w:t xml:space="preserve">Unidade 5 — Lugar geométrico das raízes e resposta em frequência</w:t>
      </w:r>
    </w:p>
    <w:p>
      <w:pPr>
        <w:pStyle w:val="Compact"/>
        <w:numPr>
          <w:ilvl w:val="0"/>
          <w:numId w:val="1006"/>
        </w:numPr>
      </w:pPr>
      <w:r>
        <w:t xml:space="preserve">Condições de ângulo e de módulo; regras de construção do lugar geométrico das raízes (LGR).</w:t>
      </w:r>
    </w:p>
    <w:p>
      <w:pPr>
        <w:pStyle w:val="Compact"/>
        <w:numPr>
          <w:ilvl w:val="0"/>
          <w:numId w:val="1006"/>
        </w:numPr>
      </w:pPr>
      <w:r>
        <w:t xml:space="preserve">Assíntotas, pontos de quebra, ângulos de partida/chegada, cruzamento do eixo imaginário.</w:t>
      </w:r>
    </w:p>
    <w:p>
      <w:pPr>
        <w:pStyle w:val="Compact"/>
        <w:numPr>
          <w:ilvl w:val="0"/>
          <w:numId w:val="1006"/>
        </w:numPr>
      </w:pPr>
      <w:r>
        <w:t xml:space="preserve">Projeto de ganho por LGR.</w:t>
      </w:r>
    </w:p>
    <w:p>
      <w:pPr>
        <w:pStyle w:val="Compact"/>
        <w:numPr>
          <w:ilvl w:val="0"/>
          <w:numId w:val="1006"/>
        </w:numPr>
      </w:pPr>
      <w:r>
        <w:t xml:space="preserve">Resposta em frequência: diagrama de Bode (assíntotas, fatores básicos).</w:t>
      </w:r>
    </w:p>
    <w:p>
      <w:pPr>
        <w:pStyle w:val="Compact"/>
        <w:numPr>
          <w:ilvl w:val="0"/>
          <w:numId w:val="1006"/>
        </w:numPr>
      </w:pPr>
      <w:r>
        <w:t xml:space="preserve">Margens de ganho e de fase; relação entre margem de fase e amortecimento; noção do critério de Nyquist.</w:t>
      </w:r>
    </w:p>
    <w:p>
      <w:pPr>
        <w:pStyle w:val="FirstParagraph"/>
      </w:pPr>
      <w:r>
        <w:rPr>
          <w:b/>
          <w:bCs/>
        </w:rPr>
        <w:t xml:space="preserve">Unidade 6 — Controladores PID</w:t>
      </w:r>
    </w:p>
    <w:p>
      <w:pPr>
        <w:pStyle w:val="Compact"/>
        <w:numPr>
          <w:ilvl w:val="0"/>
          <w:numId w:val="1007"/>
        </w:numPr>
      </w:pPr>
      <w:r>
        <w:t xml:space="preserve">Ação proporcional (P), integral (I) e derivativa (D): efeitos individuais sobre a resposta.</w:t>
      </w:r>
    </w:p>
    <w:p>
      <w:pPr>
        <w:pStyle w:val="Compact"/>
        <w:numPr>
          <w:ilvl w:val="0"/>
          <w:numId w:val="1007"/>
        </w:numPr>
      </w:pPr>
      <w:r>
        <w:t xml:space="preserve">Estruturas PI, PD e PID; efeito sobre o tipo do sistema e sobre a estabilidade.</w:t>
      </w:r>
    </w:p>
    <w:p>
      <w:pPr>
        <w:pStyle w:val="Compact"/>
        <w:numPr>
          <w:ilvl w:val="0"/>
          <w:numId w:val="1007"/>
        </w:numPr>
      </w:pPr>
      <w:r>
        <w:t xml:space="preserve">Sintonia de Ziegler-Nichols: método da malha fechada e método da curva de reação.</w:t>
      </w:r>
    </w:p>
    <w:p>
      <w:pPr>
        <w:pStyle w:val="Compact"/>
        <w:numPr>
          <w:ilvl w:val="0"/>
          <w:numId w:val="1007"/>
        </w:numPr>
      </w:pPr>
      <w:r>
        <w:t xml:space="preserve">Aspectos práticos de implementação: windup integral, ruído na ação derivativa.</w:t>
      </w:r>
    </w:p>
    <w:bookmarkEnd w:id="13"/>
    <w:bookmarkStart w:id="14" w:name="metodologia"/>
    <w:p>
      <w:pPr>
        <w:pStyle w:val="Heading2"/>
      </w:pPr>
      <w:r>
        <w:t xml:space="preserve">4. Metodologia</w:t>
      </w:r>
    </w:p>
    <w:p>
      <w:pPr>
        <w:pStyle w:val="FirstParagraph"/>
      </w:pPr>
      <w:r>
        <w:t xml:space="preserve">Aulas expositivas dialogadas com apoio de recursos audiovisuais e simulações computacionais (MATLAB/Simulink, Python/</w:t>
      </w:r>
      <w:r>
        <w:rPr>
          <w:rStyle w:val="VerbatimChar"/>
        </w:rPr>
        <w:t xml:space="preserve">python-control</w:t>
      </w:r>
      <w:r>
        <w:t xml:space="preserve">), resolução de listas de exercícios e discussão orientada de estudos de caso aplicados a sistemas de controle realimentados.</w:t>
      </w:r>
    </w:p>
    <w:bookmarkEnd w:id="14"/>
    <w:bookmarkStart w:id="15" w:name="avaliação"/>
    <w:p>
      <w:pPr>
        <w:pStyle w:val="Heading2"/>
      </w:pPr>
      <w:r>
        <w:t xml:space="preserve">5. Avaliação</w:t>
      </w:r>
    </w:p>
    <w:p>
      <w:pPr>
        <w:pStyle w:val="FirstParagraph"/>
      </w:pPr>
      <w:r>
        <w:t xml:space="preserve">A avaliação será realizada por meio de provas escritas individuais e listas de exercícios, conforme critérios estabelecidos no plano de ensino específico da turma e no regimento da UFPA.</w:t>
      </w:r>
    </w:p>
    <w:bookmarkEnd w:id="15"/>
    <w:bookmarkStart w:id="18" w:name="bibliografia"/>
    <w:p>
      <w:pPr>
        <w:pStyle w:val="Heading2"/>
      </w:pPr>
      <w:r>
        <w:t xml:space="preserve">6. Bibliografia</w:t>
      </w:r>
    </w:p>
    <w:bookmarkStart w:id="16" w:name="básica"/>
    <w:p>
      <w:pPr>
        <w:pStyle w:val="Heading3"/>
      </w:pPr>
      <w:r>
        <w:t xml:space="preserve">6.1 Básica</w:t>
      </w:r>
    </w:p>
    <w:p>
      <w:pPr>
        <w:pStyle w:val="Compact"/>
        <w:numPr>
          <w:ilvl w:val="0"/>
          <w:numId w:val="1008"/>
        </w:numPr>
      </w:pPr>
      <w:r>
        <w:t xml:space="preserve">OGATA, K.</w:t>
      </w:r>
      <w:r>
        <w:t xml:space="preserve"> </w:t>
      </w:r>
      <w:r>
        <w:rPr>
          <w:b/>
          <w:bCs/>
        </w:rPr>
        <w:t xml:space="preserve">Engenharia de Controle Moderno</w:t>
      </w:r>
      <w:r>
        <w:t xml:space="preserve">. 5. ed. São Paulo: Pearson Prentice Hall, 2010.</w:t>
      </w:r>
    </w:p>
    <w:p>
      <w:pPr>
        <w:pStyle w:val="Compact"/>
        <w:numPr>
          <w:ilvl w:val="0"/>
          <w:numId w:val="1008"/>
        </w:numPr>
      </w:pPr>
      <w:r>
        <w:t xml:space="preserve">NISE, N. S.</w:t>
      </w:r>
      <w:r>
        <w:t xml:space="preserve"> </w:t>
      </w:r>
      <w:r>
        <w:rPr>
          <w:b/>
          <w:bCs/>
        </w:rPr>
        <w:t xml:space="preserve">Engenharia de Sistemas de Controle</w:t>
      </w:r>
      <w:r>
        <w:t xml:space="preserve">. 7. ed. Rio de Janeiro: LTC, 2017.</w:t>
      </w:r>
    </w:p>
    <w:p>
      <w:pPr>
        <w:pStyle w:val="Compact"/>
        <w:numPr>
          <w:ilvl w:val="0"/>
          <w:numId w:val="1008"/>
        </w:numPr>
      </w:pPr>
      <w:r>
        <w:t xml:space="preserve">DORF, R. C.; BISHOP, R. H.</w:t>
      </w:r>
      <w:r>
        <w:t xml:space="preserve"> </w:t>
      </w:r>
      <w:r>
        <w:rPr>
          <w:b/>
          <w:bCs/>
        </w:rPr>
        <w:t xml:space="preserve">Sistemas de Controle Moderno</w:t>
      </w:r>
      <w:r>
        <w:t xml:space="preserve">. 13. ed. Rio de Janeiro: LTC, 2018.</w:t>
      </w:r>
    </w:p>
    <w:bookmarkEnd w:id="16"/>
    <w:bookmarkStart w:id="17" w:name="complementar"/>
    <w:p>
      <w:pPr>
        <w:pStyle w:val="Heading3"/>
      </w:pPr>
      <w:r>
        <w:t xml:space="preserve">6.2 Complementar</w:t>
      </w:r>
    </w:p>
    <w:p>
      <w:pPr>
        <w:pStyle w:val="Compact"/>
        <w:numPr>
          <w:ilvl w:val="0"/>
          <w:numId w:val="1009"/>
        </w:numPr>
      </w:pPr>
      <w:r>
        <w:t xml:space="preserve">FRANKLIN, G. F.; POWELL, J. D.; EMAMI-NAEINI, A.</w:t>
      </w:r>
      <w:r>
        <w:t xml:space="preserve"> </w:t>
      </w:r>
      <w:r>
        <w:rPr>
          <w:b/>
          <w:bCs/>
        </w:rPr>
        <w:t xml:space="preserve">Feedback Control of Dynamic Systems</w:t>
      </w:r>
      <w:r>
        <w:t xml:space="preserve">. 7. ed. São Paulo: Pearson, 2013.</w:t>
      </w:r>
    </w:p>
    <w:p>
      <w:pPr>
        <w:pStyle w:val="Compact"/>
        <w:numPr>
          <w:ilvl w:val="0"/>
          <w:numId w:val="1009"/>
        </w:numPr>
      </w:pPr>
      <w:r>
        <w:t xml:space="preserve">KUO, B. C.; GOLNARAGHI, F.</w:t>
      </w:r>
      <w:r>
        <w:t xml:space="preserve"> </w:t>
      </w:r>
      <w:r>
        <w:rPr>
          <w:b/>
          <w:bCs/>
        </w:rPr>
        <w:t xml:space="preserve">Automatic Control Systems</w:t>
      </w:r>
      <w:r>
        <w:t xml:space="preserve">. 9. ed. Hoboken: Wiley, 2010.</w:t>
      </w:r>
    </w:p>
    <w:p>
      <w:pPr>
        <w:pStyle w:val="Compact"/>
        <w:numPr>
          <w:ilvl w:val="0"/>
          <w:numId w:val="1009"/>
        </w:numPr>
      </w:pPr>
      <w:r>
        <w:t xml:space="preserve">PHILLIPS, C. L.; HARBOR, R. D.</w:t>
      </w:r>
      <w:r>
        <w:t xml:space="preserve"> </w:t>
      </w:r>
      <w:r>
        <w:rPr>
          <w:b/>
          <w:bCs/>
        </w:rPr>
        <w:t xml:space="preserve">Sistemas de Controle e Realimentação</w:t>
      </w:r>
      <w:r>
        <w:t xml:space="preserve">. 8. ed. São Paulo: Pearson, 2013.</w:t>
      </w:r>
    </w:p>
    <w:p>
      <w:pPr>
        <w:pStyle w:val="Compact"/>
        <w:numPr>
          <w:ilvl w:val="0"/>
          <w:numId w:val="1009"/>
        </w:numPr>
      </w:pPr>
      <w:r>
        <w:t xml:space="preserve">ZIEGLER, J. G.; NICHOLS, N. B. Optimum Settings for Automatic Controllers.</w:t>
      </w:r>
      <w:r>
        <w:t xml:space="preserve"> </w:t>
      </w:r>
      <w:r>
        <w:rPr>
          <w:b/>
          <w:bCs/>
        </w:rPr>
        <w:t xml:space="preserve">Transactions of the ASME</w:t>
      </w:r>
      <w:r>
        <w:t xml:space="preserve">, v. 64, p. 759–768, 1942. (referência complementar para sintonia de controladores PID).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2026-07-09T00:22:32Z</dcterms:created>
  <dcterms:modified xsi:type="dcterms:W3CDTF">2026-07-09T00:22:32Z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