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2563EB"/>
          <w:sz w:val="48"/>
        </w:rPr>
        <w:t>Raphael Leveque</w:t>
      </w:r>
    </w:p>
    <w:p>
      <w:pPr>
        <w:spacing w:after="80"/>
      </w:pPr>
      <w:r>
        <w:rPr>
          <w:b/>
          <w:color w:val="404040"/>
          <w:sz w:val="26"/>
        </w:rPr>
        <w:t>PLM Windchill Principal Architect</w:t>
      </w:r>
    </w:p>
    <w:p>
      <w:pPr>
        <w:pBdr>
          <w:bottom w:val="single" w:sz="12" w:space="1" w:color="2563EB"/>
        </w:pBdr>
        <w:spacing w:after="80"/>
      </w:pPr>
    </w:p>
    <w:p>
      <w:pPr>
        <w:spacing w:after="240"/>
      </w:pPr>
      <w:r>
        <w:rPr>
          <w:color w:val="404040"/>
          <w:sz w:val="19"/>
        </w:rPr>
        <w:t>Email: raphaellevequeptc@gmail.com   |   LinkedIn: linkedin.com/in/raphael-leveque-ba68789   |   Location: Toulouse, France (Remote)</w:t>
      </w:r>
    </w:p>
    <w:p>
      <w:pPr>
        <w:pStyle w:val="Heading1"/>
        <w:spacing w:before="240" w:after="120"/>
        <w:pBdr>
          <w:bottom w:val="single" w:sz="12" w:space="1" w:color="2563EB"/>
        </w:pBdr>
      </w:pPr>
      <w:r>
        <w:rPr>
          <w:b/>
          <w:color w:val="404040"/>
          <w:sz w:val="44"/>
        </w:rPr>
        <w:t>PROFESSIONAL SUMMARY</w:t>
      </w:r>
    </w:p>
    <w:p>
      <w:pPr>
        <w:spacing w:after="100"/>
      </w:pPr>
      <w:r>
        <w:rPr>
          <w:color w:val="404040"/>
          <w:sz w:val="19"/>
        </w:rPr>
        <w:t>Principal PLM Windchill Architect with 25+ years of experience, 50+ projects delivered, across 10+ industries worldwide. Career spanning Dassault Systemes (2000–2005), PTC Inc. (14 years), Capgemini and Transition Technologies PSC — covering the full spectrum from presales and solution architecture through Java customisation, data migration and development team leadership.</w:t>
      </w:r>
    </w:p>
    <w:p>
      <w:pPr>
        <w:spacing w:after="100"/>
      </w:pPr>
      <w:r>
        <w:rPr>
          <w:color w:val="404040"/>
          <w:sz w:val="19"/>
        </w:rPr>
        <w:t>Core expertise: PLM Architecture (Windchill PDMLink, MPMLink, ProjectLink, CAD Integration, Data Migration, Solution Design, Presales)  |  Cloud &amp; IoT (AWS Certified Solutions Architect, ThingWorx IIoT, Azure IoT Hub, CI/CD, FinOps)  |  AI-driven Development (Claude Code, Kiro, Codex, Prompt Engineering, AI-augmented workflows).</w:t>
      </w:r>
    </w:p>
    <w:p>
      <w:pPr>
        <w:spacing w:after="240"/>
      </w:pPr>
      <w:r>
        <w:rPr>
          <w:color w:val="404040"/>
          <w:sz w:val="19"/>
        </w:rPr>
        <w:t>Trusted by global industry leaders across Aerospace &amp; Defense (Airbus, Thales, MBDA, Safran, Dassault Aviation), Automotive (Volvo, Ferrari, ZF), Luxury &amp; Retail (Richemont, Kingfisher), Energy &amp; Industrial (Schneider Electric, Fayat Group, BASF), Transport &amp; Marine (SNCF, Hitachi, Navantia) and High Tech (Velux, Eurocopter, Aerolia).</w:t>
      </w:r>
    </w:p>
    <w:p>
      <w:pPr>
        <w:pStyle w:val="Heading1"/>
        <w:spacing w:before="240" w:after="120"/>
        <w:pBdr>
          <w:bottom w:val="single" w:sz="12" w:space="1" w:color="2563EB"/>
        </w:pBdr>
      </w:pPr>
      <w:r>
        <w:rPr>
          <w:b/>
          <w:color w:val="404040"/>
          <w:sz w:val="44"/>
        </w:rPr>
        <w:t>PROFESSIONAL EXPERIENCE</w:t>
      </w:r>
    </w:p>
    <w:p>
      <w:pPr>
        <w:tabs>
          <w:tab w:pos="9720" w:val="right"/>
        </w:tabs>
        <w:spacing w:after="0"/>
      </w:pPr>
      <w:r>
        <w:rPr>
          <w:b/>
          <w:color w:val="404040"/>
          <w:sz w:val="19"/>
        </w:rPr>
        <w:t>Principal Architect – PLM Product Engineering</w:t>
      </w:r>
      <w:r>
        <w:rPr>
          <w:color w:val="404040"/>
          <w:sz w:val="19"/>
        </w:rPr>
        <w:tab/>
        <w:t>September 2022 – Present</w:t>
      </w:r>
    </w:p>
    <w:p>
      <w:pPr>
        <w:spacing w:after="120"/>
      </w:pPr>
      <w:r>
        <w:rPr>
          <w:i/>
          <w:color w:val="2563EB"/>
          <w:sz w:val="19"/>
        </w:rPr>
        <w:t>Transition Technologies PSC France S.A.S.</w:t>
      </w:r>
      <w:r>
        <w:rPr>
          <w:color w:val="404040"/>
          <w:sz w:val="19"/>
        </w:rPr>
        <w:t xml:space="preserve">  |  </w:t>
      </w:r>
      <w:r>
        <w:rPr>
          <w:color w:val="666666"/>
          <w:sz w:val="19"/>
        </w:rPr>
        <w:t>Remote</w:t>
      </w:r>
    </w:p>
    <w:p>
      <w:pPr>
        <w:spacing w:before="120" w:after="80"/>
      </w:pPr>
      <w:r>
        <w:rPr>
          <w:b/>
          <w:color w:val="404040"/>
          <w:sz w:val="19"/>
        </w:rPr>
        <w:t>PLM Windchill Principal Architect – Fayat Group (Construction &amp; Industrial) | March 2025 – Present</w:t>
      </w:r>
    </w:p>
    <w:p>
      <w:pPr>
        <w:pStyle w:val="ListBullet"/>
        <w:spacing w:after="60"/>
      </w:pPr>
      <w:r>
        <w:rPr>
          <w:color w:val="404040"/>
          <w:sz w:val="19"/>
        </w:rPr>
        <w:t>Led framing activities and authored 2 Technical Statements of Work (SOW) covering Multi-CAD Integration, BOM Engineering, Variant Design, Manufacturing, ERP integrations, and Migrations across 10 sites and 2 Windchill target instances.</w:t>
      </w:r>
    </w:p>
    <w:p>
      <w:pPr>
        <w:pStyle w:val="ListBullet"/>
        <w:spacing w:after="60"/>
      </w:pPr>
      <w:r>
        <w:rPr>
          <w:color w:val="404040"/>
          <w:sz w:val="19"/>
        </w:rPr>
        <w:t>Defined and documented full solution architecture for both Windchill environments.</w:t>
      </w:r>
    </w:p>
    <w:p>
      <w:pPr>
        <w:pStyle w:val="ListBullet"/>
        <w:spacing w:after="60"/>
      </w:pPr>
      <w:r>
        <w:rPr>
          <w:color w:val="404040"/>
          <w:sz w:val="19"/>
        </w:rPr>
        <w:t>Managed Proof of Concept, product demonstrations, and architecture design reviews.</w:t>
      </w:r>
    </w:p>
    <w:p>
      <w:pPr>
        <w:pStyle w:val="ListBullet"/>
        <w:spacing w:after="60"/>
      </w:pPr>
      <w:r>
        <w:rPr>
          <w:color w:val="404040"/>
          <w:sz w:val="19"/>
        </w:rPr>
        <w:t>Initiated Migration and PDM Configuration Sprints over a 2-year roadmap for each Windchill instance.</w:t>
      </w:r>
    </w:p>
    <w:p>
      <w:pPr>
        <w:pStyle w:val="ListBullet"/>
        <w:spacing w:after="60"/>
      </w:pPr>
      <w:r>
        <w:rPr>
          <w:color w:val="404040"/>
          <w:sz w:val="19"/>
        </w:rPr>
        <w:t>Coordinated technical delivery teams; facilitated workshops and project technical reviews with client stakeholders.</w:t>
      </w:r>
    </w:p>
    <w:p>
      <w:pPr>
        <w:spacing w:before="120" w:after="80"/>
      </w:pPr>
      <w:r>
        <w:rPr>
          <w:b/>
          <w:color w:val="404040"/>
          <w:sz w:val="19"/>
        </w:rPr>
        <w:t>PLM Business Analyst – Safran (Aerospace &amp; Defense) | October 2024 – March 2025</w:t>
      </w:r>
    </w:p>
    <w:p>
      <w:pPr>
        <w:pStyle w:val="ListBullet"/>
        <w:spacing w:after="60"/>
      </w:pPr>
      <w:r>
        <w:rPr>
          <w:color w:val="404040"/>
          <w:sz w:val="19"/>
        </w:rPr>
        <w:t>Managed framing activities for Service Lifecycle Management (SLM) projects adhering to ATA/S1000D standards, ensuring readiness for Definition and Implementation phases.</w:t>
      </w:r>
    </w:p>
    <w:p>
      <w:pPr>
        <w:spacing w:before="120" w:after="80"/>
      </w:pPr>
      <w:r>
        <w:rPr>
          <w:b/>
          <w:color w:val="404040"/>
          <w:sz w:val="19"/>
        </w:rPr>
        <w:t>Windchill &amp; Data Migration Technical Architect – Safran (A&amp;D) | October 2023 – July 2024</w:t>
      </w:r>
    </w:p>
    <w:p>
      <w:pPr>
        <w:pStyle w:val="ListBullet"/>
        <w:spacing w:after="60"/>
      </w:pPr>
      <w:r>
        <w:rPr>
          <w:color w:val="404040"/>
          <w:sz w:val="19"/>
        </w:rPr>
        <w:t>Led migration project transitioning from SAP and Agile databases to Windchill.</w:t>
      </w:r>
    </w:p>
    <w:p>
      <w:pPr>
        <w:pStyle w:val="ListBullet"/>
        <w:spacing w:after="60"/>
      </w:pPr>
      <w:r>
        <w:rPr>
          <w:color w:val="404040"/>
          <w:sz w:val="19"/>
        </w:rPr>
        <w:t>Defined data mapping strategies, configured Windchill systems, and coordinated ETL specialists.</w:t>
      </w:r>
    </w:p>
    <w:p>
      <w:pPr>
        <w:spacing w:before="120" w:after="80"/>
      </w:pPr>
      <w:r>
        <w:rPr>
          <w:b/>
          <w:color w:val="404040"/>
          <w:sz w:val="19"/>
        </w:rPr>
        <w:t>ThingWorx Architect – Schneider, Famat (A&amp;D) | 2022 – 2023</w:t>
      </w:r>
    </w:p>
    <w:p>
      <w:pPr>
        <w:pStyle w:val="ListBullet"/>
        <w:spacing w:after="60"/>
      </w:pPr>
      <w:r>
        <w:rPr>
          <w:color w:val="404040"/>
          <w:sz w:val="19"/>
        </w:rPr>
        <w:t>Conducted demonstrations and developed presales materials for ThingWorx IoT solutions.</w:t>
      </w:r>
    </w:p>
    <w:p>
      <w:pPr>
        <w:pStyle w:val="ListBullet"/>
        <w:spacing w:after="60"/>
      </w:pPr>
      <w:r>
        <w:rPr>
          <w:color w:val="404040"/>
          <w:sz w:val="19"/>
        </w:rPr>
        <w:t>Built simplified PLM interfaces using Mashup and OData; improved stability, security, and scalability of IoT dashboards.</w:t>
      </w:r>
    </w:p>
    <w:p>
      <w:pPr>
        <w:spacing w:before="120" w:after="80"/>
      </w:pPr>
      <w:r>
        <w:rPr>
          <w:b/>
          <w:color w:val="404040"/>
          <w:sz w:val="19"/>
        </w:rPr>
        <w:t>Presales – Aerospace &amp; Defense, Energy, Electrical, Transport</w:t>
      </w:r>
    </w:p>
    <w:p>
      <w:pPr>
        <w:pStyle w:val="ListBullet"/>
        <w:spacing w:after="60"/>
      </w:pPr>
      <w:r>
        <w:rPr>
          <w:color w:val="404040"/>
          <w:sz w:val="19"/>
        </w:rPr>
        <w:t>Analysed client requirements for ThingWorx IoT, PLM Windchill, and cloud hosting solutions.</w:t>
      </w:r>
    </w:p>
    <w:p>
      <w:pPr>
        <w:pStyle w:val="ListBullet"/>
        <w:spacing w:after="60"/>
      </w:pPr>
      <w:r>
        <w:rPr>
          <w:color w:val="404040"/>
          <w:sz w:val="19"/>
        </w:rPr>
        <w:t>Developed technical qualifications, ROM estimates, and SOW proposals; defined best practices for Presales and Delivery teams.</w:t>
      </w:r>
    </w:p>
    <w:p>
      <w:pPr>
        <w:pStyle w:val="ListBullet"/>
        <w:spacing w:after="60"/>
      </w:pPr>
      <w:r>
        <w:rPr>
          <w:color w:val="404040"/>
          <w:sz w:val="19"/>
        </w:rPr>
        <w:t>Performed Architecture Design: Windchill (monolithic, cluster, cloud-hosting, replica), LDAP/SSO, and IoT solutions.</w:t>
      </w:r>
    </w:p>
    <w:p>
      <w:pPr>
        <w:tabs>
          <w:tab w:pos="9720" w:val="right"/>
        </w:tabs>
        <w:spacing w:after="0"/>
      </w:pPr>
      <w:r>
        <w:rPr>
          <w:b/>
          <w:color w:val="404040"/>
          <w:sz w:val="19"/>
        </w:rPr>
        <w:t>Managed Solution Architect – Cloud AWS</w:t>
      </w:r>
      <w:r>
        <w:rPr>
          <w:color w:val="404040"/>
          <w:sz w:val="19"/>
        </w:rPr>
        <w:tab/>
        <w:t>February 2022 – September 2022</w:t>
      </w:r>
    </w:p>
    <w:p>
      <w:pPr>
        <w:spacing w:after="120"/>
      </w:pPr>
      <w:r>
        <w:rPr>
          <w:i/>
          <w:color w:val="2563EB"/>
          <w:sz w:val="19"/>
        </w:rPr>
        <w:t>Capgemini S.E.</w:t>
      </w:r>
      <w:r>
        <w:rPr>
          <w:color w:val="404040"/>
          <w:sz w:val="19"/>
        </w:rPr>
        <w:t xml:space="preserve">  |  </w:t>
      </w:r>
      <w:r>
        <w:rPr>
          <w:color w:val="666666"/>
          <w:sz w:val="19"/>
        </w:rPr>
        <w:t>Toulouse, Occitanie, France</w:t>
      </w:r>
    </w:p>
    <w:p>
      <w:pPr>
        <w:pStyle w:val="ListBullet"/>
        <w:spacing w:after="60"/>
      </w:pPr>
      <w:r>
        <w:rPr>
          <w:color w:val="404040"/>
          <w:sz w:val="19"/>
        </w:rPr>
        <w:t>Obtained AWS Certified Solutions Architect – Associate certification (2022).</w:t>
      </w:r>
    </w:p>
    <w:p>
      <w:pPr>
        <w:pStyle w:val="ListBullet"/>
        <w:spacing w:after="60"/>
      </w:pPr>
      <w:r>
        <w:rPr>
          <w:color w:val="404040"/>
          <w:sz w:val="19"/>
        </w:rPr>
        <w:t>Schneider: pre-sales support for migrating Linux/Windows applications to AWS (migration strategy, workload assessment, modernisation).</w:t>
      </w:r>
    </w:p>
    <w:p>
      <w:pPr>
        <w:pStyle w:val="ListBullet"/>
        <w:spacing w:after="60"/>
      </w:pPr>
      <w:r>
        <w:rPr>
          <w:color w:val="404040"/>
          <w:sz w:val="19"/>
        </w:rPr>
        <w:t>Safran: pre-sales support for Data Centre migration to AWS with Analytics Platform (migration path, workload &amp; cost analysis).</w:t>
      </w:r>
    </w:p>
    <w:p>
      <w:pPr>
        <w:pStyle w:val="ListBullet"/>
        <w:spacing w:after="60"/>
      </w:pPr>
      <w:r>
        <w:rPr>
          <w:color w:val="404040"/>
          <w:sz w:val="19"/>
        </w:rPr>
        <w:t>Airbus: defined to-be AWS cloud architecture for the PASS SSI Bundle cloud migration, addressing security hardening, identity management, and multi-region disaster recovery.</w:t>
      </w:r>
    </w:p>
    <w:p>
      <w:pPr>
        <w:pStyle w:val="ListBullet"/>
        <w:spacing w:after="60"/>
      </w:pPr>
      <w:r>
        <w:rPr>
          <w:color w:val="404040"/>
          <w:sz w:val="19"/>
        </w:rPr>
        <w:t>Built internal training materials on AWS Application Monitoring, FinOps, and CI/CD Pipeline Automation.</w:t>
      </w:r>
    </w:p>
    <w:p>
      <w:pPr>
        <w:tabs>
          <w:tab w:pos="9720" w:val="right"/>
        </w:tabs>
        <w:spacing w:after="0"/>
      </w:pPr>
      <w:r>
        <w:rPr>
          <w:b/>
          <w:color w:val="404040"/>
          <w:sz w:val="19"/>
        </w:rPr>
        <w:t>Senior Windchill PLM Architect</w:t>
      </w:r>
      <w:r>
        <w:rPr>
          <w:color w:val="404040"/>
          <w:sz w:val="19"/>
        </w:rPr>
        <w:tab/>
        <w:t>2008 – February 2022</w:t>
      </w:r>
    </w:p>
    <w:p>
      <w:pPr>
        <w:spacing w:after="120"/>
      </w:pPr>
      <w:r>
        <w:rPr>
          <w:i/>
          <w:color w:val="2563EB"/>
          <w:sz w:val="19"/>
        </w:rPr>
        <w:t>PTC Inc.</w:t>
      </w:r>
      <w:r>
        <w:rPr>
          <w:color w:val="404040"/>
          <w:sz w:val="19"/>
        </w:rPr>
        <w:t xml:space="preserve">  |  </w:t>
      </w:r>
      <w:r>
        <w:rPr>
          <w:color w:val="666666"/>
          <w:sz w:val="19"/>
        </w:rPr>
        <w:t>Greater Toulouse Metropolitan Area | Hybrid</w:t>
      </w:r>
    </w:p>
    <w:p>
      <w:pPr>
        <w:spacing w:after="120"/>
      </w:pPr>
      <w:r>
        <w:rPr>
          <w:color w:val="404040"/>
          <w:sz w:val="19"/>
        </w:rPr>
        <w:t>Roles: PLM Technical Architect (2013 – 2022)  |  PLM Application Architect (2008 – 2012)</w:t>
      </w:r>
    </w:p>
    <w:p>
      <w:pPr>
        <w:spacing w:before="120" w:after="80"/>
      </w:pPr>
      <w:r>
        <w:rPr>
          <w:b/>
          <w:color w:val="404040"/>
          <w:sz w:val="19"/>
        </w:rPr>
        <w:t>Key Responsibilities &amp; Achievements</w:t>
      </w:r>
    </w:p>
    <w:p>
      <w:pPr>
        <w:pStyle w:val="ListBullet"/>
        <w:spacing w:after="60"/>
      </w:pPr>
      <w:r>
        <w:rPr>
          <w:color w:val="404040"/>
          <w:sz w:val="19"/>
        </w:rPr>
        <w:t>Subject-matter expert in CAD Integration (member of CATIA BOCA team with R&amp;D), PLM Architecture Design, PLM Solution Design, and LSA (S3000L).</w:t>
      </w:r>
    </w:p>
    <w:p>
      <w:pPr>
        <w:pStyle w:val="ListBullet"/>
        <w:spacing w:after="60"/>
      </w:pPr>
      <w:r>
        <w:rPr>
          <w:color w:val="404040"/>
          <w:sz w:val="19"/>
        </w:rPr>
        <w:t>Development Technical Lead managing teams of 1 to 5 developers across PLM, CAD integration, and A&amp;D LSA projects.</w:t>
      </w:r>
    </w:p>
    <w:p>
      <w:pPr>
        <w:pStyle w:val="ListBullet"/>
        <w:spacing w:after="60"/>
      </w:pPr>
      <w:r>
        <w:rPr>
          <w:color w:val="404040"/>
          <w:sz w:val="19"/>
        </w:rPr>
        <w:t>Delivered customer-facing workshops for requirement analysis and solution design review.</w:t>
      </w:r>
    </w:p>
    <w:p>
      <w:pPr>
        <w:pStyle w:val="ListBullet"/>
        <w:spacing w:after="60"/>
      </w:pPr>
      <w:r>
        <w:rPr>
          <w:color w:val="404040"/>
          <w:sz w:val="19"/>
        </w:rPr>
        <w:t>Trusted advisor for Kingfisher on Windchill–SAP integration via REST.</w:t>
      </w:r>
    </w:p>
    <w:p>
      <w:pPr>
        <w:pStyle w:val="ListBullet"/>
        <w:spacing w:after="60"/>
      </w:pPr>
      <w:r>
        <w:rPr>
          <w:color w:val="404040"/>
          <w:sz w:val="19"/>
        </w:rPr>
        <w:t>Awarded PTC 'Customer First' recognition for Thales delivery: quality, precision, reactivity on bug fixing, and development team management.</w:t>
      </w:r>
    </w:p>
    <w:p>
      <w:pPr>
        <w:pStyle w:val="ListBullet"/>
        <w:spacing w:after="60"/>
      </w:pPr>
      <w:r>
        <w:rPr>
          <w:color w:val="404040"/>
          <w:sz w:val="19"/>
        </w:rPr>
        <w:t>Delivered on-site Windchill training for customers in Australia.</w:t>
      </w:r>
    </w:p>
    <w:p>
      <w:pPr>
        <w:spacing w:before="120" w:after="80"/>
      </w:pPr>
      <w:r>
        <w:rPr>
          <w:b/>
          <w:color w:val="404040"/>
          <w:sz w:val="19"/>
        </w:rPr>
        <w:t>Main Customers</w:t>
      </w:r>
    </w:p>
    <w:p>
      <w:pPr>
        <w:spacing w:after="120"/>
      </w:pPr>
      <w:r>
        <w:rPr>
          <w:color w:val="404040"/>
          <w:sz w:val="19"/>
        </w:rPr>
        <w:t>Thales, Volvo, Richemont, Kingfisher, Thales Australia, Airbus, Velux, Hitachi, Mars, SNCF, Ferrari, Hasbro, Snecma, Turbomeca, MBDA, Navantia, Saft, Aerolia, Araymond, Beneteau, Eurocopter, ZF, BASF, and others.</w:t>
      </w:r>
    </w:p>
    <w:p>
      <w:pPr>
        <w:spacing w:before="120" w:after="80"/>
      </w:pPr>
      <w:r>
        <w:rPr>
          <w:b/>
          <w:color w:val="404040"/>
          <w:sz w:val="19"/>
        </w:rPr>
        <w:t>Projects description list</w:t>
      </w:r>
    </w:p>
    <w:p>
      <w:pPr>
        <w:pStyle w:val="ListBullet"/>
        <w:spacing w:after="80" w:before="40"/>
      </w:pPr>
      <w:r>
        <w:rPr>
          <w:b/>
          <w:color w:val="404040"/>
          <w:sz w:val="19"/>
        </w:rPr>
        <w:t>2021-2022 | Technical Architect | Volvo GTT – Sweden (5 months, remote)</w:t>
      </w:r>
      <w:r>
        <w:rPr>
          <w:b w:val="0"/>
          <w:color w:val="404040"/>
          <w:sz w:val="19"/>
        </w:rPr>
        <w:t>: Validated Associative Topology Bus (ATB) module for Heterogeneous Design In Context (HDIC) between Creo Parametric and CATIA within Windchill PDMLink — enabling Volvo visualization use cases across heterogeneous CAD environments.</w:t>
      </w:r>
    </w:p>
    <w:p>
      <w:pPr>
        <w:pStyle w:val="ListBullet"/>
        <w:spacing w:after="80" w:before="40"/>
      </w:pPr>
      <w:r>
        <w:rPr>
          <w:b/>
          <w:color w:val="404040"/>
          <w:sz w:val="19"/>
        </w:rPr>
        <w:t>2020-2021 | Solution Architect | Thales Paris (6 months, remote)</w:t>
      </w:r>
      <w:r>
        <w:rPr>
          <w:b w:val="0"/>
          <w:color w:val="404040"/>
          <w:sz w:val="19"/>
        </w:rPr>
        <w:t>: Delivered LSA Advanced module — Windchill customization based on MPMLink BOM structure with new Excel import/export functionalities. Development Technical Lead with Polish Solution Center (3 developers).</w:t>
      </w:r>
    </w:p>
    <w:p>
      <w:pPr>
        <w:pStyle w:val="ListBullet"/>
        <w:spacing w:after="80" w:before="40"/>
      </w:pPr>
      <w:r>
        <w:rPr>
          <w:b/>
          <w:color w:val="404040"/>
          <w:sz w:val="19"/>
        </w:rPr>
        <w:t>2020 | Cloud Architect | Hasbro (3 months, remote)</w:t>
      </w:r>
      <w:r>
        <w:rPr>
          <w:b w:val="0"/>
          <w:color w:val="404040"/>
          <w:sz w:val="19"/>
        </w:rPr>
        <w:t>: Managed AWS cloud server installations, server sizing and configuration across dev/test/pre-prod/prod environments for Windchill Rehost with LDAP/ADS integration.</w:t>
      </w:r>
    </w:p>
    <w:p>
      <w:pPr>
        <w:pStyle w:val="ListBullet"/>
        <w:spacing w:after="80" w:before="40"/>
      </w:pPr>
      <w:r>
        <w:rPr>
          <w:b/>
          <w:color w:val="404040"/>
          <w:sz w:val="19"/>
        </w:rPr>
        <w:t>2019-2020 | Technical &amp; Solution Architect | Mars Wrigley (Netherlands) and SNCF Réseau (Paris) (3 months, remote)</w:t>
      </w:r>
      <w:r>
        <w:rPr>
          <w:b w:val="0"/>
          <w:color w:val="404040"/>
          <w:sz w:val="19"/>
        </w:rPr>
        <w:t>: Architecture design and implementation of Windchill PDMLink &amp; CAD Integrations; managed CAD/PDF publication (CAD Workers) and full server sizing &amp; configuration — On-Premises (SNCF) and Cloud (Mars).</w:t>
      </w:r>
    </w:p>
    <w:p>
      <w:pPr>
        <w:pStyle w:val="ListBullet"/>
        <w:spacing w:after="80" w:before="40"/>
      </w:pPr>
      <w:r>
        <w:rPr>
          <w:b/>
          <w:color w:val="404040"/>
          <w:sz w:val="19"/>
        </w:rPr>
        <w:t>2019 | PLM Technical Architect | Hitachi Rail – Italy (1 month, remote &amp; onsite)</w:t>
      </w:r>
      <w:r>
        <w:rPr>
          <w:b w:val="0"/>
          <w:color w:val="404040"/>
          <w:sz w:val="19"/>
        </w:rPr>
        <w:t>: Led sprint to define User Stories for internal/external collaboration via Windchill ProjectLink; configured access permissions, object sharing and Add-to-Project flows; contributed to external-user architecture design.</w:t>
      </w:r>
    </w:p>
    <w:p>
      <w:pPr>
        <w:pStyle w:val="ListBullet"/>
        <w:spacing w:after="80" w:before="40"/>
      </w:pPr>
      <w:r>
        <w:rPr>
          <w:b/>
          <w:color w:val="404040"/>
          <w:sz w:val="19"/>
        </w:rPr>
        <w:t>2018-2019 | PLM Technical Architect &amp; Scrum Master | Velux – Denmark (10 months, remote)</w:t>
      </w:r>
      <w:r>
        <w:rPr>
          <w:b w:val="0"/>
          <w:color w:val="404040"/>
          <w:sz w:val="19"/>
        </w:rPr>
        <w:t>: Took over Windchill PDMLink &amp; CAD Integrations for maintenance phase; Development Technical Lead with Polish Solution Center; piloted integration with Integrity Lifecycle Management (Navigate, Manage Traces, ThingWorx).</w:t>
      </w:r>
    </w:p>
    <w:p>
      <w:pPr>
        <w:pStyle w:val="ListBullet"/>
        <w:spacing w:after="80" w:before="40"/>
      </w:pPr>
      <w:r>
        <w:rPr>
          <w:b/>
          <w:color w:val="404040"/>
          <w:sz w:val="19"/>
        </w:rPr>
        <w:t>2018-2019 | Customer Support &amp; Mentoring | Thales Australia (4 weeks, onsite)</w:t>
      </w:r>
      <w:r>
        <w:rPr>
          <w:b w:val="0"/>
          <w:color w:val="404040"/>
          <w:sz w:val="19"/>
        </w:rPr>
        <w:t>: Delivered LSA deployment support — installation, configuration, training and on-site mentoring on the VRD Logistics Support Analysis (LSA) module for key users.</w:t>
      </w:r>
    </w:p>
    <w:p>
      <w:pPr>
        <w:pStyle w:val="ListBullet"/>
        <w:spacing w:after="80" w:before="40"/>
      </w:pPr>
      <w:r>
        <w:rPr>
          <w:b/>
          <w:color w:val="404040"/>
          <w:sz w:val="19"/>
        </w:rPr>
        <w:t>2017-2018 | Cloud &amp; Solution Architect | Kingfisher – London UK (1 year, 30% onsite)</w:t>
      </w:r>
      <w:r>
        <w:rPr>
          <w:b w:val="0"/>
          <w:color w:val="404040"/>
          <w:sz w:val="19"/>
        </w:rPr>
        <w:t>: PLM-to-SAP and LDAP integration for Windchill Retail FlexPLM; implemented corporate LDAP/SSO/SSL and defined AWS cloud environment; Technical Lead with ITC India partner. Tech: FlexPLM, Java EE, REST Web Services, SFTP, Oracle, Linux, AWS.</w:t>
      </w:r>
    </w:p>
    <w:p>
      <w:pPr>
        <w:pStyle w:val="ListBullet"/>
        <w:spacing w:after="80" w:before="40"/>
      </w:pPr>
      <w:r>
        <w:rPr>
          <w:b/>
          <w:color w:val="404040"/>
          <w:sz w:val="19"/>
        </w:rPr>
        <w:t>2013-2017 | PLM Technical Architect | Thales and Volvo RTD – Paris (16 months, remote)</w:t>
      </w:r>
      <w:r>
        <w:rPr>
          <w:b w:val="0"/>
          <w:color w:val="404040"/>
          <w:sz w:val="19"/>
        </w:rPr>
        <w:t>: Implemented Windchill 10 for Logistical Support Analysis (LSA) data model integrating S3000L standard across PDMLink and MPMLink; Technical Lead with PSC developers (1–4).</w:t>
      </w:r>
    </w:p>
    <w:p>
      <w:pPr>
        <w:pStyle w:val="ListBullet"/>
        <w:spacing w:after="80" w:before="40"/>
      </w:pPr>
      <w:r>
        <w:rPr>
          <w:b/>
          <w:color w:val="404040"/>
          <w:sz w:val="19"/>
        </w:rPr>
        <w:t>2013-2017 | Development Engineer | Snecma – Paris (10 months, remote)</w:t>
      </w:r>
      <w:r>
        <w:rPr>
          <w:b w:val="0"/>
          <w:color w:val="404040"/>
          <w:sz w:val="19"/>
        </w:rPr>
        <w:t>: Developed new Technical Document management features in Windchill 10 to S1000D standard, customizing PLMLink with S1000D business objects (SLM).</w:t>
      </w:r>
    </w:p>
    <w:p>
      <w:pPr>
        <w:pStyle w:val="ListBullet"/>
        <w:spacing w:after="80" w:before="40"/>
      </w:pPr>
      <w:r>
        <w:rPr>
          <w:b/>
          <w:color w:val="404040"/>
          <w:sz w:val="19"/>
        </w:rPr>
        <w:t>2013-2017 | Solution Architect | Airbus – Toulouse (1 month)</w:t>
      </w:r>
      <w:r>
        <w:rPr>
          <w:b w:val="0"/>
          <w:color w:val="404040"/>
          <w:sz w:val="19"/>
        </w:rPr>
        <w:t>: Designed and deployed Windchill 10 with Creo Parametric CAD Integration for Packaging Design Framework (EYYL); covered installation, workflows, lifecycle, visualization services and Linux deployment.</w:t>
      </w:r>
    </w:p>
    <w:p>
      <w:pPr>
        <w:pStyle w:val="ListBullet"/>
        <w:spacing w:after="80" w:before="40"/>
      </w:pPr>
      <w:r>
        <w:rPr>
          <w:b/>
          <w:color w:val="404040"/>
          <w:sz w:val="19"/>
        </w:rPr>
        <w:t>2013-2017 | Solution Architect | Turbomeca – Pau (1 month, 25% onsite)</w:t>
      </w:r>
      <w:r>
        <w:rPr>
          <w:b w:val="0"/>
          <w:color w:val="404040"/>
          <w:sz w:val="19"/>
        </w:rPr>
        <w:t>: Analyzed existing Windchill 9.1 + CATIA/CADDS integration; evaluated gaps vs Windchill 10; proposed improved CAD integration solution covering synchronization, BOM associativity and configured workspace.</w:t>
      </w:r>
    </w:p>
    <w:p>
      <w:pPr>
        <w:pStyle w:val="ListBullet"/>
        <w:spacing w:after="80" w:before="40"/>
      </w:pPr>
      <w:r>
        <w:rPr>
          <w:b/>
          <w:color w:val="404040"/>
          <w:sz w:val="19"/>
        </w:rPr>
        <w:t>2013-2017 | Application Architect &amp; Development Engineer | Richemont – Switzerland (15 months, 30% onsite)</w:t>
      </w:r>
      <w:r>
        <w:rPr>
          <w:b w:val="0"/>
          <w:color w:val="404040"/>
          <w:sz w:val="19"/>
        </w:rPr>
        <w:t>: Implemented Manufacturing process with SAP interface and Process Plan/Work Instruction management (MPMLink – Windchill 10); customized I*E tasks, JSP, Cognos, Server Listener, Client MVC tables, types and layouts.</w:t>
      </w:r>
    </w:p>
    <w:p>
      <w:pPr>
        <w:pStyle w:val="ListBullet"/>
        <w:spacing w:after="80" w:before="40"/>
      </w:pPr>
      <w:r>
        <w:rPr>
          <w:b/>
          <w:color w:val="404040"/>
          <w:sz w:val="19"/>
        </w:rPr>
        <w:t>2008-2012 | Process Architect | MBDA – France (3 months, 25% onsite)</w:t>
      </w:r>
      <w:r>
        <w:rPr>
          <w:b w:val="0"/>
          <w:color w:val="404040"/>
          <w:sz w:val="19"/>
        </w:rPr>
        <w:t>: Led requirement analysis workshops for Windchill 10 migration from Teamcenter, covering MCAD/ECAD, Part/Product, Change &amp; Configuration Management, Component Management; built ECAD integration test environment with Zuken.</w:t>
      </w:r>
    </w:p>
    <w:p>
      <w:pPr>
        <w:pStyle w:val="ListBullet"/>
        <w:spacing w:after="80" w:before="40"/>
      </w:pPr>
      <w:r>
        <w:rPr>
          <w:b/>
          <w:color w:val="404040"/>
          <w:sz w:val="19"/>
        </w:rPr>
        <w:t>2008-2012 | Application Architect &amp; Development Engineer | Navantia – Spain (6 months, 30% onsite)</w:t>
      </w:r>
      <w:r>
        <w:rPr>
          <w:b w:val="0"/>
          <w:color w:val="404040"/>
          <w:sz w:val="19"/>
        </w:rPr>
        <w:t>: Prototyped ship building EBOM (System, Functional, Geographic, Constructive structures) with Foran CAD integration, Release Process, Advanced Configuration Management (Effectivity, Options &amp; Variants) and Change Process in Windchill 10.</w:t>
      </w:r>
    </w:p>
    <w:p>
      <w:pPr>
        <w:pStyle w:val="ListBullet"/>
        <w:spacing w:after="80" w:before="40"/>
      </w:pPr>
      <w:r>
        <w:rPr>
          <w:b/>
          <w:color w:val="404040"/>
          <w:sz w:val="19"/>
        </w:rPr>
        <w:t>2008-2012 | Solution Architect | Saft – France (1 week)</w:t>
      </w:r>
      <w:r>
        <w:rPr>
          <w:b w:val="0"/>
          <w:color w:val="404040"/>
          <w:sz w:val="19"/>
        </w:rPr>
        <w:t>: Installed and configured Adobe LiveCycle Watermark/Coversheet in Windchill 10; demonstrated Document Review management best practices; delivered a quick customized publishing solution.</w:t>
      </w:r>
    </w:p>
    <w:p>
      <w:pPr>
        <w:pStyle w:val="ListBullet"/>
        <w:spacing w:after="80" w:before="40"/>
      </w:pPr>
      <w:r>
        <w:rPr>
          <w:b/>
          <w:color w:val="404040"/>
          <w:sz w:val="19"/>
        </w:rPr>
        <w:t>2008-2012 | Process &amp; Functional Architect | Aerolia – France (2 years, Toulouse)</w:t>
      </w:r>
      <w:r>
        <w:rPr>
          <w:b w:val="0"/>
          <w:color w:val="404040"/>
          <w:sz w:val="19"/>
        </w:rPr>
        <w:t>: Full PLM architecture lifecycle — concept (process redesign for Engineering, DMU, Change &amp; Config), definition (detailed spec for Windchill 10 + CATIA V5 CAD Integration, Visualization, Clash management), verification (Change &amp; Config, DMU CAD Integration test dossiers), and adoption (training and workshops for key users).</w:t>
      </w:r>
    </w:p>
    <w:p>
      <w:pPr>
        <w:pStyle w:val="ListBullet"/>
        <w:spacing w:after="80" w:before="40"/>
      </w:pPr>
      <w:r>
        <w:rPr>
          <w:b/>
          <w:color w:val="404040"/>
          <w:sz w:val="19"/>
        </w:rPr>
        <w:t>2008-2012 | Various Projects – France (2 years)</w:t>
      </w:r>
      <w:r>
        <w:rPr>
          <w:b w:val="0"/>
          <w:color w:val="404040"/>
          <w:sz w:val="19"/>
        </w:rPr>
        <w:t>: Airbus EADS (functional lead for Equipment/System PDMLink, CAD management, Jig &amp; Tools MDM-R) · Araymond (multi-CAD Heterogeneous Design Context — Creo/CATIA/NX) · Beneteau (Windchill–CATIA V5 integration audit) · Eurocopter (FMEA/MSG-3 reliability solution via Windchill Quality, technical architect) · Airbus (Phenix Change — CATIA V5 WGM customization) · Airbus (Flexible Parts, Design in Context, multi-Effectivity audit).</w:t>
      </w:r>
    </w:p>
    <w:p>
      <w:pPr>
        <w:spacing w:before="120" w:after="80"/>
      </w:pPr>
      <w:r>
        <w:rPr>
          <w:b/>
          <w:color w:val="404040"/>
          <w:sz w:val="19"/>
        </w:rPr>
        <w:t>Tech Stack</w:t>
      </w:r>
    </w:p>
    <w:p>
      <w:pPr>
        <w:spacing w:after="120"/>
      </w:pPr>
      <w:r>
        <w:rPr>
          <w:color w:val="404040"/>
          <w:sz w:val="19"/>
        </w:rPr>
        <w:t>PTC Windchill PDMLink | MPMLink | ProjectLink | CAD Integration | Java JEE | Eclipse | Git | SVN | Jira | Docker | Oracle | SQL Server | MongoDB | JavaScript | HTML/CSS | Node.js | AWS EC2/S3 | Azure IoT Hub</w:t>
      </w:r>
    </w:p>
    <w:p>
      <w:pPr>
        <w:tabs>
          <w:tab w:pos="9720" w:val="right"/>
        </w:tabs>
        <w:spacing w:after="0"/>
      </w:pPr>
      <w:r>
        <w:rPr>
          <w:b/>
          <w:color w:val="404040"/>
          <w:sz w:val="19"/>
        </w:rPr>
        <w:t>Electrical PLM Architect</w:t>
      </w:r>
      <w:r>
        <w:rPr>
          <w:color w:val="404040"/>
          <w:sz w:val="19"/>
        </w:rPr>
        <w:tab/>
        <w:t>2005 – 2008</w:t>
      </w:r>
    </w:p>
    <w:p>
      <w:pPr>
        <w:spacing w:after="120"/>
      </w:pPr>
      <w:r>
        <w:rPr>
          <w:i/>
          <w:color w:val="2563EB"/>
          <w:sz w:val="19"/>
        </w:rPr>
        <w:t>IGE+XAO S.A.</w:t>
      </w:r>
      <w:r>
        <w:rPr>
          <w:color w:val="404040"/>
          <w:sz w:val="19"/>
        </w:rPr>
        <w:t xml:space="preserve">  |  </w:t>
      </w:r>
      <w:r>
        <w:rPr>
          <w:color w:val="666666"/>
          <w:sz w:val="19"/>
        </w:rPr>
        <w:t>Greater Toulouse Metropolitan Area</w:t>
      </w:r>
    </w:p>
    <w:p>
      <w:pPr>
        <w:pStyle w:val="ListBullet"/>
        <w:spacing w:after="60"/>
      </w:pPr>
      <w:r>
        <w:rPr>
          <w:color w:val="404040"/>
          <w:sz w:val="19"/>
        </w:rPr>
        <w:t>Architect for electrical schematic and Electrical Harness Design applications.</w:t>
      </w:r>
    </w:p>
    <w:p>
      <w:pPr>
        <w:pStyle w:val="ListBullet"/>
        <w:spacing w:after="60"/>
      </w:pPr>
      <w:r>
        <w:rPr>
          <w:color w:val="404040"/>
          <w:sz w:val="19"/>
        </w:rPr>
        <w:t>Led technical design of a new electrical application workbench for CATIA V5 (routing, cabling, wiring, connector management).</w:t>
      </w:r>
    </w:p>
    <w:p>
      <w:pPr>
        <w:pStyle w:val="ListBullet"/>
        <w:spacing w:after="60"/>
      </w:pPr>
      <w:r>
        <w:rPr>
          <w:color w:val="404040"/>
          <w:sz w:val="19"/>
        </w:rPr>
        <w:t>Partnership with Dassault Systemes R&amp;D to build a new electrical framework within CATIA V5.</w:t>
      </w:r>
    </w:p>
    <w:p>
      <w:pPr>
        <w:tabs>
          <w:tab w:pos="9720" w:val="right"/>
        </w:tabs>
        <w:spacing w:after="0"/>
      </w:pPr>
      <w:r>
        <w:rPr>
          <w:b/>
          <w:color w:val="404040"/>
          <w:sz w:val="19"/>
        </w:rPr>
        <w:t>Solution Architect – Dassault Data Services</w:t>
      </w:r>
      <w:r>
        <w:rPr>
          <w:color w:val="404040"/>
          <w:sz w:val="19"/>
        </w:rPr>
        <w:tab/>
        <w:t>2000 – 2005</w:t>
      </w:r>
    </w:p>
    <w:p>
      <w:pPr>
        <w:spacing w:after="120"/>
      </w:pPr>
      <w:r>
        <w:rPr>
          <w:i/>
          <w:color w:val="2563EB"/>
          <w:sz w:val="19"/>
        </w:rPr>
        <w:t>Dassault Systemes S.E.</w:t>
      </w:r>
      <w:r>
        <w:rPr>
          <w:color w:val="404040"/>
          <w:sz w:val="19"/>
        </w:rPr>
        <w:t xml:space="preserve">  |  </w:t>
      </w:r>
      <w:r>
        <w:rPr>
          <w:color w:val="666666"/>
          <w:sz w:val="19"/>
        </w:rPr>
        <w:t>Suresnes, France</w:t>
      </w:r>
    </w:p>
    <w:p>
      <w:pPr>
        <w:pStyle w:val="ListBullet"/>
        <w:spacing w:after="60"/>
      </w:pPr>
      <w:r>
        <w:rPr>
          <w:color w:val="404040"/>
          <w:sz w:val="19"/>
        </w:rPr>
        <w:t>Solution Architect for CATIA V5, SmarTeam, and ENOVIA LCA V5 — serving Dassault Aviation and industrial customers.</w:t>
      </w:r>
    </w:p>
    <w:p>
      <w:pPr>
        <w:pStyle w:val="ListBullet"/>
        <w:spacing w:after="60"/>
      </w:pPr>
      <w:r>
        <w:rPr>
          <w:color w:val="404040"/>
          <w:sz w:val="19"/>
        </w:rPr>
        <w:t>Technical leader for SmarTeam customisation as enterprise document management for Dassault Aviation's Design Office — deployed on Mirage 2000-9 and Rafale programmes (VBA, Oracle, administration &amp; installation handbooks).</w:t>
      </w:r>
    </w:p>
    <w:p>
      <w:pPr>
        <w:pStyle w:val="ListBullet"/>
        <w:spacing w:after="60"/>
      </w:pPr>
      <w:r>
        <w:rPr>
          <w:color w:val="404040"/>
          <w:sz w:val="19"/>
        </w:rPr>
        <w:t>Instructor for CAA CATIA V5 and CAA ENOVIA V5 RADE tools (C++ customer development).</w:t>
      </w:r>
    </w:p>
    <w:p>
      <w:pPr>
        <w:pStyle w:val="ListBullet"/>
        <w:spacing w:after="60"/>
      </w:pPr>
      <w:r>
        <w:rPr>
          <w:color w:val="404040"/>
          <w:sz w:val="19"/>
        </w:rPr>
        <w:t>Technical lead for CAA CATIA V5 / ENOVIA LCA customisation projects (Bertrand, Homag, BMW, Volvo); managed a small development team for the Bertrand project.</w:t>
      </w:r>
    </w:p>
    <w:p>
      <w:pPr>
        <w:tabs>
          <w:tab w:pos="9720" w:val="right"/>
        </w:tabs>
        <w:spacing w:after="0"/>
      </w:pPr>
      <w:r>
        <w:rPr>
          <w:b/>
          <w:color w:val="404040"/>
          <w:sz w:val="19"/>
        </w:rPr>
        <w:t>Development Engineer</w:t>
      </w:r>
      <w:r>
        <w:rPr>
          <w:color w:val="404040"/>
          <w:sz w:val="19"/>
        </w:rPr>
        <w:tab/>
        <w:t>1998 – 2000</w:t>
      </w:r>
    </w:p>
    <w:p>
      <w:pPr>
        <w:spacing w:after="120"/>
      </w:pPr>
      <w:r>
        <w:rPr>
          <w:i/>
          <w:color w:val="2563EB"/>
          <w:sz w:val="19"/>
        </w:rPr>
        <w:t>Aura Group S.A.</w:t>
      </w:r>
      <w:r>
        <w:rPr>
          <w:color w:val="404040"/>
          <w:sz w:val="19"/>
        </w:rPr>
        <w:t xml:space="preserve">  |  </w:t>
      </w:r>
      <w:r>
        <w:rPr>
          <w:color w:val="666666"/>
          <w:sz w:val="19"/>
        </w:rPr>
        <w:t>Greater Paris Metropolitan Region</w:t>
      </w:r>
    </w:p>
    <w:p>
      <w:pPr>
        <w:pStyle w:val="ListBullet"/>
        <w:spacing w:after="60"/>
      </w:pPr>
      <w:r>
        <w:rPr>
          <w:color w:val="404040"/>
          <w:sz w:val="19"/>
        </w:rPr>
        <w:t>Software development engineering.</w:t>
      </w:r>
    </w:p>
    <w:p>
      <w:pPr>
        <w:tabs>
          <w:tab w:pos="9720" w:val="right"/>
        </w:tabs>
        <w:spacing w:after="0"/>
      </w:pPr>
      <w:r>
        <w:rPr>
          <w:b/>
          <w:color w:val="404040"/>
          <w:sz w:val="19"/>
        </w:rPr>
        <w:t>HVAC System Engineer</w:t>
      </w:r>
      <w:r>
        <w:rPr>
          <w:color w:val="404040"/>
          <w:sz w:val="19"/>
        </w:rPr>
        <w:tab/>
        <w:t>1996 – 1998</w:t>
      </w:r>
    </w:p>
    <w:p>
      <w:pPr>
        <w:spacing w:after="120"/>
      </w:pPr>
      <w:r>
        <w:rPr>
          <w:i/>
          <w:color w:val="2563EB"/>
          <w:sz w:val="19"/>
        </w:rPr>
        <w:t>Heinrich Nickel GmbH</w:t>
      </w:r>
      <w:r>
        <w:rPr>
          <w:color w:val="404040"/>
          <w:sz w:val="19"/>
        </w:rPr>
        <w:t xml:space="preserve">  |  </w:t>
      </w:r>
      <w:r>
        <w:rPr>
          <w:color w:val="666666"/>
          <w:sz w:val="19"/>
        </w:rPr>
        <w:t>Berlin Metropolitan Area, Germany</w:t>
      </w:r>
    </w:p>
    <w:p>
      <w:pPr>
        <w:pStyle w:val="ListBullet"/>
        <w:spacing w:after="60"/>
      </w:pPr>
      <w:r>
        <w:rPr>
          <w:color w:val="404040"/>
          <w:sz w:val="19"/>
        </w:rPr>
        <w:t>HVAC system design and engineering.</w:t>
      </w:r>
    </w:p>
    <w:p>
      <w:pPr>
        <w:pStyle w:val="Heading1"/>
        <w:spacing w:before="240" w:after="120"/>
        <w:pBdr>
          <w:bottom w:val="single" w:sz="12" w:space="1" w:color="2563EB"/>
        </w:pBdr>
      </w:pPr>
      <w:r>
        <w:rPr>
          <w:b/>
          <w:color w:val="404040"/>
          <w:sz w:val="44"/>
        </w:rPr>
        <w:t>EDUCATION</w:t>
      </w:r>
    </w:p>
    <w:p>
      <w:pPr>
        <w:tabs>
          <w:tab w:pos="9720" w:val="right"/>
        </w:tabs>
        <w:spacing w:after="0"/>
      </w:pPr>
      <w:r>
        <w:rPr>
          <w:b/>
          <w:color w:val="404040"/>
          <w:sz w:val="19"/>
        </w:rPr>
        <w:t>Engineer – Fluids Mechanics &amp; Computer Science</w:t>
      </w:r>
      <w:r>
        <w:rPr>
          <w:color w:val="404040"/>
          <w:sz w:val="19"/>
        </w:rPr>
        <w:tab/>
        <w:t>1991 – 1995</w:t>
      </w:r>
    </w:p>
    <w:p>
      <w:pPr>
        <w:spacing w:after="120"/>
      </w:pPr>
      <w:r>
        <w:rPr>
          <w:i/>
          <w:color w:val="2563EB"/>
          <w:sz w:val="19"/>
        </w:rPr>
        <w:t>ESSTIN Nancy (Ecole Superieure des Sciences et Technologies de l'Ingenieur de Nancy)</w:t>
      </w:r>
      <w:r>
        <w:rPr>
          <w:color w:val="404040"/>
          <w:sz w:val="19"/>
        </w:rPr>
        <w:t xml:space="preserve">  |  </w:t>
      </w:r>
      <w:r>
        <w:rPr>
          <w:color w:val="666666"/>
          <w:sz w:val="19"/>
        </w:rPr>
        <w:t>Nancy, France</w:t>
      </w:r>
    </w:p>
    <w:p>
      <w:pPr>
        <w:tabs>
          <w:tab w:pos="9720" w:val="right"/>
        </w:tabs>
        <w:spacing w:after="0"/>
      </w:pPr>
      <w:r>
        <w:rPr>
          <w:b/>
          <w:color w:val="404040"/>
          <w:sz w:val="19"/>
        </w:rPr>
        <w:t>Exchange Year – Mechanical Engineering</w:t>
      </w:r>
      <w:r>
        <w:rPr>
          <w:color w:val="404040"/>
          <w:sz w:val="19"/>
        </w:rPr>
        <w:tab/>
        <w:t>1993</w:t>
      </w:r>
    </w:p>
    <w:p>
      <w:pPr>
        <w:spacing w:after="120"/>
      </w:pPr>
      <w:r>
        <w:rPr>
          <w:i/>
          <w:color w:val="2563EB"/>
          <w:sz w:val="19"/>
        </w:rPr>
        <w:t>University of Strathclyde</w:t>
      </w:r>
      <w:r>
        <w:rPr>
          <w:color w:val="404040"/>
          <w:sz w:val="19"/>
        </w:rPr>
        <w:t xml:space="preserve">  |  </w:t>
      </w:r>
      <w:r>
        <w:rPr>
          <w:color w:val="666666"/>
          <w:sz w:val="19"/>
        </w:rPr>
        <w:t>Glasgow, United Kingdom</w:t>
      </w:r>
    </w:p>
    <w:p>
      <w:pPr>
        <w:pStyle w:val="Heading1"/>
        <w:spacing w:before="240" w:after="120"/>
        <w:pBdr>
          <w:bottom w:val="single" w:sz="12" w:space="1" w:color="2563EB"/>
        </w:pBdr>
      </w:pPr>
      <w:r>
        <w:rPr>
          <w:b/>
          <w:color w:val="404040"/>
          <w:sz w:val="44"/>
        </w:rPr>
        <w:t>CERTIFICATIONS</w:t>
      </w:r>
    </w:p>
    <w:p>
      <w:pPr>
        <w:tabs>
          <w:tab w:pos="9720" w:val="right"/>
        </w:tabs>
        <w:spacing w:after="100"/>
      </w:pPr>
      <w:r>
        <w:rPr>
          <w:b/>
          <w:color w:val="404040"/>
          <w:sz w:val="19"/>
        </w:rPr>
        <w:t>AWS Certified Solutions Architect – Associate</w:t>
      </w:r>
      <w:r>
        <w:rPr>
          <w:color w:val="404040"/>
          <w:sz w:val="19"/>
        </w:rPr>
        <w:t xml:space="preserve"> | </w:t>
      </w:r>
      <w:r>
        <w:rPr>
          <w:color w:val="666666"/>
          <w:sz w:val="19"/>
        </w:rPr>
        <w:t>Amazon Web Services</w:t>
      </w:r>
      <w:r>
        <w:rPr>
          <w:color w:val="404040"/>
          <w:sz w:val="19"/>
        </w:rPr>
        <w:tab/>
        <w:t>February 2022</w:t>
      </w:r>
    </w:p>
    <w:p>
      <w:pPr>
        <w:tabs>
          <w:tab w:pos="9720" w:val="right"/>
        </w:tabs>
        <w:spacing w:after="100"/>
      </w:pPr>
      <w:r>
        <w:rPr>
          <w:b/>
          <w:color w:val="404040"/>
          <w:sz w:val="19"/>
        </w:rPr>
        <w:t>ThingWorx Professional Certification</w:t>
      </w:r>
      <w:r>
        <w:rPr>
          <w:color w:val="404040"/>
          <w:sz w:val="19"/>
        </w:rPr>
        <w:t xml:space="preserve"> | </w:t>
      </w:r>
      <w:r>
        <w:rPr>
          <w:color w:val="666666"/>
          <w:sz w:val="19"/>
        </w:rPr>
        <w:t>PTC University</w:t>
      </w:r>
      <w:r>
        <w:rPr>
          <w:color w:val="404040"/>
          <w:sz w:val="19"/>
        </w:rPr>
        <w:tab/>
        <w:t>August 2021</w:t>
      </w:r>
    </w:p>
    <w:p>
      <w:pPr>
        <w:tabs>
          <w:tab w:pos="9720" w:val="right"/>
        </w:tabs>
        <w:spacing w:after="100"/>
      </w:pPr>
      <w:r>
        <w:rPr>
          <w:b/>
          <w:color w:val="404040"/>
          <w:sz w:val="19"/>
        </w:rPr>
        <w:t>Windchill Administration, Customization &amp; Advanced Configuration</w:t>
      </w:r>
      <w:r>
        <w:rPr>
          <w:color w:val="404040"/>
          <w:sz w:val="19"/>
        </w:rPr>
        <w:t xml:space="preserve"> | </w:t>
      </w:r>
      <w:r>
        <w:rPr>
          <w:color w:val="666666"/>
          <w:sz w:val="19"/>
        </w:rPr>
        <w:t>PTC</w:t>
      </w:r>
      <w:r>
        <w:rPr>
          <w:color w:val="404040"/>
          <w:sz w:val="19"/>
        </w:rPr>
        <w:tab/>
        <w:t>Ongoing</w:t>
      </w:r>
    </w:p>
    <w:p>
      <w:pPr>
        <w:tabs>
          <w:tab w:pos="9720" w:val="right"/>
        </w:tabs>
        <w:spacing w:after="100"/>
      </w:pPr>
      <w:r>
        <w:rPr>
          <w:b/>
          <w:color w:val="404040"/>
          <w:sz w:val="19"/>
        </w:rPr>
        <w:t>Scrum Development with Jira &amp; JIRA Agile</w:t>
      </w:r>
      <w:r>
        <w:rPr>
          <w:color w:val="404040"/>
          <w:sz w:val="19"/>
        </w:rPr>
        <w:t xml:space="preserve"> | </w:t>
      </w:r>
      <w:r>
        <w:rPr>
          <w:color w:val="666666"/>
          <w:sz w:val="19"/>
        </w:rPr>
        <w:t>Pluralsight</w:t>
      </w:r>
      <w:r>
        <w:rPr>
          <w:color w:val="404040"/>
          <w:sz w:val="19"/>
        </w:rPr>
        <w:tab/>
        <w:t>June 2022</w:t>
      </w:r>
    </w:p>
    <w:p>
      <w:pPr>
        <w:spacing w:after="240"/>
      </w:pPr>
      <w:r>
        <w:rPr>
          <w:color w:val="404040"/>
          <w:sz w:val="19"/>
        </w:rPr>
        <w:t>LinkedIn Assessed Skills: JavaScript  |  Java  |  REST APIs  |  Git</w:t>
      </w:r>
    </w:p>
    <w:p>
      <w:pPr>
        <w:pStyle w:val="Heading1"/>
        <w:spacing w:before="240" w:after="120"/>
        <w:pBdr>
          <w:bottom w:val="single" w:sz="12" w:space="1" w:color="2563EB"/>
        </w:pBdr>
      </w:pPr>
      <w:r>
        <w:rPr>
          <w:b/>
          <w:color w:val="404040"/>
          <w:sz w:val="44"/>
        </w:rPr>
        <w:t>SKILLS</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5"/>
        <w:gridCol w:w="7675"/>
      </w:tblGrid>
      <w:tr>
        <w:tc>
          <w:tcPr>
            <w:tcW w:type="dxa" w:w="2405"/>
          </w:tcPr>
          <w:p>
            <w:pPr>
              <w:spacing w:after="0"/>
            </w:pPr>
            <w:r>
              <w:rPr>
                <w:b/>
                <w:color w:val="404040"/>
                <w:sz w:val="19"/>
              </w:rPr>
              <w:t>PLM &amp; Architecture</w:t>
            </w:r>
          </w:p>
        </w:tc>
        <w:tc>
          <w:tcPr>
            <w:tcW w:type="dxa" w:w="7675"/>
          </w:tcPr>
          <w:p>
            <w:pPr>
              <w:spacing w:after="0"/>
            </w:pPr>
            <w:r>
              <w:rPr>
                <w:color w:val="404040"/>
                <w:sz w:val="19"/>
              </w:rPr>
              <w:t>Windchill PDMLink | MPMLink | ProjectLink | SmarTeam | ENOVIA | CAD Integration | CATIA | Creo Parametric | Codebeamer | Data Migration | Solution Architecture | ALM / PDM</w:t>
            </w:r>
          </w:p>
        </w:tc>
      </w:tr>
      <w:tr>
        <w:tc>
          <w:tcPr>
            <w:tcW w:type="dxa" w:w="2405"/>
          </w:tcPr>
          <w:p>
            <w:pPr>
              <w:spacing w:after="0"/>
            </w:pPr>
            <w:r>
              <w:rPr>
                <w:b/>
                <w:color w:val="404040"/>
                <w:sz w:val="19"/>
              </w:rPr>
              <w:t>Cloud &amp; IoT</w:t>
            </w:r>
          </w:p>
        </w:tc>
        <w:tc>
          <w:tcPr>
            <w:tcW w:type="dxa" w:w="7675"/>
          </w:tcPr>
          <w:p>
            <w:pPr>
              <w:spacing w:after="0"/>
            </w:pPr>
            <w:r>
              <w:rPr>
                <w:color w:val="404040"/>
                <w:sz w:val="19"/>
              </w:rPr>
              <w:t>AWS EC2 &amp; S3 | AWS CLI | ThingWorx IIoT | PTC Vuforia Studio | Azure IoT Hub | Cloud Hosting | CI/CD Pipelines | FinOps</w:t>
            </w:r>
          </w:p>
        </w:tc>
      </w:tr>
      <w:tr>
        <w:tc>
          <w:tcPr>
            <w:tcW w:type="dxa" w:w="2405"/>
          </w:tcPr>
          <w:p>
            <w:pPr>
              <w:spacing w:after="0"/>
            </w:pPr>
            <w:r>
              <w:rPr>
                <w:b/>
                <w:color w:val="404040"/>
                <w:sz w:val="19"/>
              </w:rPr>
              <w:t>Development</w:t>
            </w:r>
          </w:p>
        </w:tc>
        <w:tc>
          <w:tcPr>
            <w:tcW w:type="dxa" w:w="7675"/>
          </w:tcPr>
          <w:p>
            <w:pPr>
              <w:spacing w:after="0"/>
            </w:pPr>
            <w:r>
              <w:rPr>
                <w:color w:val="404040"/>
                <w:sz w:val="19"/>
              </w:rPr>
              <w:t>Java JEE | JavaScript | React | Node.js | REST APIs | Git | Docker | SVN | Oracle | SQL | MongoDB | HTML / CSS | OAuth / SSL | Bash / KSH</w:t>
            </w:r>
          </w:p>
        </w:tc>
      </w:tr>
      <w:tr>
        <w:tc>
          <w:tcPr>
            <w:tcW w:type="dxa" w:w="2405"/>
          </w:tcPr>
          <w:p>
            <w:pPr>
              <w:spacing w:after="0"/>
            </w:pPr>
            <w:r>
              <w:rPr>
                <w:b/>
                <w:color w:val="404040"/>
                <w:sz w:val="19"/>
              </w:rPr>
              <w:t>Industry</w:t>
            </w:r>
          </w:p>
        </w:tc>
        <w:tc>
          <w:tcPr>
            <w:tcW w:type="dxa" w:w="7675"/>
          </w:tcPr>
          <w:p>
            <w:pPr>
              <w:spacing w:after="0"/>
            </w:pPr>
            <w:r>
              <w:rPr>
                <w:color w:val="404040"/>
                <w:sz w:val="19"/>
              </w:rPr>
              <w:t>Requirements Analysis | Presales &amp; SOW | Systems Engineering | Manufacturing Engineering | Change Management | Aerospace &amp; Defense | Harness Design | Agile / Scrum | Team Leadership</w:t>
            </w:r>
          </w:p>
        </w:tc>
      </w:tr>
      <w:tr>
        <w:tc>
          <w:tcPr>
            <w:tcW w:type="dxa" w:w="2405"/>
          </w:tcPr>
          <w:p>
            <w:pPr>
              <w:spacing w:after="0"/>
            </w:pPr>
            <w:r>
              <w:rPr>
                <w:b/>
                <w:color w:val="404040"/>
                <w:sz w:val="19"/>
              </w:rPr>
              <w:t>AI Development</w:t>
            </w:r>
          </w:p>
        </w:tc>
        <w:tc>
          <w:tcPr>
            <w:tcW w:type="dxa" w:w="7675"/>
          </w:tcPr>
          <w:p>
            <w:pPr>
              <w:spacing w:after="0"/>
            </w:pPr>
            <w:r>
              <w:rPr>
                <w:color w:val="404040"/>
                <w:sz w:val="19"/>
              </w:rPr>
              <w:t>Claude Code | Kiro | Codex | Prompt Engineering | AI-augmented workflows</w:t>
            </w:r>
          </w:p>
        </w:tc>
      </w:tr>
    </w:tbl>
    <w:p/>
    <w:p>
      <w:pPr>
        <w:pStyle w:val="Heading1"/>
        <w:spacing w:before="240" w:after="120"/>
        <w:pBdr>
          <w:bottom w:val="single" w:sz="12" w:space="1" w:color="2563EB"/>
        </w:pBdr>
      </w:pPr>
      <w:r>
        <w:rPr>
          <w:b/>
          <w:color w:val="404040"/>
          <w:sz w:val="44"/>
        </w:rPr>
        <w:t>LANGUAGES</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5"/>
        <w:gridCol w:w="7675"/>
      </w:tblGrid>
      <w:tr>
        <w:tc>
          <w:tcPr>
            <w:tcW w:type="dxa" w:w="2405"/>
          </w:tcPr>
          <w:p>
            <w:pPr>
              <w:spacing w:after="0"/>
            </w:pPr>
            <w:r>
              <w:rPr>
                <w:b/>
                <w:color w:val="404040"/>
                <w:sz w:val="19"/>
              </w:rPr>
              <w:t>French</w:t>
            </w:r>
          </w:p>
        </w:tc>
        <w:tc>
          <w:tcPr>
            <w:tcW w:type="dxa" w:w="7675"/>
          </w:tcPr>
          <w:p>
            <w:pPr>
              <w:spacing w:after="0"/>
            </w:pPr>
            <w:r>
              <w:rPr>
                <w:color w:val="404040"/>
                <w:sz w:val="19"/>
              </w:rPr>
              <w:t>Native</w:t>
            </w:r>
          </w:p>
        </w:tc>
      </w:tr>
      <w:tr>
        <w:tc>
          <w:tcPr>
            <w:tcW w:type="dxa" w:w="2405"/>
          </w:tcPr>
          <w:p>
            <w:pPr>
              <w:spacing w:after="0"/>
            </w:pPr>
            <w:r>
              <w:rPr>
                <w:b/>
                <w:color w:val="404040"/>
                <w:sz w:val="19"/>
              </w:rPr>
              <w:t>English</w:t>
            </w:r>
          </w:p>
        </w:tc>
        <w:tc>
          <w:tcPr>
            <w:tcW w:type="dxa" w:w="7675"/>
          </w:tcPr>
          <w:p>
            <w:pPr>
              <w:spacing w:after="0"/>
            </w:pPr>
            <w:r>
              <w:rPr>
                <w:color w:val="404040"/>
                <w:sz w:val="19"/>
              </w:rPr>
              <w:t>Professional working proficiency</w:t>
            </w:r>
          </w:p>
        </w:tc>
      </w:tr>
      <w:tr>
        <w:tc>
          <w:tcPr>
            <w:tcW w:type="dxa" w:w="2405"/>
          </w:tcPr>
          <w:p>
            <w:pPr>
              <w:spacing w:after="0"/>
            </w:pPr>
            <w:r>
              <w:rPr>
                <w:b/>
                <w:color w:val="404040"/>
                <w:sz w:val="19"/>
              </w:rPr>
              <w:t>German</w:t>
            </w:r>
          </w:p>
        </w:tc>
        <w:tc>
          <w:tcPr>
            <w:tcW w:type="dxa" w:w="7675"/>
          </w:tcPr>
          <w:p>
            <w:pPr>
              <w:spacing w:after="0"/>
            </w:pPr>
            <w:r>
              <w:rPr>
                <w:color w:val="404040"/>
                <w:sz w:val="19"/>
              </w:rPr>
              <w:t>Conversational</w:t>
            </w:r>
          </w:p>
        </w:tc>
      </w:tr>
    </w:tbl>
    <w:p/>
    <w:p>
      <w:pPr>
        <w:pStyle w:val="Heading1"/>
        <w:spacing w:before="240" w:after="120"/>
        <w:pBdr>
          <w:bottom w:val="single" w:sz="12" w:space="1" w:color="2563EB"/>
        </w:pBdr>
      </w:pPr>
      <w:r>
        <w:rPr>
          <w:b/>
          <w:color w:val="404040"/>
          <w:sz w:val="44"/>
        </w:rPr>
        <w:t>NOTABLE CLIENTS</w:t>
      </w:r>
    </w:p>
    <w:p>
      <w:pPr>
        <w:spacing w:after="120"/>
      </w:pPr>
      <w:r>
        <w:rPr>
          <w:color w:val="404040"/>
          <w:sz w:val="19"/>
        </w:rPr>
        <w:t>Delivered PLM, Cloud and IoT solutions for global industry leaders across six sectors:</w:t>
      </w:r>
    </w:p>
    <w:tbl>
      <w:tblPr>
        <w:tblW w:type="auto" w:w="0"/>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05"/>
        <w:gridCol w:w="7675"/>
      </w:tblGrid>
      <w:tr>
        <w:tc>
          <w:tcPr>
            <w:tcW w:type="dxa" w:w="2405"/>
          </w:tcPr>
          <w:p>
            <w:pPr>
              <w:spacing w:after="40"/>
            </w:pPr>
            <w:r>
              <w:rPr>
                <w:b/>
                <w:color w:val="404040"/>
                <w:sz w:val="19"/>
              </w:rPr>
              <w:t>Aerospace &amp; Defense</w:t>
            </w:r>
          </w:p>
        </w:tc>
        <w:tc>
          <w:tcPr>
            <w:tcW w:type="dxa" w:w="7675"/>
          </w:tcPr>
          <w:p>
            <w:pPr>
              <w:spacing w:after="40"/>
            </w:pPr>
            <w:r>
              <w:rPr>
                <w:color w:val="404040"/>
                <w:sz w:val="19"/>
              </w:rPr>
              <w:t>Airbus, Thales, Dassault Aviation, MBDA, Snecma, Turbomeca, Eurocopter, Aerolia, Safran</w:t>
            </w:r>
          </w:p>
        </w:tc>
      </w:tr>
      <w:tr>
        <w:tc>
          <w:tcPr>
            <w:tcW w:type="dxa" w:w="2405"/>
          </w:tcPr>
          <w:p>
            <w:pPr>
              <w:spacing w:after="40"/>
            </w:pPr>
            <w:r>
              <w:rPr>
                <w:b/>
                <w:color w:val="404040"/>
                <w:sz w:val="19"/>
              </w:rPr>
              <w:t>Automotive</w:t>
            </w:r>
          </w:p>
        </w:tc>
        <w:tc>
          <w:tcPr>
            <w:tcW w:type="dxa" w:w="7675"/>
          </w:tcPr>
          <w:p>
            <w:pPr>
              <w:spacing w:after="40"/>
            </w:pPr>
            <w:r>
              <w:rPr>
                <w:color w:val="404040"/>
                <w:sz w:val="19"/>
              </w:rPr>
              <w:t>Volvo, Ferrari, ZF, Araymond</w:t>
            </w:r>
          </w:p>
        </w:tc>
      </w:tr>
      <w:tr>
        <w:tc>
          <w:tcPr>
            <w:tcW w:type="dxa" w:w="2405"/>
          </w:tcPr>
          <w:p>
            <w:pPr>
              <w:spacing w:after="40"/>
            </w:pPr>
            <w:r>
              <w:rPr>
                <w:b/>
                <w:color w:val="404040"/>
                <w:sz w:val="19"/>
              </w:rPr>
              <w:t>Energy &amp; Industrial</w:t>
            </w:r>
          </w:p>
        </w:tc>
        <w:tc>
          <w:tcPr>
            <w:tcW w:type="dxa" w:w="7675"/>
          </w:tcPr>
          <w:p>
            <w:pPr>
              <w:spacing w:after="40"/>
            </w:pPr>
            <w:r>
              <w:rPr>
                <w:color w:val="404040"/>
                <w:sz w:val="19"/>
              </w:rPr>
              <w:t>Schneider Electric, Saft, BASF, Fayat Group</w:t>
            </w:r>
          </w:p>
        </w:tc>
      </w:tr>
      <w:tr>
        <w:tc>
          <w:tcPr>
            <w:tcW w:type="dxa" w:w="2405"/>
          </w:tcPr>
          <w:p>
            <w:pPr>
              <w:spacing w:after="40"/>
            </w:pPr>
            <w:r>
              <w:rPr>
                <w:b/>
                <w:color w:val="404040"/>
                <w:sz w:val="19"/>
              </w:rPr>
              <w:t>Luxury &amp; Retail</w:t>
            </w:r>
          </w:p>
        </w:tc>
        <w:tc>
          <w:tcPr>
            <w:tcW w:type="dxa" w:w="7675"/>
          </w:tcPr>
          <w:p>
            <w:pPr>
              <w:spacing w:after="40"/>
            </w:pPr>
            <w:r>
              <w:rPr>
                <w:color w:val="404040"/>
                <w:sz w:val="19"/>
              </w:rPr>
              <w:t>Richemont, Kingfisher, Hasbro, Mars</w:t>
            </w:r>
          </w:p>
        </w:tc>
      </w:tr>
      <w:tr>
        <w:tc>
          <w:tcPr>
            <w:tcW w:type="dxa" w:w="2405"/>
          </w:tcPr>
          <w:p>
            <w:pPr>
              <w:spacing w:after="40"/>
            </w:pPr>
            <w:r>
              <w:rPr>
                <w:b/>
                <w:color w:val="404040"/>
                <w:sz w:val="19"/>
              </w:rPr>
              <w:t>Transport &amp; Marine</w:t>
            </w:r>
          </w:p>
        </w:tc>
        <w:tc>
          <w:tcPr>
            <w:tcW w:type="dxa" w:w="7675"/>
          </w:tcPr>
          <w:p>
            <w:pPr>
              <w:spacing w:after="40"/>
            </w:pPr>
            <w:r>
              <w:rPr>
                <w:color w:val="404040"/>
                <w:sz w:val="19"/>
              </w:rPr>
              <w:t>SNCF, Beneteau, Navantia, Hitachi</w:t>
            </w:r>
          </w:p>
        </w:tc>
      </w:tr>
      <w:tr>
        <w:tc>
          <w:tcPr>
            <w:tcW w:type="dxa" w:w="2405"/>
          </w:tcPr>
          <w:p>
            <w:pPr>
              <w:spacing w:after="40"/>
            </w:pPr>
            <w:r>
              <w:rPr>
                <w:b/>
                <w:color w:val="404040"/>
                <w:sz w:val="19"/>
              </w:rPr>
              <w:t>High Tech</w:t>
            </w:r>
          </w:p>
        </w:tc>
        <w:tc>
          <w:tcPr>
            <w:tcW w:type="dxa" w:w="7675"/>
          </w:tcPr>
          <w:p>
            <w:pPr>
              <w:spacing w:after="40"/>
            </w:pPr>
            <w:r>
              <w:rPr>
                <w:color w:val="404040"/>
                <w:sz w:val="19"/>
              </w:rPr>
              <w:t>Velux</w:t>
            </w:r>
          </w:p>
        </w:tc>
      </w:tr>
    </w:tbl>
    <w:p/>
    <w:p>
      <w:pPr>
        <w:pStyle w:val="Heading1"/>
        <w:spacing w:before="240" w:after="120"/>
        <w:pBdr>
          <w:bottom w:val="single" w:sz="12" w:space="1" w:color="2563EB"/>
        </w:pBdr>
      </w:pPr>
      <w:r>
        <w:rPr>
          <w:b/>
          <w:color w:val="404040"/>
          <w:sz w:val="44"/>
        </w:rPr>
        <w:t>TESTIMONIALS</w:t>
      </w:r>
    </w:p>
    <w:p>
      <w:pPr>
        <w:spacing w:before="120" w:after="0"/>
      </w:pPr>
      <w:r>
        <w:rPr>
          <w:b/>
          <w:color w:val="2563EB"/>
          <w:sz w:val="19"/>
        </w:rPr>
        <w:t>T.H.</w:t>
      </w:r>
      <w:r>
        <w:rPr>
          <w:color w:val="404040"/>
          <w:sz w:val="19"/>
        </w:rPr>
        <w:t xml:space="preserve">  —  Engineering Director</w:t>
      </w:r>
      <w:r>
        <w:rPr>
          <w:i/>
          <w:color w:val="666666"/>
          <w:sz w:val="19"/>
        </w:rPr>
        <w:t>,  Thales</w:t>
      </w:r>
      <w:r>
        <w:rPr>
          <w:color w:val="666666"/>
          <w:sz w:val="18"/>
        </w:rPr>
        <w:t xml:space="preserve">   [PTC 'Customer First' Award]</w:t>
      </w:r>
    </w:p>
    <w:p>
      <w:pPr>
        <w:spacing w:before="40" w:after="160"/>
        <w:ind w:left="360"/>
      </w:pPr>
      <w:r>
        <w:rPr>
          <w:i/>
          <w:color w:val="404040"/>
          <w:sz w:val="19"/>
        </w:rPr>
        <w:t>"Raphael's delivery on our Windchill PLM programme stood out for its precision, proactive communication and rigorous attention to quality. His responsiveness on bug-fixing and his ability to manage the development team under pressure earned him PTC's prestigious 'Customer First' recognition — a distinction we fully endorsed."</w:t>
      </w:r>
    </w:p>
    <w:p>
      <w:pPr>
        <w:spacing w:before="120" w:after="0"/>
      </w:pPr>
      <w:r>
        <w:rPr>
          <w:b/>
          <w:color w:val="2563EB"/>
          <w:sz w:val="19"/>
        </w:rPr>
        <w:t>K.F.</w:t>
      </w:r>
      <w:r>
        <w:rPr>
          <w:color w:val="404040"/>
          <w:sz w:val="19"/>
        </w:rPr>
        <w:t xml:space="preserve">  —  IT Architecture Lead</w:t>
      </w:r>
      <w:r>
        <w:rPr>
          <w:i/>
          <w:color w:val="666666"/>
          <w:sz w:val="19"/>
        </w:rPr>
        <w:t>,  Kingfisher</w:t>
      </w:r>
    </w:p>
    <w:p>
      <w:pPr>
        <w:spacing w:before="40" w:after="160"/>
        <w:ind w:left="360"/>
      </w:pPr>
      <w:r>
        <w:rPr>
          <w:i/>
          <w:color w:val="404040"/>
          <w:sz w:val="19"/>
        </w:rPr>
        <w:t>"Raphael was our trusted advisor for the Windchill-SAP integration via REST. He navigated a highly complex enterprise interface with the clarity and ownership of someone who genuinely understood both sides of the equation. A rare combination of technical depth and reliable delivery."</w:t>
      </w:r>
    </w:p>
    <w:p>
      <w:pPr>
        <w:spacing w:before="120" w:after="0"/>
      </w:pPr>
      <w:r>
        <w:rPr>
          <w:b/>
          <w:color w:val="2563EB"/>
          <w:sz w:val="19"/>
        </w:rPr>
        <w:t>Delivery Manager</w:t>
      </w:r>
      <w:r>
        <w:rPr>
          <w:color w:val="404040"/>
          <w:sz w:val="19"/>
        </w:rPr>
        <w:t xml:space="preserve">  —  Delivery Manager</w:t>
      </w:r>
      <w:r>
        <w:rPr>
          <w:i/>
          <w:color w:val="666666"/>
          <w:sz w:val="19"/>
        </w:rPr>
        <w:t>,  PTC Inc.  (14 years)</w:t>
      </w:r>
    </w:p>
    <w:p>
      <w:pPr>
        <w:spacing w:before="40" w:after="160"/>
        <w:ind w:left="360"/>
      </w:pPr>
      <w:r>
        <w:rPr>
          <w:i/>
          <w:color w:val="404040"/>
          <w:sz w:val="19"/>
        </w:rPr>
        <w:t>"Over 14 years at PTC, Raphael consistently set the bar for documentation quality, verbal communication and attention to detail. He led development teams with calm authority and was always the person you could count on. Colleagues and clients alike described him as a true team player with extra merits."</w:t>
      </w:r>
    </w:p>
    <w:p>
      <w:pPr>
        <w:spacing w:before="120" w:after="0"/>
      </w:pPr>
      <w:r>
        <w:rPr>
          <w:b/>
          <w:color w:val="2563EB"/>
          <w:sz w:val="19"/>
        </w:rPr>
        <w:t>A.U.</w:t>
      </w:r>
      <w:r>
        <w:rPr>
          <w:color w:val="404040"/>
          <w:sz w:val="19"/>
        </w:rPr>
        <w:t xml:space="preserve">  —  Senior PLM Consultant</w:t>
      </w:r>
      <w:r>
        <w:rPr>
          <w:i/>
          <w:color w:val="666666"/>
          <w:sz w:val="19"/>
        </w:rPr>
        <w:t>,  Thales Australia</w:t>
      </w:r>
    </w:p>
    <w:p>
      <w:pPr>
        <w:spacing w:before="40" w:after="160"/>
        <w:ind w:left="360"/>
      </w:pPr>
      <w:r>
        <w:rPr>
          <w:i/>
          <w:color w:val="404040"/>
          <w:sz w:val="19"/>
        </w:rPr>
        <w:t>"Raphael flew to Australia to deliver hands-on Windchill training for our team. His ability to translate complex PLM architecture concepts into practical, actionable knowledge was impressive. Clear, structured, and genuinely engaged with our context — exactly what we needed."</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