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center"/>
      </w:pPr>
      <w:r>
        <w:rPr>
          <w:rFonts w:ascii="Times New Roman" w:cs="Times New Roman" w:eastAsia="Times New Roman" w:hAnsi="Times New Roman"/>
          <w:b/>
          <w:bCs/>
          <w:i w:val="false"/>
          <w:iCs w:val="false"/>
          <w:sz w:val="36"/>
          <w:szCs w:val="36"/>
        </w:rPr>
        <w:t xml:space="preserve">CMG-IEC5</w:t>
      </w:r>
    </w:p>
    <w:p>
      <w:pPr>
        <w:spacing w:after="120" w:line="360"/>
        <w:jc w:val="center"/>
      </w:pPr>
      <w:r>
        <w:rPr>
          <w:rFonts w:ascii="Times New Roman" w:cs="Times New Roman" w:eastAsia="Times New Roman" w:hAnsi="Times New Roman"/>
          <w:b/>
          <w:bCs/>
          <w:i w:val="false"/>
          <w:iCs w:val="false"/>
          <w:sz w:val="32"/>
          <w:szCs w:val="32"/>
        </w:rPr>
        <w:t xml:space="preserve">Plan de lancement produit</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center"/>
      </w:pPr>
      <w:r>
        <w:rPr>
          <w:rFonts w:ascii="Times New Roman" w:cs="Times New Roman" w:eastAsia="Times New Roman" w:hAnsi="Times New Roman"/>
          <w:b/>
          <w:bCs/>
          <w:i w:val="false"/>
          <w:iCs w:val="false"/>
          <w:sz w:val="28"/>
          <w:szCs w:val="28"/>
        </w:rPr>
        <w:t xml:space="preserve">TCG Nexus</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center"/>
      </w:pPr>
      <w:r>
        <w:rPr>
          <w:rFonts w:ascii="Times New Roman" w:cs="Times New Roman" w:eastAsia="Times New Roman" w:hAnsi="Times New Roman"/>
          <w:b w:val="false"/>
          <w:bCs w:val="false"/>
          <w:i w:val="false"/>
          <w:iCs w:val="false"/>
          <w:sz w:val="24"/>
          <w:szCs w:val="24"/>
        </w:rPr>
        <w:t xml:space="preserve">Groupe GPE</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pageBreakBefore/>
        <w:spacing w:after="240" w:before="360" w:line="360"/>
        <w:jc w:val="left"/>
      </w:pPr>
      <w:r>
        <w:rPr>
          <w:rFonts w:ascii="Times New Roman" w:cs="Times New Roman" w:eastAsia="Times New Roman" w:hAnsi="Times New Roman"/>
          <w:b/>
          <w:bCs/>
          <w:sz w:val="28"/>
          <w:szCs w:val="28"/>
        </w:rPr>
        <w:t xml:space="preserve">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Le marché des Trading Card Games (TCG) connaît depuis plusieurs années une évolution significative. Porté par la nostalgie générationnelle, la digitalisation des usages et la montée du segment adulte, il dépasse désormais le simple cadre du loisir pour devenir un écosystème structuré mêlant collection, compétition, communauté et valorisation financière.</w:t>
      </w:r>
    </w:p>
    <w:p>
      <w:pPr>
        <w:spacing w:after="120" w:line="360"/>
        <w:jc w:val="both"/>
      </w:pPr>
      <w:r>
        <w:rPr>
          <w:rFonts w:ascii="Times New Roman" w:cs="Times New Roman" w:eastAsia="Times New Roman" w:hAnsi="Times New Roman"/>
          <w:b w:val="false"/>
          <w:bCs w:val="false"/>
          <w:i w:val="false"/>
          <w:iCs w:val="false"/>
          <w:sz w:val="24"/>
          <w:szCs w:val="24"/>
        </w:rPr>
        <w:t xml:space="preserve">Toutefois, malgré cette croissance, l’environnement reste fragmenté. Les passionnés utilisent des outils multiples et non intégrés pour gérer leur collection, organiser des tournois ou réaliser des transactions. Cette dispersion entraîne une perte d’efficacité, un manque de professionnalisation et parfois des risques liés à la sécurité des échanges.</w:t>
      </w:r>
    </w:p>
    <w:p>
      <w:pPr>
        <w:spacing w:after="120" w:line="360"/>
        <w:jc w:val="both"/>
      </w:pPr>
      <w:r>
        <w:rPr>
          <w:rFonts w:ascii="Times New Roman" w:cs="Times New Roman" w:eastAsia="Times New Roman" w:hAnsi="Times New Roman"/>
          <w:b w:val="false"/>
          <w:bCs w:val="false"/>
          <w:i w:val="false"/>
          <w:iCs w:val="false"/>
          <w:sz w:val="24"/>
          <w:szCs w:val="24"/>
        </w:rPr>
        <w:t xml:space="preserve">C’est dans ce contexte que s’inscrit TCG Nexus. Le projet vise à créer une plateforme numérique centralisée dédiée aux passionnés de TCG, en particulier dans l’espace francophone. Actuellement en version bêta fonctionnelle, la plateforme permet déjà l’inscription, la gestion de collection, la mise en vente de cartes et l’organisation de tournois. Certaines fonctionnalités avancées, notamment les outils d’analyse stratégique automatisée, sont prévues dans les prochaines phases de développement.</w:t>
      </w:r>
    </w:p>
    <w:p>
      <w:pPr>
        <w:spacing w:after="120" w:line="360"/>
        <w:jc w:val="both"/>
      </w:pPr>
      <w:r>
        <w:rPr>
          <w:rFonts w:ascii="Times New Roman" w:cs="Times New Roman" w:eastAsia="Times New Roman" w:hAnsi="Times New Roman"/>
          <w:b w:val="false"/>
          <w:bCs w:val="false"/>
          <w:i w:val="false"/>
          <w:iCs w:val="false"/>
          <w:sz w:val="24"/>
          <w:szCs w:val="24"/>
        </w:rPr>
        <w:t xml:space="preserve">Le présent dossier expose la stratégie complète de lancement du produit, à travers l’analyse du service proposé, de son marché, des cibles prioritaires, des messages stratégiques et des plans d’acquisition adaptés.</w:t>
      </w:r>
    </w:p>
    <w:p>
      <w:pPr>
        <w:pageBreakBefore/>
        <w:spacing w:after="240" w:before="360" w:line="360"/>
        <w:jc w:val="left"/>
      </w:pPr>
      <w:r>
        <w:rPr>
          <w:rFonts w:ascii="Times New Roman" w:cs="Times New Roman" w:eastAsia="Times New Roman" w:hAnsi="Times New Roman"/>
          <w:b/>
          <w:bCs/>
          <w:sz w:val="28"/>
          <w:szCs w:val="28"/>
        </w:rPr>
        <w:t xml:space="preserve">1. Le produit / service</w:t>
      </w:r>
    </w:p>
    <w:p>
      <w:pPr>
        <w:spacing w:after="120" w:before="240" w:line="360"/>
        <w:jc w:val="left"/>
      </w:pPr>
      <w:r>
        <w:rPr>
          <w:rFonts w:ascii="Times New Roman" w:cs="Times New Roman" w:eastAsia="Times New Roman" w:hAnsi="Times New Roman"/>
          <w:b/>
          <w:bCs/>
          <w:sz w:val="26"/>
          <w:szCs w:val="26"/>
        </w:rPr>
        <w:t xml:space="preserve">1.1 Le pitch</w:t>
      </w:r>
    </w:p>
    <w:p>
      <w:pPr>
        <w:spacing w:after="120" w:line="360"/>
        <w:jc w:val="both"/>
      </w:pPr>
      <w:r>
        <w:rPr>
          <w:rFonts w:ascii="Times New Roman" w:cs="Times New Roman" w:eastAsia="Times New Roman" w:hAnsi="Times New Roman"/>
          <w:b w:val="false"/>
          <w:bCs w:val="false"/>
          <w:i w:val="false"/>
          <w:iCs w:val="false"/>
          <w:sz w:val="24"/>
          <w:szCs w:val="24"/>
        </w:rPr>
        <w:t xml:space="preserve">TCG Nexus est une plateforme numérique dédiée aux joueurs, collectionneurs et organisateurs de tournois de Trading Card Games. Elle centralise plusieurs fonctionnalités essentielles : gestion de collection, marketplace sécurisée et organisation d’événements compétitifs. Son ambition est de structurer un écosystème aujourd’hui dispersé en proposant un environnement unique, sécurisé et évolutif.</w:t>
      </w:r>
    </w:p>
    <w:p>
      <w:pPr>
        <w:spacing w:after="120" w:before="240" w:line="360"/>
        <w:jc w:val="left"/>
      </w:pPr>
      <w:r>
        <w:rPr>
          <w:rFonts w:ascii="Times New Roman" w:cs="Times New Roman" w:eastAsia="Times New Roman" w:hAnsi="Times New Roman"/>
          <w:b/>
          <w:bCs/>
          <w:sz w:val="26"/>
          <w:szCs w:val="26"/>
        </w:rPr>
        <w:t xml:space="preserve">1.2 État actuel du produit (version bêta)</w:t>
      </w:r>
    </w:p>
    <w:p>
      <w:pPr>
        <w:spacing w:after="120" w:line="360"/>
        <w:jc w:val="both"/>
      </w:pPr>
      <w:r>
        <w:rPr>
          <w:rFonts w:ascii="Times New Roman" w:cs="Times New Roman" w:eastAsia="Times New Roman" w:hAnsi="Times New Roman"/>
          <w:b w:val="false"/>
          <w:bCs w:val="false"/>
          <w:i w:val="false"/>
          <w:iCs w:val="false"/>
          <w:sz w:val="24"/>
          <w:szCs w:val="24"/>
        </w:rPr>
        <w:t xml:space="preserve">La plateforme est aujourd’hui accessible en ligne dans une version bêta opérationnelle. Les utilisateurs peuvent créer un compte personnel, accéder à un espace sécurisé et utiliser les fonctionnalités principales.</w:t>
      </w:r>
    </w:p>
    <w:p>
      <w:pPr>
        <w:spacing w:after="120" w:line="360"/>
        <w:jc w:val="both"/>
      </w:pPr>
      <w:r>
        <w:rPr>
          <w:rFonts w:ascii="Times New Roman" w:cs="Times New Roman" w:eastAsia="Times New Roman" w:hAnsi="Times New Roman"/>
          <w:b w:val="false"/>
          <w:bCs w:val="false"/>
          <w:i w:val="false"/>
          <w:iCs w:val="false"/>
          <w:sz w:val="24"/>
          <w:szCs w:val="24"/>
        </w:rPr>
        <w:t xml:space="preserve">Le module de gestion de collection permet d’ajouter des cartes, d’organiser son inventaire et de visualiser l’ensemble de son portefeuille. Cette fonctionnalité répond à un besoin fortement exprimé lors des échanges menés avec des collectionneurs, qui évoquaient l’utilisation de tableurs ou de solutions peu adaptées.</w:t>
      </w:r>
    </w:p>
    <w:p>
      <w:pPr>
        <w:spacing w:after="120" w:line="360"/>
        <w:jc w:val="both"/>
      </w:pPr>
      <w:r>
        <w:rPr>
          <w:rFonts w:ascii="Times New Roman" w:cs="Times New Roman" w:eastAsia="Times New Roman" w:hAnsi="Times New Roman"/>
          <w:b w:val="false"/>
          <w:bCs w:val="false"/>
          <w:i w:val="false"/>
          <w:iCs w:val="false"/>
          <w:sz w:val="24"/>
          <w:szCs w:val="24"/>
        </w:rPr>
        <w:t xml:space="preserve">Le module marketplace permet la publication d’annonces et la réalisation de transactions dans un cadre sécurisé, avec un système de paiement intégré via Stripe. L’historique des ventes et achats renforce la transparence et la traçabilité.</w:t>
      </w:r>
    </w:p>
    <w:p>
      <w:pPr>
        <w:spacing w:after="120" w:line="360"/>
        <w:jc w:val="both"/>
      </w:pPr>
      <w:r>
        <w:rPr>
          <w:rFonts w:ascii="Times New Roman" w:cs="Times New Roman" w:eastAsia="Times New Roman" w:hAnsi="Times New Roman"/>
          <w:b w:val="false"/>
          <w:bCs w:val="false"/>
          <w:i w:val="false"/>
          <w:iCs w:val="false"/>
          <w:sz w:val="24"/>
          <w:szCs w:val="24"/>
        </w:rPr>
        <w:t xml:space="preserve">Le module tournois permet la création d’événements, la gestion des inscriptions et la saisie des résultats. Plusieurs organisateurs locaux interrogés ont souligné la complexité des outils actuels, souvent basés sur des solutions artisanales. TCG Nexus propose une alternative structurée.</w:t>
      </w:r>
    </w:p>
    <w:p>
      <w:pPr>
        <w:spacing w:after="120" w:line="360"/>
        <w:jc w:val="both"/>
      </w:pPr>
      <w:r>
        <w:rPr>
          <w:rFonts w:ascii="Times New Roman" w:cs="Times New Roman" w:eastAsia="Times New Roman" w:hAnsi="Times New Roman"/>
          <w:b w:val="false"/>
          <w:bCs w:val="false"/>
          <w:i w:val="false"/>
          <w:iCs w:val="false"/>
          <w:sz w:val="24"/>
          <w:szCs w:val="24"/>
        </w:rPr>
        <w:t xml:space="preserve">Certaines fonctionnalités avancées, notamment l’intégration d’outils d’analyse stratégique automatisée et d’aide à l’optimisation de decks, sont prévues dans la feuille de route mais ne sont pas encore intégrées à la version actuelle. Cette approche progressive permet de valider les usages fondamentaux avant d’ajouter des couches technologiques plus complexes.</w:t>
      </w:r>
    </w:p>
    <w:p>
      <w:pPr>
        <w:spacing w:after="120" w:before="240" w:line="360"/>
        <w:jc w:val="left"/>
      </w:pPr>
      <w:r>
        <w:rPr>
          <w:rFonts w:ascii="Times New Roman" w:cs="Times New Roman" w:eastAsia="Times New Roman" w:hAnsi="Times New Roman"/>
          <w:b/>
          <w:bCs/>
          <w:sz w:val="26"/>
          <w:szCs w:val="26"/>
        </w:rPr>
        <w:t xml:space="preserve">1.3 Proposition de valeur</w:t>
      </w:r>
    </w:p>
    <w:p>
      <w:pPr>
        <w:spacing w:after="120" w:line="360"/>
        <w:jc w:val="both"/>
      </w:pPr>
      <w:r>
        <w:rPr>
          <w:rFonts w:ascii="Times New Roman" w:cs="Times New Roman" w:eastAsia="Times New Roman" w:hAnsi="Times New Roman"/>
          <w:b w:val="false"/>
          <w:bCs w:val="false"/>
          <w:i w:val="false"/>
          <w:iCs w:val="false"/>
          <w:sz w:val="24"/>
          <w:szCs w:val="24"/>
        </w:rPr>
        <w:t xml:space="preserve">La valeur centrale de TCG Nexus repose sur trois éléments. Premièrement, la centralisation : en regroupant plusieurs usages au sein d’une seule plateforme, le produit simplifie l’expérience utilisateur. Deuxièmement, la sécurisation : dans un marché où certaines cartes peuvent représenter une valeur financière importante, la confiance est un facteur déterminant. Troisièmement, la professionnalisation : la plateforme structure des pratiques encore largement informelles, notamment dans l’organisation de tournois locaux.</w:t>
      </w:r>
    </w:p>
    <w:p>
      <w:pPr>
        <w:spacing w:after="120" w:line="360"/>
        <w:jc w:val="both"/>
      </w:pPr>
      <w:r>
        <w:rPr>
          <w:rFonts w:ascii="Times New Roman" w:cs="Times New Roman" w:eastAsia="Times New Roman" w:hAnsi="Times New Roman"/>
          <w:b w:val="false"/>
          <w:bCs w:val="false"/>
          <w:i w:val="false"/>
          <w:iCs w:val="false"/>
          <w:sz w:val="24"/>
          <w:szCs w:val="24"/>
        </w:rPr>
        <w:t xml:space="preserve">TCG Nexus ne se positionne donc pas uniquement comme un outil transactionnel, mais comme une infrastructure numérique communautaire.</w:t>
      </w:r>
    </w:p>
    <w:p>
      <w:pPr>
        <w:pageBreakBefore/>
        <w:spacing w:after="240" w:before="360" w:line="360"/>
        <w:jc w:val="left"/>
      </w:pPr>
      <w:r>
        <w:rPr>
          <w:rFonts w:ascii="Times New Roman" w:cs="Times New Roman" w:eastAsia="Times New Roman" w:hAnsi="Times New Roman"/>
          <w:b/>
          <w:bCs/>
          <w:sz w:val="28"/>
          <w:szCs w:val="28"/>
        </w:rPr>
        <w:t xml:space="preserve">2. Le marché</w:t>
      </w:r>
    </w:p>
    <w:p>
      <w:pPr>
        <w:spacing w:after="120" w:before="240" w:line="360"/>
        <w:jc w:val="left"/>
      </w:pPr>
      <w:r>
        <w:rPr>
          <w:rFonts w:ascii="Times New Roman" w:cs="Times New Roman" w:eastAsia="Times New Roman" w:hAnsi="Times New Roman"/>
          <w:b/>
          <w:bCs/>
          <w:sz w:val="26"/>
          <w:szCs w:val="26"/>
        </w:rPr>
        <w:t xml:space="preserve">2.1 Analyse sectorielle</w:t>
      </w:r>
    </w:p>
    <w:p>
      <w:pPr>
        <w:spacing w:after="120" w:line="360"/>
        <w:jc w:val="both"/>
      </w:pPr>
      <w:r>
        <w:rPr>
          <w:rFonts w:ascii="Times New Roman" w:cs="Times New Roman" w:eastAsia="Times New Roman" w:hAnsi="Times New Roman"/>
          <w:b w:val="false"/>
          <w:bCs w:val="false"/>
          <w:i w:val="false"/>
          <w:iCs w:val="false"/>
          <w:sz w:val="24"/>
          <w:szCs w:val="24"/>
        </w:rPr>
        <w:t xml:space="preserve">Le marché mondial des Trading Card Games connaît une croissance soutenue. Selon Global Market Insights, il est estimé à environ 8,4 milliards de dollars en 2025, avec une projection à 16,9 milliards d’ici 2035, soit un taux de croissance annuel composé (TCAC) de 6,9 %. D’autres cabinets, comme Zion Market Research, évaluent le marché à 7,43 milliards de dollars en 2024 avec un TCAC de 7,86 % jusqu’en 2034.</w:t>
      </w:r>
    </w:p>
    <w:p>
      <w:pPr>
        <w:spacing w:after="120" w:line="360"/>
        <w:jc w:val="both"/>
      </w:pPr>
      <w:r>
        <w:rPr>
          <w:rFonts w:ascii="Times New Roman" w:cs="Times New Roman" w:eastAsia="Times New Roman" w:hAnsi="Times New Roman"/>
          <w:b w:val="false"/>
          <w:bCs w:val="false"/>
          <w:i w:val="false"/>
          <w:iCs w:val="false"/>
          <w:sz w:val="24"/>
          <w:szCs w:val="24"/>
        </w:rPr>
        <w:t xml:space="preserve">Le segment physique reste dominant et représentait 7 milliards de dollars en 2025, soit environ 55 % du marché total. Le segment numérique connaît cependant une progression fulgurante, avec 45 % de parts de marché et des dépenses en cartes à collectionner numériques dépassant les 800 millions de dollars en 2024.</w:t>
      </w:r>
    </w:p>
    <w:p>
      <w:pPr>
        <w:spacing w:after="120" w:line="360"/>
        <w:jc w:val="both"/>
      </w:pPr>
      <w:r>
        <w:rPr>
          <w:rFonts w:ascii="Times New Roman" w:cs="Times New Roman" w:eastAsia="Times New Roman" w:hAnsi="Times New Roman"/>
          <w:b w:val="false"/>
          <w:bCs w:val="false"/>
          <w:i w:val="false"/>
          <w:iCs w:val="false"/>
          <w:sz w:val="24"/>
          <w:szCs w:val="24"/>
        </w:rPr>
        <w:t xml:space="preserve">Pokémon domine le marché avec plus de 12 % de part de marché mondiale en 2025. The Pokémon Company a produit 10,2 milliards de cartes au cours de l’exercice fiscal 2024-2025, pour un total cumulé dépassant 75 milliards de cartes. Le chiffre d’affaires net de The Pokémon Company a atteint 411 milliards de yens (environ 2,9 milliards de dollars), en hausse de 38 % par rapport à l’année précédente. Magic: The Gathering, de son côté, a enregistré son meilleur exercice historique avec plus de 1,3 milliard de dollars de revenus en 2024.</w:t>
      </w:r>
    </w:p>
    <w:p>
      <w:pPr>
        <w:spacing w:after="120" w:line="360"/>
        <w:jc w:val="both"/>
      </w:pPr>
      <w:r>
        <w:rPr>
          <w:rFonts w:ascii="Times New Roman" w:cs="Times New Roman" w:eastAsia="Times New Roman" w:hAnsi="Times New Roman"/>
          <w:b w:val="false"/>
          <w:bCs w:val="false"/>
          <w:i w:val="false"/>
          <w:iCs w:val="false"/>
          <w:sz w:val="24"/>
          <w:szCs w:val="24"/>
        </w:rPr>
        <w:t xml:space="preserve">La région Asie-Pacifique domine le marché, avec une croissance de 14 % en glissement annuel au Japon seul selon la Japan Toy Association (2024). L’Amérique du Nord et l’Europe représentent ensemble 65 % de la part de marché mondiale. Les États-Unis concentrent à eux seuls environ 40 % du chiffre d’affaires mondial en 2024.</w:t>
      </w:r>
    </w:p>
    <w:p>
      <w:pPr>
        <w:spacing w:after="120" w:before="240" w:line="360"/>
        <w:jc w:val="left"/>
      </w:pPr>
      <w:r>
        <w:rPr>
          <w:rFonts w:ascii="Times New Roman" w:cs="Times New Roman" w:eastAsia="Times New Roman" w:hAnsi="Times New Roman"/>
          <w:b/>
          <w:bCs/>
          <w:sz w:val="26"/>
          <w:szCs w:val="26"/>
        </w:rPr>
        <w:t xml:space="preserve">2.2 Étude exploratoire qualitative</w:t>
      </w:r>
    </w:p>
    <w:p>
      <w:pPr>
        <w:spacing w:after="120" w:line="360"/>
        <w:jc w:val="both"/>
      </w:pPr>
      <w:r>
        <w:rPr>
          <w:rFonts w:ascii="Times New Roman" w:cs="Times New Roman" w:eastAsia="Times New Roman" w:hAnsi="Times New Roman"/>
          <w:b w:val="false"/>
          <w:bCs w:val="false"/>
          <w:i w:val="false"/>
          <w:iCs w:val="false"/>
          <w:sz w:val="24"/>
          <w:szCs w:val="24"/>
        </w:rPr>
        <w:t xml:space="preserve">En amont du développement, des échanges semi-directifs ont été menés avec une vingtaine de profils différents : joueurs compétitifs participant à des tournois locaux et en ligne, collectionneurs actifs sur les marketplaces existantes, et organisateurs de tournois dans des boutiques spécialisées en région parisienne et en province.</w:t>
      </w:r>
    </w:p>
    <w:p>
      <w:pPr>
        <w:spacing w:after="120" w:line="360"/>
        <w:jc w:val="both"/>
      </w:pPr>
      <w:r>
        <w:rPr>
          <w:rFonts w:ascii="Times New Roman" w:cs="Times New Roman" w:eastAsia="Times New Roman" w:hAnsi="Times New Roman"/>
          <w:b w:val="false"/>
          <w:bCs w:val="false"/>
          <w:i w:val="false"/>
          <w:iCs w:val="false"/>
          <w:sz w:val="24"/>
          <w:szCs w:val="24"/>
        </w:rPr>
        <w:t xml:space="preserve">Les joueurs compétitifs ont exprimé un besoin de structuration et de suivi de performance. Ils déplorent l’absence de classement centralisé, l’utilisation de tableurs partagés pour les résultats et le manque de visibilité sur les tournois à venir dans leur zone géographique.</w:t>
      </w:r>
    </w:p>
    <w:p>
      <w:pPr>
        <w:spacing w:after="120" w:line="360"/>
        <w:jc w:val="both"/>
      </w:pPr>
      <w:r>
        <w:rPr>
          <w:rFonts w:ascii="Times New Roman" w:cs="Times New Roman" w:eastAsia="Times New Roman" w:hAnsi="Times New Roman"/>
          <w:b w:val="false"/>
          <w:bCs w:val="false"/>
          <w:i w:val="false"/>
          <w:iCs w:val="false"/>
          <w:sz w:val="24"/>
          <w:szCs w:val="24"/>
        </w:rPr>
        <w:t xml:space="preserve">Les collectionneurs ont mis en avant le manque de sécurité lors des transactions entre particuliers. Plusieurs ont rapporté des expériences d’arnaques sur des groupes Facebook ou des forums non modérés. Ils recherchent une plateforme de confiance avec un système de notation des vendeurs et un suivi des transactions.</w:t>
      </w:r>
    </w:p>
    <w:p>
      <w:pPr>
        <w:spacing w:after="120" w:line="360"/>
        <w:jc w:val="both"/>
      </w:pPr>
      <w:r>
        <w:rPr>
          <w:rFonts w:ascii="Times New Roman" w:cs="Times New Roman" w:eastAsia="Times New Roman" w:hAnsi="Times New Roman"/>
          <w:b w:val="false"/>
          <w:bCs w:val="false"/>
          <w:i w:val="false"/>
          <w:iCs w:val="false"/>
          <w:sz w:val="24"/>
          <w:szCs w:val="24"/>
        </w:rPr>
        <w:t xml:space="preserve">Les organisateurs ont souligné la complexité de gestion des inscriptions et des classements, souvent réalisés via des formulaires Google, des fichiers Excel et des communications éparpillées sur WhatsApp et Discord.</w:t>
      </w:r>
    </w:p>
    <w:p>
      <w:pPr>
        <w:spacing w:after="120" w:line="360"/>
        <w:jc w:val="both"/>
      </w:pPr>
      <w:r>
        <w:rPr>
          <w:rFonts w:ascii="Times New Roman" w:cs="Times New Roman" w:eastAsia="Times New Roman" w:hAnsi="Times New Roman"/>
          <w:b w:val="false"/>
          <w:bCs w:val="false"/>
          <w:i w:val="false"/>
          <w:iCs w:val="false"/>
          <w:sz w:val="24"/>
          <w:szCs w:val="24"/>
        </w:rPr>
        <w:t xml:space="preserve">Ces retours qualitatifs ont confirmé l’existence d’un besoin réel, non satisfait par les solutions existantes, et ont orienté les priorités de développement de la version bêta.</w:t>
      </w:r>
    </w:p>
    <w:p>
      <w:pPr>
        <w:spacing w:after="120" w:before="240" w:line="360"/>
        <w:jc w:val="left"/>
      </w:pPr>
      <w:r>
        <w:rPr>
          <w:rFonts w:ascii="Times New Roman" w:cs="Times New Roman" w:eastAsia="Times New Roman" w:hAnsi="Times New Roman"/>
          <w:b/>
          <w:bCs/>
          <w:sz w:val="26"/>
          <w:szCs w:val="26"/>
        </w:rPr>
        <w:t xml:space="preserve">2.3 Analyse concurrentielle</w:t>
      </w:r>
    </w:p>
    <w:p>
      <w:pPr>
        <w:spacing w:after="120" w:line="360"/>
        <w:jc w:val="both"/>
      </w:pPr>
      <w:r>
        <w:rPr>
          <w:rFonts w:ascii="Times New Roman" w:cs="Times New Roman" w:eastAsia="Times New Roman" w:hAnsi="Times New Roman"/>
          <w:b w:val="false"/>
          <w:bCs w:val="false"/>
          <w:i w:val="false"/>
          <w:iCs w:val="false"/>
          <w:sz w:val="24"/>
          <w:szCs w:val="24"/>
        </w:rPr>
        <w:t xml:space="preserve">Le paysage concurrentiel peut être structuré en trois catégories. Les marketplaces spécialisées (Cardmarket, TCGPlayer), centrées uniquement sur l’achat et la vente, ne proposent ni gestion de collection ni organisation de tournois. Les outils communautaires informels, comme les serveurs Discord (Carte Pokémon France avec 13 000 membres, Pokémon TCG Pocket France avec 62 000 membres) ou les groupes Facebook, offrent un lien social mais aucune fonctionnalité structurée. Enfin, les plateformes liées aux versions numériques officielles des jeux (Pokémon TCG Live, Magic Arena) sont déconnectées de l’écosystème physique.</w:t>
      </w:r>
    </w:p>
    <w:p>
      <w:pPr>
        <w:spacing w:after="120" w:line="360"/>
        <w:jc w:val="both"/>
      </w:pPr>
      <w:r>
        <w:rPr>
          <w:rFonts w:ascii="Times New Roman" w:cs="Times New Roman" w:eastAsia="Times New Roman" w:hAnsi="Times New Roman"/>
          <w:b w:val="false"/>
          <w:bCs w:val="false"/>
          <w:i w:val="false"/>
          <w:iCs w:val="false"/>
          <w:sz w:val="24"/>
          <w:szCs w:val="24"/>
        </w:rPr>
        <w:t xml:space="preserve">Aucun acteur ne propose aujourd’hui une solution francophone intégrée combinant gestion de collection, transactions sécurisées et organisation d’événements. Cette absence crée un espace stratégique que TCG Nexus entend occuper.</w:t>
      </w:r>
    </w:p>
    <w:p>
      <w:pPr>
        <w:pageBreakBefore/>
        <w:spacing w:after="240" w:before="360" w:line="360"/>
        <w:jc w:val="left"/>
      </w:pPr>
      <w:r>
        <w:rPr>
          <w:rFonts w:ascii="Times New Roman" w:cs="Times New Roman" w:eastAsia="Times New Roman" w:hAnsi="Times New Roman"/>
          <w:b/>
          <w:bCs/>
          <w:sz w:val="28"/>
          <w:szCs w:val="28"/>
        </w:rPr>
        <w:t xml:space="preserve">3. Cibles prioritaires</w:t>
      </w:r>
    </w:p>
    <w:p>
      <w:pPr>
        <w:spacing w:after="120" w:line="360"/>
        <w:jc w:val="both"/>
      </w:pPr>
      <w:r>
        <w:rPr>
          <w:rFonts w:ascii="Times New Roman" w:cs="Times New Roman" w:eastAsia="Times New Roman" w:hAnsi="Times New Roman"/>
          <w:b w:val="false"/>
          <w:bCs w:val="false"/>
          <w:i w:val="false"/>
          <w:iCs w:val="false"/>
          <w:sz w:val="24"/>
          <w:szCs w:val="24"/>
        </w:rPr>
        <w:t xml:space="preserve">La segmentation repose sur une analyse des parties prenantes selon leur niveau d’intérêt et leur niveau d’influence, conformément à la grille d’analyse fournie en annexe. Trois cibles prioritaires ont été identifiées et sont classées par ordre de priorité.</w:t>
      </w:r>
    </w:p>
    <w:p>
      <w:pPr>
        <w:spacing w:after="120" w:before="240" w:line="360"/>
        <w:jc w:val="left"/>
      </w:pPr>
      <w:r>
        <w:rPr>
          <w:rFonts w:ascii="Times New Roman" w:cs="Times New Roman" w:eastAsia="Times New Roman" w:hAnsi="Times New Roman"/>
          <w:b/>
          <w:bCs/>
          <w:sz w:val="26"/>
          <w:szCs w:val="26"/>
        </w:rPr>
        <w:t xml:space="preserve">3.1 Tableau de segmentation B to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500"/>
        <w:gridCol w:w="1400"/>
        <w:gridCol w:w="1626"/>
      </w:tblGrid>
      <w:tr>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Public cible</w:t>
            </w:r>
          </w:p>
        </w:tc>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Caractéristique / profil</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Problématique / besoin</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Motivations</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Freins</w:t>
            </w:r>
          </w:p>
        </w:tc>
        <w:tc>
          <w:tcPr>
            <w:tcW w:type="dxa" w:w="162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Médias et réseaux sociaux fréquentés</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Joueurs compétitifs (Cible n°1)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18-30 ans, majoritairement masculin, passionnés de stratégie et de compétition, jouent en boutique et en ligne, dépensent 30-80€/mois en cartes et inscriptions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Absence de classement centralisé, difficulté à trouver des tournois locaux, suivi de performance inexistant, outils éparpillés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Progresser et mesurer leur niveau. Se comparer aux autres joueurs. Trouver facilement des tournois adaptés à leur format préféré</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Réticence à quitter les outils existants (Discord, Limitless). Méfiance envers une plateforme nouvelle et non éprouvée</w:t>
            </w:r>
          </w:p>
        </w:tc>
        <w:tc>
          <w:tcPr>
            <w:tcW w:type="dxa" w:w="16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Discord, Reddit (r/PokemonTCG, r/magicTCG), YouTube, Twitch, X/Twitter, TikTok</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Collectionneurs (Cible n°2)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20-40 ans, mixte, attachés à la valeur esthétique et financière des cartes, achats réguliers (50-200€/mois), sensibles à l’authenticité et à l’état des cartes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Risques d’arnaque sur les plateformes non sécurisées (Facebook, LeBonCoin). Pas d’outil centralisé pour gérer et valoriser sa collection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Sécuriser ses achats/ventes. Connaître la valeur de sa collection en temps réel. Compléter ses sets facilement</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Attachement aux habitudes existantes (Cardmarket). Coût potentiel de la plateforme. Doute sur le volume de vendeurs actifs au lancement</w:t>
            </w:r>
          </w:p>
        </w:tc>
        <w:tc>
          <w:tcPr>
            <w:tcW w:type="dxa" w:w="16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YouTube (ouvertures de boosters), Instagram, Facebook (groupes TCG), Cardmarket, Discord</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Organisateurs et boutiques (Cible n°3)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Gérants de boutiques spécialisées ou associations, 25-50 ans, organisent 2-8 tournois/mois, budget marketing limité, cherchent à fidéliser leur clientèle locale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Gestion artisanale des inscriptions et classements (Google Forms, Excel, WhatsApp). Difficulté à promouvoir leurs événements au-delà de leur communauté immédiate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Simplifier l’organisation. Gagner en visibilité. Attirer de nouveaux joueurs dans leur boutique</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Peur de dépendre d’une plateforme tierce. Temps nécessaire pour migrer. Doute sur l’adoption par leurs joueurs habituels</w:t>
            </w:r>
          </w:p>
        </w:tc>
        <w:tc>
          <w:tcPr>
            <w:tcW w:type="dxa" w:w="16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Facebook (pages boutiques), Instagram, Discord (serveurs locaux), Google Maps, sites spécialisés (Pokecardex, Magivore)</w:t>
            </w:r>
          </w:p>
        </w:tc>
      </w:tr>
    </w:tbl>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before="240" w:line="360"/>
        <w:jc w:val="left"/>
      </w:pPr>
      <w:r>
        <w:rPr>
          <w:rFonts w:ascii="Times New Roman" w:cs="Times New Roman" w:eastAsia="Times New Roman" w:hAnsi="Times New Roman"/>
          <w:b/>
          <w:bCs/>
          <w:sz w:val="26"/>
          <w:szCs w:val="26"/>
        </w:rPr>
        <w:t xml:space="preserve">3.2 Tableau de segmentation B to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700"/>
        <w:gridCol w:w="1526"/>
        <w:gridCol w:w="1500"/>
      </w:tblGrid>
      <w:tr>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Type d’entreprise cible</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Taille (effectif)</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Secteur d’activité</w:t>
            </w:r>
          </w:p>
        </w:tc>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Problématique / besoin</w:t>
            </w:r>
          </w:p>
        </w:tc>
        <w:tc>
          <w:tcPr>
            <w:tcW w:type="dxa" w:w="152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Motivations</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line="276"/>
              <w:jc w:val="left"/>
            </w:pPr>
            <w:r>
              <w:rPr>
                <w:rFonts w:ascii="Times New Roman" w:cs="Times New Roman" w:eastAsia="Times New Roman" w:hAnsi="Times New Roman"/>
                <w:b/>
                <w:bCs/>
                <w:sz w:val="20"/>
                <w:szCs w:val="20"/>
              </w:rPr>
              <w:t xml:space="preserve">Freins</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Boutiques spécialisées TCG</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1 à 10 salariés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Commerce de détail spécialisé, loisirs et jeux</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Gestion manuelle des tournois, manque de visibilité en ligne, difficulté à fidéliser la clientèle au-delà du bouche-à-oreille</w:t>
            </w:r>
          </w:p>
        </w:tc>
        <w:tc>
          <w:tcPr>
            <w:tcW w:type="dxa" w:w="1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Attirer de nouveaux clients via la plateforme. Professionnaliser l’organisation de tournois. Bénéficier d’un outil clé en main gratuit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Budget limité. Manque de temps pour adopter un nouvel outil. Dépendance à une plateforme tierce</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Associations / clubs de joueurs</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Bénévoles, 5-50 membres actifs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Associatif, loisirs, événementiel local</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Coordination des événements dispersée sur plusieurs outils (Doodle, WhatsApp, tableurs). Pas de classement officiel interne</w:t>
            </w:r>
          </w:p>
        </w:tc>
        <w:tc>
          <w:tcPr>
            <w:tcW w:type="dxa" w:w="1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Centraliser la gestion des événements et des membres. Offrir un classement ELO motivant pour les adhérents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76"/>
              <w:jc w:val="left"/>
            </w:pPr>
            <w:r>
              <w:rPr>
                <w:rFonts w:ascii="Times New Roman" w:cs="Times New Roman" w:eastAsia="Times New Roman" w:hAnsi="Times New Roman"/>
                <w:b w:val="false"/>
                <w:bCs w:val="false"/>
                <w:sz w:val="20"/>
                <w:szCs w:val="20"/>
              </w:rPr>
              <w:t xml:space="preserve">Résistance au changement des membres. Courbe d’apprentissage perçue</w:t>
            </w:r>
          </w:p>
        </w:tc>
      </w:tr>
    </w:tbl>
    <w:p>
      <w:pPr>
        <w:spacing w:after="120" w:line="360"/>
        <w:jc w:val="both"/>
      </w:pPr>
      <w:r>
        <w:rPr>
          <w:rFonts w:ascii="Times New Roman" w:cs="Times New Roman" w:eastAsia="Times New Roman" w:hAnsi="Times New Roman"/>
          <w:b w:val="false"/>
          <w:bCs w:val="false"/>
          <w:i w:val="false"/>
          <w:iCs w:val="false"/>
          <w:sz w:val="24"/>
          <w:szCs w:val="24"/>
        </w:rPr>
        <w:t xml:space="preserve"/>
      </w:r>
    </w:p>
    <w:p>
      <w:pPr>
        <w:pageBreakBefore/>
        <w:spacing w:after="240" w:before="360" w:line="360"/>
        <w:jc w:val="left"/>
      </w:pPr>
      <w:r>
        <w:rPr>
          <w:rFonts w:ascii="Times New Roman" w:cs="Times New Roman" w:eastAsia="Times New Roman" w:hAnsi="Times New Roman"/>
          <w:b/>
          <w:bCs/>
          <w:sz w:val="28"/>
          <w:szCs w:val="28"/>
        </w:rPr>
        <w:t xml:space="preserve">4. Les messages stratégiques</w:t>
      </w:r>
    </w:p>
    <w:p>
      <w:pPr>
        <w:spacing w:after="120" w:before="240" w:line="360"/>
        <w:jc w:val="left"/>
      </w:pPr>
      <w:r>
        <w:rPr>
          <w:rFonts w:ascii="Times New Roman" w:cs="Times New Roman" w:eastAsia="Times New Roman" w:hAnsi="Times New Roman"/>
          <w:b/>
          <w:bCs/>
          <w:sz w:val="26"/>
          <w:szCs w:val="26"/>
        </w:rPr>
        <w:t xml:space="preserve">4.1 Le Why de TCG Nexus (cercle d’or de Simon Sinek)</w:t>
      </w:r>
    </w:p>
    <w:p>
      <w:pPr>
        <w:spacing w:after="120" w:line="360"/>
        <w:jc w:val="both"/>
      </w:pPr>
      <w:r>
        <w:rPr>
          <w:rFonts w:ascii="Times New Roman" w:cs="Times New Roman" w:eastAsia="Times New Roman" w:hAnsi="Times New Roman"/>
          <w:b/>
          <w:bCs/>
          <w:sz w:val="24"/>
          <w:szCs w:val="24"/>
        </w:rPr>
        <w:t xml:space="preserve">Why (Pourquoi) : </w:t>
      </w:r>
      <w:r>
        <w:rPr>
          <w:rFonts w:ascii="Times New Roman" w:cs="Times New Roman" w:eastAsia="Times New Roman" w:hAnsi="Times New Roman"/>
          <w:sz w:val="24"/>
          <w:szCs w:val="24"/>
        </w:rPr>
        <w:t xml:space="preserve">Nous croyons que chaque passionné de TCG mérite un écosystème structuré, sécurisé et à la hauteur de sa passion. Trop longtemps, les joueurs, collectionneurs et organisateurs ont été contraints de jongler entre des outils fragmentés et des espaces non sécurisés. Nous existons pour changer cela.</w:t>
      </w:r>
    </w:p>
    <w:p>
      <w:pPr>
        <w:spacing w:after="120" w:line="360"/>
        <w:jc w:val="both"/>
      </w:pPr>
      <w:r>
        <w:rPr>
          <w:rFonts w:ascii="Times New Roman" w:cs="Times New Roman" w:eastAsia="Times New Roman" w:hAnsi="Times New Roman"/>
          <w:b/>
          <w:bCs/>
          <w:sz w:val="24"/>
          <w:szCs w:val="24"/>
        </w:rPr>
        <w:t xml:space="preserve">How (Comment) : </w:t>
      </w:r>
      <w:r>
        <w:rPr>
          <w:rFonts w:ascii="Times New Roman" w:cs="Times New Roman" w:eastAsia="Times New Roman" w:hAnsi="Times New Roman"/>
          <w:sz w:val="24"/>
          <w:szCs w:val="24"/>
        </w:rPr>
        <w:t xml:space="preserve">En créant une plateforme unique qui centralise la gestion de collection, les transactions et l’organisation de tournois, avec une expérience pensée par et pour la communauté francophone.</w:t>
      </w:r>
    </w:p>
    <w:p>
      <w:pPr>
        <w:spacing w:after="120" w:line="360"/>
        <w:jc w:val="both"/>
      </w:pPr>
      <w:r>
        <w:rPr>
          <w:rFonts w:ascii="Times New Roman" w:cs="Times New Roman" w:eastAsia="Times New Roman" w:hAnsi="Times New Roman"/>
          <w:b/>
          <w:bCs/>
          <w:sz w:val="24"/>
          <w:szCs w:val="24"/>
        </w:rPr>
        <w:t xml:space="preserve">What (Quoi) : </w:t>
      </w:r>
      <w:r>
        <w:rPr>
          <w:rFonts w:ascii="Times New Roman" w:cs="Times New Roman" w:eastAsia="Times New Roman" w:hAnsi="Times New Roman"/>
          <w:sz w:val="24"/>
          <w:szCs w:val="24"/>
        </w:rPr>
        <w:t xml:space="preserve">TCG Nexus est une plateforme web intégrée proposant un gestionnaire de collection, un marketplace sécurisé avec paiement intégré, un système d’organisation de tournois avec classement ELO, et des outils d’analyse stratégique.</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before="240" w:line="360"/>
        <w:jc w:val="left"/>
      </w:pPr>
      <w:r>
        <w:rPr>
          <w:rFonts w:ascii="Times New Roman" w:cs="Times New Roman" w:eastAsia="Times New Roman" w:hAnsi="Times New Roman"/>
          <w:b/>
          <w:bCs/>
          <w:sz w:val="26"/>
          <w:szCs w:val="26"/>
        </w:rPr>
        <w:t xml:space="preserve">4.2 Messages adaptés par cible</w:t>
      </w:r>
    </w:p>
    <w:p>
      <w:pPr>
        <w:spacing w:after="120" w:line="360"/>
        <w:jc w:val="both"/>
      </w:pPr>
      <w:r>
        <w:rPr>
          <w:rFonts w:ascii="Times New Roman" w:cs="Times New Roman" w:eastAsia="Times New Roman" w:hAnsi="Times New Roman"/>
          <w:b/>
          <w:bCs/>
          <w:sz w:val="24"/>
          <w:szCs w:val="24"/>
        </w:rPr>
        <w:t xml:space="preserve">Pour les joueurs compétitifs : </w:t>
      </w:r>
      <w:r>
        <w:rPr>
          <w:rFonts w:ascii="Times New Roman" w:cs="Times New Roman" w:eastAsia="Times New Roman" w:hAnsi="Times New Roman"/>
          <w:i/>
          <w:iCs/>
          <w:sz w:val="24"/>
          <w:szCs w:val="24"/>
        </w:rPr>
        <w:t xml:space="preserve">« Progressez, mesurez-vous, dominez. TCG Nexus vous donne les outils pour transformer votre passion en performance : classement ELO, analyse de decks et tournois structurés, le tout au même endroit. » Ce message active le levier de la compétition et de la progression personnelle. Il répond directement au besoin exprimé de suivi de performance et de structuration.</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bCs/>
          <w:sz w:val="24"/>
          <w:szCs w:val="24"/>
        </w:rPr>
        <w:t xml:space="preserve">Pour les collectionneurs : </w:t>
      </w:r>
      <w:r>
        <w:rPr>
          <w:rFonts w:ascii="Times New Roman" w:cs="Times New Roman" w:eastAsia="Times New Roman" w:hAnsi="Times New Roman"/>
          <w:i/>
          <w:iCs/>
          <w:sz w:val="24"/>
          <w:szCs w:val="24"/>
        </w:rPr>
        <w:t xml:space="preserve">« Votre collection mérite mieux qu’un tableur. Gérez, valorisez et échangez vos cartes en toute confiance sur TCG Nexus. » Ce message joue sur la sécurité et la reconnaissance de la valeur de leur collection. Il répond au frein principal identifié : le risque d’arnaque et le manque d’outils adaptés.</w:t>
      </w:r>
    </w:p>
    <w:p>
      <w:pPr>
        <w:spacing w:after="120" w:line="360"/>
        <w:jc w:val="both"/>
      </w:pPr>
      <w:r>
        <w:rPr>
          <w:rFonts w:ascii="Times New Roman" w:cs="Times New Roman" w:eastAsia="Times New Roman" w:hAnsi="Times New Roman"/>
          <w:b w:val="false"/>
          <w:bCs w:val="false"/>
          <w:i w:val="false"/>
          <w:iCs w:val="false"/>
          <w:sz w:val="24"/>
          <w:szCs w:val="24"/>
        </w:rPr>
        <w:t xml:space="preserve"/>
      </w:r>
    </w:p>
    <w:p>
      <w:pPr>
        <w:spacing w:after="120" w:line="360"/>
        <w:jc w:val="both"/>
      </w:pPr>
      <w:r>
        <w:rPr>
          <w:rFonts w:ascii="Times New Roman" w:cs="Times New Roman" w:eastAsia="Times New Roman" w:hAnsi="Times New Roman"/>
          <w:b/>
          <w:bCs/>
          <w:sz w:val="24"/>
          <w:szCs w:val="24"/>
        </w:rPr>
        <w:t xml:space="preserve">Pour les organisateurs et boutiques : </w:t>
      </w:r>
      <w:r>
        <w:rPr>
          <w:rFonts w:ascii="Times New Roman" w:cs="Times New Roman" w:eastAsia="Times New Roman" w:hAnsi="Times New Roman"/>
          <w:i/>
          <w:iCs/>
          <w:sz w:val="24"/>
          <w:szCs w:val="24"/>
        </w:rPr>
        <w:t xml:space="preserve">« Organisez vos tournois en quelques clics, attirez de nouveaux joueurs et professionnalisez votre communauté. TCG Nexus, l’outil clé en main pour vos événements. » Ce message met en avant la simplicité et l’effet réseau. Chaque tournoi créé sur la plateforme génère de la visibilité pour la boutique et attire de nouveaux utilisateurs.</w:t>
      </w:r>
    </w:p>
    <w:p>
      <w:pPr>
        <w:pageBreakBefore/>
        <w:spacing w:after="240" w:before="360" w:line="360"/>
        <w:jc w:val="left"/>
      </w:pPr>
      <w:r>
        <w:rPr>
          <w:rFonts w:ascii="Times New Roman" w:cs="Times New Roman" w:eastAsia="Times New Roman" w:hAnsi="Times New Roman"/>
          <w:b/>
          <w:bCs/>
          <w:sz w:val="28"/>
          <w:szCs w:val="28"/>
        </w:rPr>
        <w:t xml:space="preserve">5. Stratégies d’acquisition et plan d’action</w:t>
      </w:r>
    </w:p>
    <w:p>
      <w:pPr>
        <w:spacing w:after="120" w:line="360"/>
        <w:jc w:val="both"/>
      </w:pPr>
      <w:r>
        <w:rPr>
          <w:rFonts w:ascii="Times New Roman" w:cs="Times New Roman" w:eastAsia="Times New Roman" w:hAnsi="Times New Roman"/>
          <w:b w:val="false"/>
          <w:bCs w:val="false"/>
          <w:i w:val="false"/>
          <w:iCs w:val="false"/>
          <w:sz w:val="24"/>
          <w:szCs w:val="24"/>
        </w:rPr>
        <w:t xml:space="preserve">La stratégie de lancement repose sur une progression en trois phases : validation bêta (mois 1-2), expansion communautaire (mois 3-4), et consolidation (mois 5-6). Chaque cible bénéficie d’une stratégie d’acquisition spécifique, déployée sur les canaux identifiés dans la segmentation.</w:t>
      </w:r>
    </w:p>
    <w:p>
      <w:pPr>
        <w:spacing w:after="120" w:before="240" w:line="360"/>
        <w:jc w:val="left"/>
      </w:pPr>
      <w:r>
        <w:rPr>
          <w:rFonts w:ascii="Times New Roman" w:cs="Times New Roman" w:eastAsia="Times New Roman" w:hAnsi="Times New Roman"/>
          <w:b/>
          <w:bCs/>
          <w:sz w:val="26"/>
          <w:szCs w:val="26"/>
        </w:rPr>
        <w:t xml:space="preserve">5.1 Stratégie pour les joueurs compétitifs</w:t>
      </w:r>
    </w:p>
    <w:p>
      <w:pPr>
        <w:spacing w:after="120" w:line="360"/>
        <w:jc w:val="both"/>
      </w:pPr>
      <w:r>
        <w:rPr>
          <w:rFonts w:ascii="Times New Roman" w:cs="Times New Roman" w:eastAsia="Times New Roman" w:hAnsi="Times New Roman"/>
          <w:b/>
          <w:bCs/>
          <w:sz w:val="24"/>
          <w:szCs w:val="24"/>
        </w:rPr>
        <w:t xml:space="preserve">Canaux principaux : </w:t>
      </w:r>
      <w:r>
        <w:rPr>
          <w:rFonts w:ascii="Times New Roman" w:cs="Times New Roman" w:eastAsia="Times New Roman" w:hAnsi="Times New Roman"/>
          <w:sz w:val="24"/>
          <w:szCs w:val="24"/>
        </w:rPr>
        <w:t xml:space="preserve">Discord (serveurs TCG francophones : Carte Pokémon France, Pokémon TCG Pocket France, Altered TCG Francophone), Reddit (r/PokemonTCG, r/magicTCG, r/FrenchTCG), X/Twitter, YouTube et Twitch.</w:t>
      </w:r>
    </w:p>
    <w:p>
      <w:pPr>
        <w:spacing w:after="120" w:line="360"/>
        <w:jc w:val="both"/>
      </w:pPr>
      <w:r>
        <w:rPr>
          <w:rFonts w:ascii="Times New Roman" w:cs="Times New Roman" w:eastAsia="Times New Roman" w:hAnsi="Times New Roman"/>
          <w:b/>
          <w:bCs/>
          <w:sz w:val="24"/>
          <w:szCs w:val="24"/>
        </w:rPr>
        <w:t xml:space="preserve">Phase 1 – Validation bêta (mois 1-2) : </w:t>
      </w:r>
      <w:r>
        <w:rPr>
          <w:rFonts w:ascii="Times New Roman" w:cs="Times New Roman" w:eastAsia="Times New Roman" w:hAnsi="Times New Roman"/>
          <w:sz w:val="24"/>
          <w:szCs w:val="24"/>
        </w:rPr>
        <w:t xml:space="preserve">Recrutement de 50 bêta-testeurs issus des serveurs Discord francophones. Publication de posts ciblés sur Reddit avec démonstration de la fonctionnalité tournoi. Organisation de 3 tournois pilotes en ligne avec lots symboliques pour créer une première preuve sociale.</w:t>
      </w:r>
    </w:p>
    <w:p>
      <w:pPr>
        <w:spacing w:after="120" w:line="360"/>
        <w:jc w:val="both"/>
      </w:pPr>
      <w:r>
        <w:rPr>
          <w:rFonts w:ascii="Times New Roman" w:cs="Times New Roman" w:eastAsia="Times New Roman" w:hAnsi="Times New Roman"/>
          <w:b/>
          <w:bCs/>
          <w:sz w:val="24"/>
          <w:szCs w:val="24"/>
        </w:rPr>
        <w:t xml:space="preserve">Phase 2 – Expansion (mois 3-4) : </w:t>
      </w:r>
      <w:r>
        <w:rPr>
          <w:rFonts w:ascii="Times New Roman" w:cs="Times New Roman" w:eastAsia="Times New Roman" w:hAnsi="Times New Roman"/>
          <w:sz w:val="24"/>
          <w:szCs w:val="24"/>
        </w:rPr>
        <w:t xml:space="preserve">Partenariats avec 3-5 créateurs de contenu YouTube/Twitch francophones (cible : chaînes de 5 000 à 50 000 abonnés) pour des vidéos dédiées et des tournois sponsorisés. Création d’un compte X/Twitter dédié avec contenu régulier (résultats de tournois, analyses de decks, actualités TCG). Campagne de threads sur X présentant les fonctionnalités phares.</w:t>
      </w:r>
    </w:p>
    <w:p>
      <w:pPr>
        <w:spacing w:after="120" w:line="360"/>
        <w:jc w:val="both"/>
      </w:pPr>
      <w:r>
        <w:rPr>
          <w:rFonts w:ascii="Times New Roman" w:cs="Times New Roman" w:eastAsia="Times New Roman" w:hAnsi="Times New Roman"/>
          <w:b/>
          <w:bCs/>
          <w:sz w:val="24"/>
          <w:szCs w:val="24"/>
        </w:rPr>
        <w:t xml:space="preserve">Phase 3 – Consolidation (mois 5-6) : </w:t>
      </w:r>
      <w:r>
        <w:rPr>
          <w:rFonts w:ascii="Times New Roman" w:cs="Times New Roman" w:eastAsia="Times New Roman" w:hAnsi="Times New Roman"/>
          <w:sz w:val="24"/>
          <w:szCs w:val="24"/>
        </w:rPr>
        <w:t xml:space="preserve">Lancement de défis hebdomadaires et du classement ELO pour fidéliser. Programme d’ambassadeurs (joueurs actifs récompensés par des badges et de la visibilité). Création de contenu TikTok (clips courts de tournois, révélations de decks gagnants).</w:t>
      </w:r>
    </w:p>
    <w:p>
      <w:pPr>
        <w:spacing w:after="120" w:before="240" w:line="360"/>
        <w:jc w:val="left"/>
      </w:pPr>
      <w:r>
        <w:rPr>
          <w:rFonts w:ascii="Times New Roman" w:cs="Times New Roman" w:eastAsia="Times New Roman" w:hAnsi="Times New Roman"/>
          <w:b/>
          <w:bCs/>
          <w:sz w:val="26"/>
          <w:szCs w:val="26"/>
        </w:rPr>
        <w:t xml:space="preserve">5.2 Stratégie pour les collectionneurs</w:t>
      </w:r>
    </w:p>
    <w:p>
      <w:pPr>
        <w:spacing w:after="120" w:line="360"/>
        <w:jc w:val="both"/>
      </w:pPr>
      <w:r>
        <w:rPr>
          <w:rFonts w:ascii="Times New Roman" w:cs="Times New Roman" w:eastAsia="Times New Roman" w:hAnsi="Times New Roman"/>
          <w:b/>
          <w:bCs/>
          <w:sz w:val="24"/>
          <w:szCs w:val="24"/>
        </w:rPr>
        <w:t xml:space="preserve">Canaux principaux : </w:t>
      </w:r>
      <w:r>
        <w:rPr>
          <w:rFonts w:ascii="Times New Roman" w:cs="Times New Roman" w:eastAsia="Times New Roman" w:hAnsi="Times New Roman"/>
          <w:sz w:val="24"/>
          <w:szCs w:val="24"/>
        </w:rPr>
        <w:t xml:space="preserve">YouTube (chaînes d’ouverture de boosters), Instagram (communauté visuelle TCG), Facebook (groupes de collectionneurs : Pokémon TCG France, Collectionneurs de cartes), Discord.</w:t>
      </w:r>
    </w:p>
    <w:p>
      <w:pPr>
        <w:spacing w:after="120" w:line="360"/>
        <w:jc w:val="both"/>
      </w:pPr>
      <w:r>
        <w:rPr>
          <w:rFonts w:ascii="Times New Roman" w:cs="Times New Roman" w:eastAsia="Times New Roman" w:hAnsi="Times New Roman"/>
          <w:b/>
          <w:bCs/>
          <w:sz w:val="24"/>
          <w:szCs w:val="24"/>
        </w:rPr>
        <w:t xml:space="preserve">Phase 1 – Validation bêta (mois 1-2) : </w:t>
      </w:r>
      <w:r>
        <w:rPr>
          <w:rFonts w:ascii="Times New Roman" w:cs="Times New Roman" w:eastAsia="Times New Roman" w:hAnsi="Times New Roman"/>
          <w:sz w:val="24"/>
          <w:szCs w:val="24"/>
        </w:rPr>
        <w:t xml:space="preserve">Invitation de 30 collectionneurs identifiés sur les groupes Facebook et Discord pour tester le module collection et marketplace. Recueil de témoignages vidéo pour créer du contenu authentique.</w:t>
      </w:r>
    </w:p>
    <w:p>
      <w:pPr>
        <w:spacing w:after="120" w:line="360"/>
        <w:jc w:val="both"/>
      </w:pPr>
      <w:r>
        <w:rPr>
          <w:rFonts w:ascii="Times New Roman" w:cs="Times New Roman" w:eastAsia="Times New Roman" w:hAnsi="Times New Roman"/>
          <w:b/>
          <w:bCs/>
          <w:sz w:val="24"/>
          <w:szCs w:val="24"/>
        </w:rPr>
        <w:t xml:space="preserve">Phase 2 – Expansion (mois 3-4) : </w:t>
      </w:r>
      <w:r>
        <w:rPr>
          <w:rFonts w:ascii="Times New Roman" w:cs="Times New Roman" w:eastAsia="Times New Roman" w:hAnsi="Times New Roman"/>
          <w:sz w:val="24"/>
          <w:szCs w:val="24"/>
        </w:rPr>
        <w:t xml:space="preserve">Création d’un compte Instagram avec contenu visuel (collections mises en valeur, cartes rares, comparatifs de prix). Partenariats avec des YouTubeurs spécialisés dans l’ouverture de boosters et le grading. Publication d’articles de blog sur la valorisation des collections (SEO ciblé : « valeur carte Pokémon », « prix carte rare », « gestion collection TCG »).</w:t>
      </w:r>
    </w:p>
    <w:p>
      <w:pPr>
        <w:spacing w:after="120" w:line="360"/>
        <w:jc w:val="both"/>
      </w:pPr>
      <w:r>
        <w:rPr>
          <w:rFonts w:ascii="Times New Roman" w:cs="Times New Roman" w:eastAsia="Times New Roman" w:hAnsi="Times New Roman"/>
          <w:b/>
          <w:bCs/>
          <w:sz w:val="24"/>
          <w:szCs w:val="24"/>
        </w:rPr>
        <w:t xml:space="preserve">Phase 3 – Consolidation (mois 5-6) : </w:t>
      </w:r>
      <w:r>
        <w:rPr>
          <w:rFonts w:ascii="Times New Roman" w:cs="Times New Roman" w:eastAsia="Times New Roman" w:hAnsi="Times New Roman"/>
          <w:sz w:val="24"/>
          <w:szCs w:val="24"/>
        </w:rPr>
        <w:t xml:space="preserve">Lancement du système de recommandation (« cartes manquantes pour compléter votre set ») pour maximiser l’engagement. Intégration d’un outil d’estimation de la valeur de la collection pour générer du bouche-à-oreille.</w:t>
      </w:r>
    </w:p>
    <w:p>
      <w:pPr>
        <w:spacing w:after="120" w:before="240" w:line="360"/>
        <w:jc w:val="left"/>
      </w:pPr>
      <w:r>
        <w:rPr>
          <w:rFonts w:ascii="Times New Roman" w:cs="Times New Roman" w:eastAsia="Times New Roman" w:hAnsi="Times New Roman"/>
          <w:b/>
          <w:bCs/>
          <w:sz w:val="26"/>
          <w:szCs w:val="26"/>
        </w:rPr>
        <w:t xml:space="preserve">5.3 Stratégie pour les organisateurs et boutiques</w:t>
      </w:r>
    </w:p>
    <w:p>
      <w:pPr>
        <w:spacing w:after="120" w:line="360"/>
        <w:jc w:val="both"/>
      </w:pPr>
      <w:r>
        <w:rPr>
          <w:rFonts w:ascii="Times New Roman" w:cs="Times New Roman" w:eastAsia="Times New Roman" w:hAnsi="Times New Roman"/>
          <w:b/>
          <w:bCs/>
          <w:sz w:val="24"/>
          <w:szCs w:val="24"/>
        </w:rPr>
        <w:t xml:space="preserve">Canaux principaux : </w:t>
      </w:r>
      <w:r>
        <w:rPr>
          <w:rFonts w:ascii="Times New Roman" w:cs="Times New Roman" w:eastAsia="Times New Roman" w:hAnsi="Times New Roman"/>
          <w:sz w:val="24"/>
          <w:szCs w:val="24"/>
        </w:rPr>
        <w:t xml:space="preserve">Démarchage direct (email, visite en boutique), Facebook (pages de boutiques), Google Maps (référencement local), salons et conventions (Paris Manga, Japan Expo, événements locaux).</w:t>
      </w:r>
    </w:p>
    <w:p>
      <w:pPr>
        <w:spacing w:after="120" w:line="360"/>
        <w:jc w:val="both"/>
      </w:pPr>
      <w:r>
        <w:rPr>
          <w:rFonts w:ascii="Times New Roman" w:cs="Times New Roman" w:eastAsia="Times New Roman" w:hAnsi="Times New Roman"/>
          <w:b/>
          <w:bCs/>
          <w:sz w:val="24"/>
          <w:szCs w:val="24"/>
        </w:rPr>
        <w:t xml:space="preserve">Phase 1 – Validation bêta (mois 1-2) : </w:t>
      </w:r>
      <w:r>
        <w:rPr>
          <w:rFonts w:ascii="Times New Roman" w:cs="Times New Roman" w:eastAsia="Times New Roman" w:hAnsi="Times New Roman"/>
          <w:sz w:val="24"/>
          <w:szCs w:val="24"/>
        </w:rPr>
        <w:t xml:space="preserve">Identification de 10-15 boutiques spécialisées en Île-de-France et grandes métropoles. Contact direct par email personnalisé et visite en boutique pour proposer un partenariat pilote gratuit. Objectif : 5 boutiques partenaires au lancement.</w:t>
      </w:r>
    </w:p>
    <w:p>
      <w:pPr>
        <w:spacing w:after="120" w:line="360"/>
        <w:jc w:val="both"/>
      </w:pPr>
      <w:r>
        <w:rPr>
          <w:rFonts w:ascii="Times New Roman" w:cs="Times New Roman" w:eastAsia="Times New Roman" w:hAnsi="Times New Roman"/>
          <w:b/>
          <w:bCs/>
          <w:sz w:val="24"/>
          <w:szCs w:val="24"/>
        </w:rPr>
        <w:t xml:space="preserve">Phase 2 – Expansion (mois 3-4) : </w:t>
      </w:r>
      <w:r>
        <w:rPr>
          <w:rFonts w:ascii="Times New Roman" w:cs="Times New Roman" w:eastAsia="Times New Roman" w:hAnsi="Times New Roman"/>
          <w:sz w:val="24"/>
          <w:szCs w:val="24"/>
        </w:rPr>
        <w:t xml:space="preserve">Élargissement géographique avec 15 boutiques supplémentaires. Création d’un kit de communication (affiches, QR codes, supports numériques) pour les boutiques partenaires. Présence sur les salons spécialisés avec un stand de démonstration.</w:t>
      </w:r>
    </w:p>
    <w:p>
      <w:pPr>
        <w:spacing w:after="120" w:line="360"/>
        <w:jc w:val="both"/>
      </w:pPr>
      <w:r>
        <w:rPr>
          <w:rFonts w:ascii="Times New Roman" w:cs="Times New Roman" w:eastAsia="Times New Roman" w:hAnsi="Times New Roman"/>
          <w:b/>
          <w:bCs/>
          <w:sz w:val="24"/>
          <w:szCs w:val="24"/>
        </w:rPr>
        <w:t xml:space="preserve">Phase 3 – Consolidation (mois 5-6) : </w:t>
      </w:r>
      <w:r>
        <w:rPr>
          <w:rFonts w:ascii="Times New Roman" w:cs="Times New Roman" w:eastAsia="Times New Roman" w:hAnsi="Times New Roman"/>
          <w:sz w:val="24"/>
          <w:szCs w:val="24"/>
        </w:rPr>
        <w:t xml:space="preserve">Lancement d’un programme « Boutique Partenaire » avec badge visible sur la plateforme, mise en avant dans le moteur de recherche de tournois, et statistiques d’impact (nombre de joueurs attirés, inscriptions générées).</w:t>
      </w:r>
    </w:p>
    <w:p>
      <w:pPr>
        <w:spacing w:after="120" w:before="240" w:line="360"/>
        <w:jc w:val="left"/>
      </w:pPr>
      <w:r>
        <w:rPr>
          <w:rFonts w:ascii="Times New Roman" w:cs="Times New Roman" w:eastAsia="Times New Roman" w:hAnsi="Times New Roman"/>
          <w:b/>
          <w:bCs/>
          <w:sz w:val="26"/>
          <w:szCs w:val="26"/>
        </w:rPr>
        <w:t xml:space="preserve">5.4 Application des principes d’influence sociale</w:t>
      </w:r>
    </w:p>
    <w:p>
      <w:pPr>
        <w:spacing w:after="120" w:line="360"/>
        <w:jc w:val="both"/>
      </w:pPr>
      <w:r>
        <w:rPr>
          <w:rFonts w:ascii="Times New Roman" w:cs="Times New Roman" w:eastAsia="Times New Roman" w:hAnsi="Times New Roman"/>
          <w:b w:val="false"/>
          <w:bCs w:val="false"/>
          <w:i w:val="false"/>
          <w:iCs w:val="false"/>
          <w:sz w:val="24"/>
          <w:szCs w:val="24"/>
        </w:rPr>
        <w:t xml:space="preserve">La stratégie de lancement intègre les six principes d’influence sociale décrits par Robert Cialdini, appliqués concrètement à chaque étape de la diffusion du produit.</w:t>
      </w:r>
    </w:p>
    <w:p>
      <w:pPr>
        <w:spacing w:after="120" w:line="360"/>
        <w:jc w:val="both"/>
      </w:pPr>
      <w:r>
        <w:rPr>
          <w:rFonts w:ascii="Times New Roman" w:cs="Times New Roman" w:eastAsia="Times New Roman" w:hAnsi="Times New Roman"/>
          <w:b/>
          <w:bCs/>
          <w:sz w:val="24"/>
          <w:szCs w:val="24"/>
        </w:rPr>
        <w:t xml:space="preserve">Preuve sociale : </w:t>
      </w:r>
      <w:r>
        <w:rPr>
          <w:rFonts w:ascii="Times New Roman" w:cs="Times New Roman" w:eastAsia="Times New Roman" w:hAnsi="Times New Roman"/>
          <w:sz w:val="24"/>
          <w:szCs w:val="24"/>
        </w:rPr>
        <w:t xml:space="preserve">l’affichage du nombre de joueurs inscrits, de tournois organisés et de transactions réalisées sur la page d’accueil crée un effet d’entraînement. Les témoignages vidéo des bêta-testeurs et les résultats des tournois pilotes renforcent la crédibilité.</w:t>
      </w:r>
    </w:p>
    <w:p>
      <w:pPr>
        <w:spacing w:after="120" w:line="360"/>
        <w:jc w:val="both"/>
      </w:pPr>
      <w:r>
        <w:rPr>
          <w:rFonts w:ascii="Times New Roman" w:cs="Times New Roman" w:eastAsia="Times New Roman" w:hAnsi="Times New Roman"/>
          <w:b/>
          <w:bCs/>
          <w:sz w:val="24"/>
          <w:szCs w:val="24"/>
        </w:rPr>
        <w:t xml:space="preserve">Engagement et cohérence : </w:t>
      </w:r>
      <w:r>
        <w:rPr>
          <w:rFonts w:ascii="Times New Roman" w:cs="Times New Roman" w:eastAsia="Times New Roman" w:hAnsi="Times New Roman"/>
          <w:sz w:val="24"/>
          <w:szCs w:val="24"/>
        </w:rPr>
        <w:t xml:space="preserve">le processus d’inscription gratuit et la création d’un profil avec collection constituent un premier petit engagement. Une fois que l’utilisateur a investi du temps pour cataloguer ses cartes, il est naturellement incité à rester sur la plateforme (effet d’engagement progressif).</w:t>
      </w:r>
    </w:p>
    <w:p>
      <w:pPr>
        <w:spacing w:after="120" w:line="360"/>
        <w:jc w:val="both"/>
      </w:pPr>
      <w:r>
        <w:rPr>
          <w:rFonts w:ascii="Times New Roman" w:cs="Times New Roman" w:eastAsia="Times New Roman" w:hAnsi="Times New Roman"/>
          <w:b/>
          <w:bCs/>
          <w:sz w:val="24"/>
          <w:szCs w:val="24"/>
        </w:rPr>
        <w:t xml:space="preserve">Autorité : </w:t>
      </w:r>
      <w:r>
        <w:rPr>
          <w:rFonts w:ascii="Times New Roman" w:cs="Times New Roman" w:eastAsia="Times New Roman" w:hAnsi="Times New Roman"/>
          <w:sz w:val="24"/>
          <w:szCs w:val="24"/>
        </w:rPr>
        <w:t xml:space="preserve">les partenariats avec des créateurs de contenu reconnus dans la communauté TCG et des boutiques spécialisées confèrent une légitimité à la plateforme. Le classement ELO, inspiré du système utilisé aux échecs, apporte une crédibilité institutionnelle.</w:t>
      </w:r>
    </w:p>
    <w:p>
      <w:pPr>
        <w:spacing w:after="120" w:line="360"/>
        <w:jc w:val="both"/>
      </w:pPr>
      <w:r>
        <w:rPr>
          <w:rFonts w:ascii="Times New Roman" w:cs="Times New Roman" w:eastAsia="Times New Roman" w:hAnsi="Times New Roman"/>
          <w:b/>
          <w:bCs/>
          <w:sz w:val="24"/>
          <w:szCs w:val="24"/>
        </w:rPr>
        <w:t xml:space="preserve">Sympathie : </w:t>
      </w:r>
      <w:r>
        <w:rPr>
          <w:rFonts w:ascii="Times New Roman" w:cs="Times New Roman" w:eastAsia="Times New Roman" w:hAnsi="Times New Roman"/>
          <w:sz w:val="24"/>
          <w:szCs w:val="24"/>
        </w:rPr>
        <w:t xml:space="preserve">la plateforme est développée par des passionnés pour des passionnés. La communication met en avant l’équipe, ses propres pratiques de jeu et de collection, créant un lien d’identification avec les utilisateurs.</w:t>
      </w:r>
    </w:p>
    <w:p>
      <w:pPr>
        <w:spacing w:after="120" w:line="360"/>
        <w:jc w:val="both"/>
      </w:pPr>
      <w:r>
        <w:rPr>
          <w:rFonts w:ascii="Times New Roman" w:cs="Times New Roman" w:eastAsia="Times New Roman" w:hAnsi="Times New Roman"/>
          <w:b/>
          <w:bCs/>
          <w:sz w:val="24"/>
          <w:szCs w:val="24"/>
        </w:rPr>
        <w:t xml:space="preserve">Rareté : </w:t>
      </w:r>
      <w:r>
        <w:rPr>
          <w:rFonts w:ascii="Times New Roman" w:cs="Times New Roman" w:eastAsia="Times New Roman" w:hAnsi="Times New Roman"/>
          <w:sz w:val="24"/>
          <w:szCs w:val="24"/>
        </w:rPr>
        <w:t xml:space="preserve">le programme d’ambassadeurs est limité à un nombre restreint de places. Les premiers inscrits bénéficient de badges exclusifs « Early Adopter » visibles sur leur profil, créant un effet d’urgence à l’inscription.</w:t>
      </w:r>
    </w:p>
    <w:p>
      <w:pPr>
        <w:spacing w:after="120" w:line="360"/>
        <w:jc w:val="both"/>
      </w:pPr>
      <w:r>
        <w:rPr>
          <w:rFonts w:ascii="Times New Roman" w:cs="Times New Roman" w:eastAsia="Times New Roman" w:hAnsi="Times New Roman"/>
          <w:b/>
          <w:bCs/>
          <w:sz w:val="24"/>
          <w:szCs w:val="24"/>
        </w:rPr>
        <w:t xml:space="preserve">Réciprocité : </w:t>
      </w:r>
      <w:r>
        <w:rPr>
          <w:rFonts w:ascii="Times New Roman" w:cs="Times New Roman" w:eastAsia="Times New Roman" w:hAnsi="Times New Roman"/>
          <w:sz w:val="24"/>
          <w:szCs w:val="24"/>
        </w:rPr>
        <w:t xml:space="preserve">la plateforme est entièrement gratuite au lancement. L’accès libre à toutes les fonctionnalités crée un sentiment de dette positive chez les utilisateurs, les incitant à recommander la plateforme et à contribuer activement à la communauté.</w:t>
      </w:r>
    </w:p>
    <w:p>
      <w:pPr>
        <w:pageBreakBefore/>
        <w:spacing w:after="240" w:before="360" w:line="360"/>
        <w:jc w:val="left"/>
      </w:pPr>
      <w:r>
        <w:rPr>
          <w:rFonts w:ascii="Times New Roman" w:cs="Times New Roman" w:eastAsia="Times New Roman" w:hAnsi="Times New Roman"/>
          <w:b/>
          <w:bCs/>
          <w:sz w:val="28"/>
          <w:szCs w:val="28"/>
        </w:rPr>
        <w:t xml:space="preserve">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TCG Nexus s’inscrit dans un marché en croissance soutenue, estimé entre 7 et 14 milliards de dollars selon les sources, et marqué par une fragmentation persistante des outils utilisés par les passionnés. La version bêta actuelle permet déjà de répondre à des besoins clairement identifiés lors d’une étude exploratoire qualitative menée auprès de joueurs, collectionneurs et organisateurs.</w:t>
      </w:r>
    </w:p>
    <w:p>
      <w:pPr>
        <w:spacing w:after="120" w:line="360"/>
        <w:jc w:val="both"/>
      </w:pPr>
      <w:r>
        <w:rPr>
          <w:rFonts w:ascii="Times New Roman" w:cs="Times New Roman" w:eastAsia="Times New Roman" w:hAnsi="Times New Roman"/>
          <w:b w:val="false"/>
          <w:bCs w:val="false"/>
          <w:i w:val="false"/>
          <w:iCs w:val="false"/>
          <w:sz w:val="24"/>
          <w:szCs w:val="24"/>
        </w:rPr>
        <w:t xml:space="preserve">La stratégie de lancement repose sur une segmentation claire en trois cibles prioritaires, des messages adaptés reflétant le « Why » de la plateforme, et des plans d’acquisition concrets déployés en trois phases progressives. L’application des principes d’influence sociale de Cialdini structure l’ensemble de la démarche, de l’acquisition à la fidélisation.</w:t>
      </w:r>
    </w:p>
    <w:p>
      <w:pPr>
        <w:spacing w:after="120" w:line="360"/>
        <w:jc w:val="both"/>
      </w:pPr>
      <w:r>
        <w:rPr>
          <w:rFonts w:ascii="Times New Roman" w:cs="Times New Roman" w:eastAsia="Times New Roman" w:hAnsi="Times New Roman"/>
          <w:b w:val="false"/>
          <w:bCs w:val="false"/>
          <w:i w:val="false"/>
          <w:iCs w:val="false"/>
          <w:sz w:val="24"/>
          <w:szCs w:val="24"/>
        </w:rPr>
        <w:t xml:space="preserve">Le développement futur intégrera des fonctionnalités avancées (analyse de decks par IA, comparateur, système de défis), mais la priorité actuelle consiste à consolider la base communautaire et à valider l’adoption des usages fondamentaux avant d’étendre l’offre.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TCG Nexus – Plan de lancement produit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2026-02-27T15:26:33.390Z</dcterms:created>
  <dcterms:modified xsi:type="dcterms:W3CDTF">2026-02-27T15:26:33.390Z</dcterms:modified>
</cp:coreProperties>
</file>

<file path=docProps/custom.xml><?xml version="1.0" encoding="utf-8"?>
<Properties xmlns="http://schemas.openxmlformats.org/officeDocument/2006/custom-properties" xmlns:vt="http://schemas.openxmlformats.org/officeDocument/2006/docPropsVTypes"/>
</file>