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1E3A5F"/>
          <w:sz w:val="36"/>
        </w:rPr>
        <w:t>S-003 — Store Email Messages</w:t>
      </w:r>
    </w:p>
    <w:p>
      <w:pPr>
        <w:spacing w:before="40" w:after="40"/>
      </w:pPr>
      <w:r>
        <w:rPr>
          <w:rFonts w:ascii="Arial" w:hAnsi="Arial"/>
          <w:sz w:val="20"/>
        </w:rPr>
        <w:t>EPIC-04 | Sprint 1 | P0 — Critical | Est: 3 days</w:t>
      </w:r>
    </w:p>
    <w:p>
      <w:pPr>
        <w:spacing w:before="40" w:after="40"/>
      </w:pPr>
      <w:r>
        <w:rPr>
          <w:rFonts w:ascii="Arial" w:hAnsi="Arial"/>
          <w:b/>
          <w:color w:val="424242"/>
          <w:sz w:val="16"/>
        </w:rPr>
        <w:t>──────────────────────────────────────────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1. STORY ID + TITLE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0"/>
        <w:gridCol w:w="4820"/>
      </w:tblGrid>
      <w:tr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Field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b/>
                <w:sz w:val="17"/>
              </w:rPr>
              <w:t>Value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Story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S-003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WROS ID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Title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Store Email Messages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EPIC-04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Sprint 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Week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W1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Priority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P0 — Critical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Owner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Lead BA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Assignee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Backend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Est. Days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3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Depends On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HRMS-0402 complete — conversation_messages table exists with all columns. Email inbound parse webhook configured (SendGrid Inbound Parse or Mailgun routes).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Blocks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HRMS-0405 Timeline UI, HRMS-0413 Email First Engagement, HRMS-0419 Conversation Summary</w:t>
            </w:r>
          </w:p>
        </w:tc>
      </w:tr>
      <w:tr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Status</w:t>
            </w:r>
          </w:p>
        </w:tc>
        <w:tc>
          <w:tcPr>
            <w:tcW w:type="dxa" w:w="4820"/>
          </w:tcPr>
          <w:p>
            <w:r>
              <w:rPr>
                <w:rFonts w:ascii="Arial" w:hAnsi="Arial"/>
                <w:sz w:val="17"/>
              </w:rPr>
              <w:t>Planned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2. WHY THIS EXISTS</w:t>
      </w:r>
    </w:p>
    <w:p>
      <w:pPr>
        <w:spacing w:before="60" w:after="100"/>
      </w:pPr>
      <w:r>
        <w:rPr>
          <w:rFonts w:ascii="Arial" w:hAnsi="Arial"/>
          <w:sz w:val="20"/>
        </w:rPr>
        <w:t>Email is the second primary channel Thunder uses to engage candidates. Some candidates respond only to email, not WhatsApp. Without email storage, the system would send repeated follow-ups to candidates who already replied — breaking trust with every candidate it does this to.</w:t>
      </w:r>
    </w:p>
    <w:p>
      <w:pPr>
        <w:spacing w:before="60" w:after="100"/>
      </w:pPr>
      <w:r>
        <w:rPr>
          <w:rFonts w:ascii="Arial" w:hAnsi="Arial"/>
          <w:sz w:val="20"/>
        </w:rPr>
        <w:t>This story extends the same conversation_messages table from HRMS-0402 with email-specific columns and builds an inbound email webhook. The channel value changes from WHATSAPP to EMAIL. Everything else — dedup, tenant isolation, event emission — follows the exact same pattern.</w:t>
      </w:r>
    </w:p>
    <w:p>
      <w:pPr>
        <w:spacing w:before="60" w:after="100"/>
      </w:pPr>
      <w:r>
        <w:rPr>
          <w:rFonts w:ascii="Arial" w:hAnsi="Arial"/>
          <w:sz w:val="20"/>
        </w:rPr>
        <w:t>The critical rule: message_body must always contain plain text only. The original HTML goes in email_html_body. Thunder's AI reads message_body. If HTML is stored in message_body, every AI response will be broken.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3. WHAT YOU ARE BUILDING</w:t>
      </w:r>
    </w:p>
    <w:p>
      <w:pPr>
        <w:spacing w:before="60" w:after="100"/>
      </w:pPr>
      <w:r>
        <w:rPr>
          <w:rFonts w:ascii="Arial" w:hAnsi="Arial"/>
          <w:sz w:val="20"/>
        </w:rPr>
        <w:t>Build: (1) Add email-specific columns to conversation_messages. (2) POST /api/webhooks/email — receives parsed inbound emails from email provider. (3) storeOutboundEmailMessage() — reusable function for all email sends. (4) Email attachment handling — download from provider, upload to S3.</w:t>
      </w:r>
    </w:p>
    <w:p>
      <w:pPr>
        <w:spacing w:before="60" w:after="100"/>
      </w:pPr>
      <w:r>
        <w:rPr>
          <w:rFonts w:ascii="Arial" w:hAnsi="Arial"/>
          <w:sz w:val="20"/>
        </w:rPr>
        <w:t>message_body = plain text always. email_html_body = raw HTML for display. These are two separate fields. Never mix them.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4. BEFORE YOU START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Do NOT write a single line of code until every item below is confirmed complete.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HRMS-0402 complete — conversation_messages table exists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Email provider inbound parse configured to POST to /api/webhooks/email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Sending domain (e.g. thunder@blitzenx.com) verified with email provider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RFC 2822 Message-ID and In-Reply-To headers understood — used for deduplication and thread linking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Webhook signature validation method for your chosen email provider is documented and understood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5. STEP-BY-STEP EXECUTION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Follow these steps in exact order. If a step is unclear, ask the lead BA — never assume.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1: Add email-specific columns to conversation_messages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ALTER TABLE conversation_messages ADD COLUMN IF NOT EXISTS email_message_id VARCHAR(500) UNIQUE nullable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COLUMN IF NOT EXISTS email_subject VARCHAR(500)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COLUMN IF NOT EXISTS email_from VARCHAR(500)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COLUMN IF NOT EXISTS email_to VARCHAR(500)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COLUMN IF NOT EXISTS email_html_body TEXT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COLUMN IF NOT EXISTS email_in_reply_to VARCHAR(500)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COLUMN IF NOT EXISTS email_attachments JSONB nullable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Add index on email_message_id. Run migration on staging first.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2: Build POST /api/webhooks/email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HTTP 200 immediately. Process asynchronously.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Validate webhook signature from email provider header (SendGrid uses X-Twilio-Email-Event-Webhook-Signature, Mailgun uses X-Mailgun-Signature).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Parse payload: from_email, to_email, subject, text body, html body, Message-ID header, In-Reply-To header, attachments[]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Normalize from_email to lowercase. Derive tenant_id from to_email (e.g. thunder+blitzenx@wros.io → parse tenant code from subaddress).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Look up candidate by from_email + tenant_id. If not found: log UNKNOWN_EMAIL_SENDER, stop.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Dedup: if email_message_id already exists: skip INSERT, return.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Strip all HTML from html body → plain text for message_body. If stripping produces empty string: set message_body='[Non-text email received]'. Never null.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 conversation_messages: direction=INBOUND, channel=EMAIL, sender_type=CANDIDATE, message_body=plain text, email_html_body=raw HTML, email_message_id=Message-ID (trim angle brackets from &lt;id@domain&gt;), email_in_reply_to=In-Reply-To header (trimmed)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Handle attachments (Step 3). Publish event: message.received { channel:'EMAIL' }.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3: Handle email attachments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For each attachment: download binary from provider's attachment URL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Upload to S3: /candidates/{candidate_id}/email_attachments/{timestamp}_{filename}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Build JSON object: { filename, s3_url, mime_type, size_bytes }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UPDATE conversation_messages.email_attachments = JSON array of all attachment objects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file is PDF or DOCX: publish event candidate.document_received { candidate_id, document_url, source:'EMAIL' } for HRMS-0427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download or upload fails: store message without attachments, log ATTACHMENT_UPLOAD_FAILED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4: Build storeOutboundEmailMessage() reusable function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storeOutboundEmailMessage({ conversation_id, candidate_id, tenant_id, sender_type, message_body, email_subject, email_to, email_from, email_html_body, email_message_id })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INSERT: direction=OUTBOUND, channel=EMAIL, delivery_status=SENT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Return created record. Called by HRMS-0413 and all future email sends.</w:t>
      </w:r>
    </w:p>
    <w:p>
      <w:pPr>
        <w:spacing w:before="160" w:after="40"/>
      </w:pPr>
      <w:r>
        <w:rPr>
          <w:rFonts w:ascii="Arial" w:hAnsi="Arial"/>
          <w:b/>
          <w:color w:val="1E3A5F"/>
          <w:sz w:val="22"/>
        </w:rPr>
        <w:t>Step 5: Handle email open tracking (best-effort)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If email provider sends open events to POST /api/webhooks/email/events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On open event: find record by email_message_id, UPDATE delivery_status=READ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Best-effort only — if provider does not send it, delivery_status stays SENT. No complex logic here.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6A. UI FIELDS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field below: implement exactly as specified. Type, length, error messages are requirements — not suggestions.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Field Name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Type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Required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Max Length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Placeholder / Default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Validation / Error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 UI in this story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N/A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Backend only. Email display is in HRMS-0405 timeline.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6B. BUSINESS RULES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Every rule is non-negotiable. If in doubt, escalate to lead BA — never silently skip a rule.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BR-01: Deduplication via email_message_id</w:t>
      </w:r>
    </w:p>
    <w:p>
      <w:pPr>
        <w:spacing w:before="20" w:after="40"/>
      </w:pPr>
      <w:r>
        <w:rPr>
          <w:rFonts w:ascii="Arial" w:hAnsi="Arial"/>
          <w:sz w:val="19"/>
        </w:rPr>
        <w:t>RFC 2822 Message-ID is globally unique per email. Before INSERT: check if email_message_id already exists. If yes: skip and return success. UNIQUE constraint is the safety net.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email_message_id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BR-02: Plain Text in message_body — Always — No Exceptions</w:t>
      </w:r>
    </w:p>
    <w:p>
      <w:pPr>
        <w:spacing w:before="20" w:after="40"/>
      </w:pPr>
      <w:r>
        <w:rPr>
          <w:rFonts w:ascii="Arial" w:hAnsi="Arial"/>
          <w:sz w:val="19"/>
        </w:rPr>
        <w:t>message_body must contain only plain text. Strip all HTML before storing. Original HTML goes in email_html_body. Thunder's AI reads message_body. HTML in message_body = broken AI. This rule has zero exceptions.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message_body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BR-03: Empty Body Must Use Placeholder — Never Null</w:t>
      </w:r>
    </w:p>
    <w:p>
      <w:pPr>
        <w:spacing w:before="20" w:after="40"/>
      </w:pPr>
      <w:r>
        <w:rPr>
          <w:rFonts w:ascii="Arial" w:hAnsi="Arial"/>
          <w:sz w:val="19"/>
        </w:rPr>
        <w:t>If HTML stripping produces empty string (image-only or emoji-only email): set message_body='[Non-text email received]'. Never store null message_body for a real email message.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message_body</w:t>
      </w:r>
    </w:p>
    <w:p>
      <w:pPr>
        <w:spacing w:before="120" w:after="20"/>
      </w:pPr>
      <w:r>
        <w:rPr>
          <w:rFonts w:ascii="Arial" w:hAnsi="Arial"/>
          <w:b/>
          <w:color w:val="B71C1C"/>
          <w:sz w:val="20"/>
        </w:rPr>
        <w:t>BR-04: Tenant Routing via To Address</w:t>
      </w:r>
    </w:p>
    <w:p>
      <w:pPr>
        <w:spacing w:before="20" w:after="40"/>
      </w:pPr>
      <w:r>
        <w:rPr>
          <w:rFonts w:ascii="Arial" w:hAnsi="Arial"/>
          <w:sz w:val="19"/>
        </w:rPr>
        <w:t>Parse to_email to identify tenant_id. Each tenant has a unique inbound address or subaddress. Reject without resolvable tenant. Log UNRESOLVABLE_TENANT.</w:t>
      </w:r>
    </w:p>
    <w:p>
      <w:pPr>
        <w:spacing w:before="0" w:after="80"/>
      </w:pPr>
      <w:r>
        <w:rPr>
          <w:rFonts w:ascii="Arial" w:hAnsi="Arial"/>
          <w:sz w:val="18"/>
        </w:rPr>
        <w:t xml:space="preserve">  ↳ Triggered by field: email_to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6C. INTEGRATIONS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System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Direction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Trigger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Data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Auth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On Failure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 Provider Inbound Parse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Inbound webhook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Candidate replies to Thunder's email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Parsed payload: from, to, subject, text, html, headers, attachments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Provider-specific signature header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Return HTTP 200 within 5s. Process async.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 Provider Send API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System sends email to candidate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To, from, subject, HTML body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API key env variable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Log OUTBOUND_EMAIL_FAILED. delivery_status=FAILED in conversation_messages.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AWS S3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Outbound upload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 attachment received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Binary file upload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IAM role or access keys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Log ATTACHMENT_UPLOAD_FAILED. Store message without attachment URL.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 Event Bus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Publish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After each message stored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message.received { channel:'EMAIL' }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Internal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Non-blocking.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6D. DATA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Source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Field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Target Table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b/>
                <w:sz w:val="17"/>
              </w:rPr>
              <w:t>Transform / Rule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Message-ID header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Inbound email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email_message_id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Trim angle brackets: &lt;id@domain&gt; → id@domain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from email address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Inbound email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email_from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Normalize to lowercase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text 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Inbound email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message_body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Plain text only. If null: strip HTML. If empty: '[Non-text email received]'.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html 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Inbound email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email_html_body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Raw HTML — direct copy, no processing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In-Reply-To header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Inbound email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email_in_reply_to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conversation_messages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Trim angle brackets</w:t>
            </w:r>
          </w:p>
        </w:tc>
      </w:tr>
      <w:tr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from email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Inbound email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 lookup key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candidates</w:t>
            </w:r>
          </w:p>
        </w:tc>
        <w:tc>
          <w:tcPr>
            <w:tcW w:type="dxa" w:w="1928"/>
          </w:tcPr>
          <w:p>
            <w:r>
              <w:rPr>
                <w:rFonts w:ascii="Arial" w:hAnsi="Arial"/>
                <w:sz w:val="17"/>
              </w:rPr>
              <w:t>Lowercase. Filter by tenant_id derived from to_address.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7. ACCEPTANCE CRITERIA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Story is NOT done until EVERY checkbox below is signed off by QA.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POST /api/webhooks/email returns HTTP 200 within 5 seconds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Candidate reply stored: direction=INBOUND, channel=EMAIL, correct candidate_id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message_body contains plain text only — zero HTML tags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email_html_body contains original raw HTML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storeOutboundEmailMessage() stores direction=OUTBOUND, channel=EMAIL, delivery_status=SENT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Duplicate emails (same Message-ID) → only one record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 attachments uploaded to S3, email_attachments JSON array populated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Attachment upload failure → email still stored without attachment URL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Unknown sender → HTTP 200, UNKNOWN_EMAIL_SENDER logged, no record, no crash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message.received event published after inbound stored</w:t>
      </w:r>
    </w:p>
    <w:p>
      <w:pPr>
        <w:spacing w:before="60" w:after="60"/>
        <w:ind w:left="200"/>
      </w:pPr>
      <w:r>
        <w:rPr>
          <w:rFonts w:ascii="Arial" w:hAnsi="Arial"/>
          <w:sz w:val="20"/>
        </w:rPr>
        <w:t>☐  email_in_reply_to populated when In-Reply-To header present</w:t>
      </w:r>
    </w:p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8. TEST CASES</w:t>
      </w:r>
    </w:p>
    <w:p>
      <w:pPr>
        <w:spacing w:before="40" w:after="40"/>
      </w:pPr>
      <w:r>
        <w:rPr>
          <w:rFonts w:ascii="Arial" w:hAnsi="Arial"/>
          <w:sz w:val="19"/>
        </w:rPr>
        <w:t>Each test case maps to an Acceptance Criterion. QA runs ALL before marking story Done.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7"/>
        <w:gridCol w:w="1607"/>
        <w:gridCol w:w="1607"/>
        <w:gridCol w:w="1607"/>
        <w:gridCol w:w="1607"/>
        <w:gridCol w:w="1607"/>
      </w:tblGrid>
      <w:tr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TC ID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AC Ref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Scenario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Steps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Expected Result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b/>
                <w:sz w:val="17"/>
              </w:rPr>
              <w:t>Pass/Fail</w:t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Response time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valid email payload. Measure time.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200 under 5 seconds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TC-002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AC-2,3,4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Inbound reply stored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Simulate candidate reply. Check conversation_messages.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direction=INBOUND, channel=EMAIL, plain text body, HTML in separate column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TC-003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Deduplication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same payload twice (same Message-ID).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One record only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TC-004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AC-7,8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Attachment upload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email with PDF attachment.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S3 URL in email_attachments. candidate.document_received event.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TC-005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AC-9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Unknown sender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from unknown email.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HTTP 200. UNKNOWN_EMAIL_SENDER logged. No record.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  <w:tr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TC-006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AC-11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Reply threading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POST with In-Reply-To header.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  <w:t>email_in_reply_to = id without angle brackets</w:t>
            </w:r>
          </w:p>
        </w:tc>
        <w:tc>
          <w:tcPr>
            <w:tcW w:type="dxa" w:w="1607"/>
          </w:tcPr>
          <w:p>
            <w:r>
              <w:rPr>
                <w:rFonts w:ascii="Arial" w:hAnsi="Arial"/>
                <w:sz w:val="17"/>
              </w:rPr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1E3A5F"/>
          <w:sz w:val="26"/>
        </w:rPr>
        <w:t>9. WHAT NOT TO BUILD</w:t>
      </w:r>
    </w:p>
    <w:p>
      <w:pPr>
        <w:spacing w:before="60" w:after="60"/>
        <w:ind w:left="200"/>
      </w:pPr>
      <w:r>
        <w:rPr>
          <w:rFonts w:ascii="Arial" w:hAnsi="Arial"/>
          <w:color w:val="B71C1C"/>
          <w:sz w:val="19"/>
        </w:rPr>
        <w:t>▶  Building anything on this list = code review rejection.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email sending here — triggered by HRMS-0413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email templates UI — that is HRMS-0414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AI processing of email content — that is HRMS-0426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timeline UI — that is HRMS-0405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unsubscribe handling — later story</w:t>
      </w:r>
    </w:p>
    <w:p>
      <w:pPr>
        <w:pStyle w:val="ListBullet"/>
        <w:spacing w:before="20" w:after="20"/>
      </w:pPr>
      <w:r>
        <w:rPr>
          <w:rFonts w:ascii="Arial" w:hAnsi="Arial"/>
          <w:sz w:val="20"/>
        </w:rPr>
        <w:t>Do NOT build bulk email — this is transactional 1-to-1 only</w:t>
      </w:r>
    </w:p>
    <w:p>
      <w:pPr>
        <w:spacing w:before="400"/>
        <w:jc w:val="center"/>
      </w:pPr>
      <w:r>
        <w:rPr>
          <w:rFonts w:ascii="Arial" w:hAnsi="Arial"/>
          <w:color w:val="424242"/>
          <w:sz w:val="16"/>
        </w:rPr>
        <w:t>S-003 — Store Email Messages | WROS Batch 1 | BlitzenX Confidential</w:t>
      </w:r>
    </w:p>
    <w:sectPr w:rsidR="00FC693F" w:rsidRPr="0006063C" w:rsidSect="00034616">
      <w:pgSz w:w="12240" w:h="15840"/>
      <w:pgMar w:top="1000" w:right="1300" w:bottom="1000" w:left="13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