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S-026 — Candidate Response Parser</w:t>
      </w:r>
    </w:p>
    <w:p>
      <w:pPr>
        <w:spacing w:before="40" w:after="40"/>
      </w:pPr>
      <w:r>
        <w:rPr>
          <w:rFonts w:ascii="Arial" w:hAnsi="Arial"/>
          <w:sz w:val="20"/>
        </w:rPr>
        <w:t>EPIC-04 | Sprint 2 | P0 — Critical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S-026</w:t>
            </w:r>
          </w:p>
        </w:tc>
      </w:tr>
      <w:tr>
        <w:tc>
          <w:tcPr>
            <w:tcW w:type="dxa" w:w="4820"/>
          </w:tcPr>
          <w:p>
            <w:r>
              <w:rPr>
                <w:rFonts w:ascii="Arial" w:hAnsi="Arial"/>
                <w:sz w:val="17"/>
              </w:rPr>
              <w:t>WROS ID</w:t>
            </w:r>
          </w:p>
        </w:tc>
        <w:tc>
          <w:tcPr>
            <w:tcW w:type="dxa" w:w="4820"/>
          </w:tcPr>
          <w:p>
            <w:r>
              <w:rPr>
                <w:rFonts w:ascii="Arial" w:hAnsi="Arial"/>
                <w:sz w:val="17"/>
              </w:rPr>
              <w:t>HRMS-0426</w:t>
            </w:r>
          </w:p>
        </w:tc>
      </w:tr>
      <w:tr>
        <w:tc>
          <w:tcPr>
            <w:tcW w:type="dxa" w:w="4820"/>
          </w:tcPr>
          <w:p>
            <w:r>
              <w:rPr>
                <w:rFonts w:ascii="Arial" w:hAnsi="Arial"/>
                <w:sz w:val="17"/>
              </w:rPr>
              <w:t>Title</w:t>
            </w:r>
          </w:p>
        </w:tc>
        <w:tc>
          <w:tcPr>
            <w:tcW w:type="dxa" w:w="4820"/>
          </w:tcPr>
          <w:p>
            <w:r>
              <w:rPr>
                <w:rFonts w:ascii="Arial" w:hAnsi="Arial"/>
                <w:sz w:val="17"/>
              </w:rPr>
              <w:t>Candidate Response Parser</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W6</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HRMS-0422 Facts Extraction extracts facts. HRMS-0408 markFieldReceived() exists. HRMS-0424 knows what field was being asked.</w:t>
            </w:r>
          </w:p>
        </w:tc>
      </w:tr>
      <w:tr>
        <w:tc>
          <w:tcPr>
            <w:tcW w:type="dxa" w:w="4820"/>
          </w:tcPr>
          <w:p>
            <w:r>
              <w:rPr>
                <w:rFonts w:ascii="Arial" w:hAnsi="Arial"/>
                <w:sz w:val="17"/>
              </w:rPr>
              <w:t>Blocks</w:t>
            </w:r>
          </w:p>
        </w:tc>
        <w:tc>
          <w:tcPr>
            <w:tcW w:type="dxa" w:w="4820"/>
          </w:tcPr>
          <w:p>
            <w:r>
              <w:rPr>
                <w:rFonts w:ascii="Arial" w:hAnsi="Arial"/>
                <w:sz w:val="17"/>
              </w:rPr>
              <w:t>HRMS-0438 Compensation Fit Score needs parsed salary values. HRMS-0439 Availability Score needs parsed notice period.</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Fact extraction (HRMS-0422) uses LLM to extract all facts from a message. The Response Parser is more specific: when Thunder just asked about a specific field (e.g. 'What is your notice period?'), the parser focuses on extracting that specific field's value from the candidate's reply and converting it to a structured format stored in the candidates table.</w:t>
      </w:r>
    </w:p>
    <w:p>
      <w:pPr>
        <w:spacing w:before="60" w:after="100"/>
      </w:pPr>
      <w:r>
        <w:rPr>
          <w:rFonts w:ascii="Arial" w:hAnsi="Arial"/>
          <w:sz w:val="20"/>
        </w:rPr>
        <w:t>Raw text 'around 30 days' must become notice_period_days=30 in the database. '18 lakhs' must become current_ctc=1800000. '3 years and 6 months' must become total_experience_years=3.5. This normalization is essential for scoring engines.</w:t>
      </w:r>
    </w:p>
    <w:p>
      <w:pPr>
        <w:spacing w:before="240" w:after="80"/>
      </w:pPr>
      <w:r>
        <w:rPr>
          <w:rFonts w:ascii="Arial" w:hAnsi="Arial"/>
          <w:b/>
          <w:color w:val="1E3A5F"/>
          <w:sz w:val="26"/>
        </w:rPr>
        <w:t>3. WHAT YOU ARE BUILDING</w:t>
      </w:r>
    </w:p>
    <w:p>
      <w:pPr>
        <w:spacing w:before="60" w:after="100"/>
      </w:pPr>
      <w:r>
        <w:rPr>
          <w:rFonts w:ascii="Arial" w:hAnsi="Arial"/>
          <w:sz w:val="20"/>
        </w:rPr>
        <w:t>Build parseFieldResponse() — a focused parser that takes the field Thunder just asked about and the candidate's reply, extracts the specific value, normalizes it to the correct data type, validates it, and updates the candidates table via markFieldReceived().</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HRMS-0408 markFieldReceived() functional</w:t>
      </w:r>
    </w:p>
    <w:p>
      <w:pPr>
        <w:pStyle w:val="ListBullet"/>
        <w:spacing w:before="20" w:after="20"/>
      </w:pPr>
      <w:r>
        <w:rPr>
          <w:rFonts w:ascii="Arial" w:hAnsi="Arial"/>
          <w:sz w:val="20"/>
        </w:rPr>
        <w:t>HRMS-0422 extractFacts() running (this story adds field-specific normalization on top)</w:t>
      </w:r>
    </w:p>
    <w:p>
      <w:pPr>
        <w:pStyle w:val="ListBullet"/>
        <w:spacing w:before="20" w:after="20"/>
      </w:pPr>
      <w:r>
        <w:rPr>
          <w:rFonts w:ascii="Arial" w:hAnsi="Arial"/>
          <w:sz w:val="20"/>
        </w:rPr>
        <w:t>HRMS-0424 qualification plan knows which field was asked — context passed to parser</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Build parseFieldResponse() function</w:t>
      </w:r>
    </w:p>
    <w:p>
      <w:pPr>
        <w:pStyle w:val="ListBullet"/>
        <w:spacing w:before="20" w:after="20"/>
      </w:pPr>
      <w:r>
        <w:rPr>
          <w:rFonts w:ascii="Arial" w:hAnsi="Arial"/>
          <w:sz w:val="20"/>
        </w:rPr>
        <w:t>parseFieldResponse(candidate_id, tenant_id, field_name, message_body) → { parsed_value, normalized_value, confidence }</w:t>
      </w:r>
    </w:p>
    <w:p>
      <w:pPr>
        <w:pStyle w:val="ListBullet"/>
        <w:spacing w:before="20" w:after="20"/>
      </w:pPr>
      <w:r>
        <w:rPr>
          <w:rFonts w:ascii="Arial" w:hAnsi="Arial"/>
          <w:sz w:val="20"/>
        </w:rPr>
        <w:t>Use LLM with field-specific parsing prompt. Different prompt per field type.</w:t>
      </w:r>
    </w:p>
    <w:p>
      <w:pPr>
        <w:pStyle w:val="ListBullet"/>
        <w:spacing w:before="20" w:after="20"/>
      </w:pPr>
      <w:r>
        <w:rPr>
          <w:rFonts w:ascii="Arial" w:hAnsi="Arial"/>
          <w:sz w:val="20"/>
        </w:rPr>
        <w:t>Prompt template: 'Extract the {field_label} from this candidate message. Return ONLY valid JSON: { value: string, confidence: 0.0-1.0 }. If the value cannot be determined: { value: null, confidence: 0.0 }. Message: [{message_body}]'</w:t>
      </w:r>
    </w:p>
    <w:p>
      <w:pPr>
        <w:pStyle w:val="ListBullet"/>
        <w:spacing w:before="20" w:after="20"/>
      </w:pPr>
      <w:r>
        <w:rPr>
          <w:rFonts w:ascii="Arial" w:hAnsi="Arial"/>
          <w:sz w:val="20"/>
        </w:rPr>
        <w:t>For numeric fields (salary, experience, notice): also run normalization (see Step 2)</w:t>
      </w:r>
    </w:p>
    <w:p>
      <w:pPr>
        <w:pStyle w:val="ListBullet"/>
        <w:spacing w:before="20" w:after="20"/>
      </w:pPr>
      <w:r>
        <w:rPr>
          <w:rFonts w:ascii="Arial" w:hAnsi="Arial"/>
          <w:sz w:val="20"/>
        </w:rPr>
        <w:t>If parsed confidence &lt; 0.6: do not update the profile field. Log PARSE_LOW_CONFIDENCE. Ask Thunder to clarify.</w:t>
      </w:r>
    </w:p>
    <w:p>
      <w:pPr>
        <w:pStyle w:val="ListBullet"/>
        <w:spacing w:before="20" w:after="20"/>
      </w:pPr>
      <w:r>
        <w:rPr>
          <w:rFonts w:ascii="Arial" w:hAnsi="Arial"/>
          <w:sz w:val="20"/>
        </w:rPr>
        <w:t>If confidence &gt;= 0.6: call markFieldReceived() and UPDATE candidates table with normalized value</w:t>
      </w:r>
    </w:p>
    <w:p>
      <w:pPr>
        <w:spacing w:before="160" w:after="40"/>
      </w:pPr>
      <w:r>
        <w:rPr>
          <w:rFonts w:ascii="Arial" w:hAnsi="Arial"/>
          <w:b/>
          <w:color w:val="1E3A5F"/>
          <w:sz w:val="22"/>
        </w:rPr>
        <w:t>Step 2: Build field-specific normalization rules</w:t>
      </w:r>
    </w:p>
    <w:p>
      <w:pPr>
        <w:pStyle w:val="ListBullet"/>
        <w:spacing w:before="20" w:after="20"/>
      </w:pPr>
      <w:r>
        <w:rPr>
          <w:rFonts w:ascii="Arial" w:hAnsi="Arial"/>
          <w:sz w:val="20"/>
        </w:rPr>
        <w:t>notice_period_days: parse '30 days'→30, '2 weeks'→14, '1 month'→30, '3 months'→90, 'immediate'→0. Convert all to integer days.</w:t>
      </w:r>
    </w:p>
    <w:p>
      <w:pPr>
        <w:pStyle w:val="ListBullet"/>
        <w:spacing w:before="20" w:after="20"/>
      </w:pPr>
      <w:r>
        <w:rPr>
          <w:rFonts w:ascii="Arial" w:hAnsi="Arial"/>
          <w:sz w:val="20"/>
        </w:rPr>
        <w:t>current_ctc and expected_ctc: parse '18 LPA'→1800000, '18 lakhs'→1800000, '$120k'→120000, '18,00,000'→1800000. Store in base currency units (paise or cents). currency field set from candidate's country.</w:t>
      </w:r>
    </w:p>
    <w:p>
      <w:pPr>
        <w:pStyle w:val="ListBullet"/>
        <w:spacing w:before="20" w:after="20"/>
      </w:pPr>
      <w:r>
        <w:rPr>
          <w:rFonts w:ascii="Arial" w:hAnsi="Arial"/>
          <w:sz w:val="20"/>
        </w:rPr>
        <w:t>total_experience_years: parse '5 years'→5, '3 years 6 months'→3.5, '5+'→5. Store as DECIMAL(4,1).</w:t>
      </w:r>
    </w:p>
    <w:p>
      <w:pPr>
        <w:pStyle w:val="ListBullet"/>
        <w:spacing w:before="20" w:after="20"/>
      </w:pPr>
      <w:r>
        <w:rPr>
          <w:rFonts w:ascii="Arial" w:hAnsi="Arial"/>
          <w:sz w:val="20"/>
        </w:rPr>
        <w:t>location: parse 'based in Chicago'→'Chicago', 'I am in Mumbai'→'Mumbai'. Store as-is after extraction.</w:t>
      </w:r>
    </w:p>
    <w:p>
      <w:pPr>
        <w:pStyle w:val="ListBullet"/>
        <w:spacing w:before="20" w:after="20"/>
      </w:pPr>
      <w:r>
        <w:rPr>
          <w:rFonts w:ascii="Arial" w:hAnsi="Arial"/>
          <w:sz w:val="20"/>
        </w:rPr>
        <w:t>skills: parse comma-separated or bullet-listed skills into array. Normalize capitalization.</w:t>
      </w:r>
    </w:p>
    <w:p>
      <w:pPr>
        <w:pStyle w:val="ListBullet"/>
        <w:spacing w:before="20" w:after="20"/>
      </w:pPr>
      <w:r>
        <w:rPr>
          <w:rFonts w:ascii="Arial" w:hAnsi="Arial"/>
          <w:sz w:val="20"/>
        </w:rPr>
        <w:t>resume_url: set to the S3 URL from HRMS-0427 (not parsed from text — set when file is uploaded).</w:t>
      </w:r>
    </w:p>
    <w:p>
      <w:pPr>
        <w:spacing w:before="160" w:after="40"/>
      </w:pPr>
      <w:r>
        <w:rPr>
          <w:rFonts w:ascii="Arial" w:hAnsi="Arial"/>
          <w:b/>
          <w:color w:val="1E3A5F"/>
          <w:sz w:val="22"/>
        </w:rPr>
        <w:t>Step 3: Build clarification request when parsing fails</w:t>
      </w:r>
    </w:p>
    <w:p>
      <w:pPr>
        <w:pStyle w:val="ListBullet"/>
        <w:spacing w:before="20" w:after="20"/>
      </w:pPr>
      <w:r>
        <w:rPr>
          <w:rFonts w:ascii="Arial" w:hAnsi="Arial"/>
          <w:sz w:val="20"/>
        </w:rPr>
        <w:t>If parseFieldResponse() returns confidence &lt; 0.6 OR value=null: do not update profile</w:t>
      </w:r>
    </w:p>
    <w:p>
      <w:pPr>
        <w:pStyle w:val="ListBullet"/>
        <w:spacing w:before="20" w:after="20"/>
      </w:pPr>
      <w:r>
        <w:rPr>
          <w:rFonts w:ascii="Arial" w:hAnsi="Arial"/>
          <w:sz w:val="20"/>
        </w:rPr>
        <w:t>Trigger clarification: Thunder sends a follow-up message asking candidate to be more specific</w:t>
      </w:r>
    </w:p>
    <w:p>
      <w:pPr>
        <w:pStyle w:val="ListBullet"/>
        <w:spacing w:before="20" w:after="20"/>
      </w:pPr>
      <w:r>
        <w:rPr>
          <w:rFonts w:ascii="Arial" w:hAnsi="Arial"/>
          <w:sz w:val="20"/>
        </w:rPr>
        <w:t>Clarification messages per field: notice_period_days → 'Could you share your notice period in days or weeks? For example: 30 days, 2 weeks, or 3 months.' current_ctc → 'Could you share your current salary as a number? For example: 18 LPA or $120,000 per year.'</w:t>
      </w:r>
    </w:p>
    <w:p>
      <w:pPr>
        <w:pStyle w:val="ListBullet"/>
        <w:spacing w:before="20" w:after="20"/>
      </w:pPr>
      <w:r>
        <w:rPr>
          <w:rFonts w:ascii="Arial" w:hAnsi="Arial"/>
          <w:sz w:val="20"/>
        </w:rPr>
        <w:t>Log event: CLARIFICATION_REQUESTED { field_name, original_message, candidate_id }</w:t>
      </w:r>
    </w:p>
    <w:p>
      <w:pPr>
        <w:spacing w:before="160" w:after="40"/>
      </w:pPr>
      <w:r>
        <w:rPr>
          <w:rFonts w:ascii="Arial" w:hAnsi="Arial"/>
          <w:b/>
          <w:color w:val="1E3A5F"/>
          <w:sz w:val="22"/>
        </w:rPr>
        <w:t>Step 4: Wire parseFieldResponse() to qualification conversation</w:t>
      </w:r>
    </w:p>
    <w:p>
      <w:pPr>
        <w:pStyle w:val="ListBullet"/>
        <w:spacing w:before="20" w:after="20"/>
      </w:pPr>
      <w:r>
        <w:rPr>
          <w:rFonts w:ascii="Arial" w:hAnsi="Arial"/>
          <w:sz w:val="20"/>
        </w:rPr>
        <w:t>After each inbound message during QUALIFYING state: HRMS-0425 (Qualification Engine) calls parseFieldResponse() with the field Thunder just asked about</w:t>
      </w:r>
    </w:p>
    <w:p>
      <w:pPr>
        <w:pStyle w:val="ListBullet"/>
        <w:spacing w:before="20" w:after="20"/>
      </w:pPr>
      <w:r>
        <w:rPr>
          <w:rFonts w:ascii="Arial" w:hAnsi="Arial"/>
          <w:sz w:val="20"/>
        </w:rPr>
        <w:t>Parse happens before Thunder sends the next question — if parse succeeds, that field is marked received and Thunder moves to the next one</w:t>
      </w:r>
    </w:p>
    <w:p>
      <w:pPr>
        <w:pStyle w:val="ListBullet"/>
        <w:spacing w:before="20" w:after="20"/>
      </w:pPr>
      <w:r>
        <w:rPr>
          <w:rFonts w:ascii="Arial" w:hAnsi="Arial"/>
          <w:sz w:val="20"/>
        </w:rPr>
        <w:t>If parse fails: Thunder sends clarification instead of next qualification question</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No UI in this story</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Parser is backend only. Results visible in HRMS-0406 completeness and HRMS-0423 memory viewer.</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Never Store a Value With Confidence Below 0.6</w:t>
      </w:r>
    </w:p>
    <w:p>
      <w:pPr>
        <w:spacing w:before="20" w:after="40"/>
      </w:pPr>
      <w:r>
        <w:rPr>
          <w:rFonts w:ascii="Arial" w:hAnsi="Arial"/>
          <w:sz w:val="19"/>
        </w:rPr>
        <w:t>Only update candidates table when parseFieldResponse() returns confidence &gt;= 0.6. Low-confidence values go into candidate_memory_facts only (via HRMS-0422) as uncertain data, not into the authoritative profile. This prevents incorrect data corrupting scoring engines.</w:t>
      </w:r>
    </w:p>
    <w:p>
      <w:pPr>
        <w:spacing w:before="0" w:after="80"/>
      </w:pPr>
      <w:r>
        <w:rPr>
          <w:rFonts w:ascii="Arial" w:hAnsi="Arial"/>
          <w:sz w:val="18"/>
        </w:rPr>
        <w:t xml:space="preserve">  ↳ Triggered by field: confidence &gt;= 0.6 to update candidates table</w:t>
      </w:r>
    </w:p>
    <w:p>
      <w:pPr>
        <w:spacing w:before="120" w:after="20"/>
      </w:pPr>
      <w:r>
        <w:rPr>
          <w:rFonts w:ascii="Arial" w:hAnsi="Arial"/>
          <w:b/>
          <w:color w:val="B71C1C"/>
          <w:sz w:val="20"/>
        </w:rPr>
        <w:t>BR-02: Salary Values Always Stored in Base Units</w:t>
      </w:r>
    </w:p>
    <w:p>
      <w:pPr>
        <w:spacing w:before="20" w:after="40"/>
      </w:pPr>
      <w:r>
        <w:rPr>
          <w:rFonts w:ascii="Arial" w:hAnsi="Arial"/>
          <w:sz w:val="19"/>
        </w:rPr>
        <w:t>current_ctc and expected_ctc must always be stored as integers in the smallest currency unit. India: paise (1 LPA = 100000 paise). US: cents ($120k = 12000000 cents). Display layer handles formatting. This prevents decimal/formatting bugs in calculations.</w:t>
      </w:r>
    </w:p>
    <w:p>
      <w:pPr>
        <w:spacing w:before="0" w:after="80"/>
      </w:pPr>
      <w:r>
        <w:rPr>
          <w:rFonts w:ascii="Arial" w:hAnsi="Arial"/>
          <w:sz w:val="18"/>
        </w:rPr>
        <w:t xml:space="preserve">  ↳ Triggered by field: current_ctc, expected_ctc</w:t>
      </w:r>
    </w:p>
    <w:p>
      <w:pPr>
        <w:spacing w:before="120" w:after="20"/>
      </w:pPr>
      <w:r>
        <w:rPr>
          <w:rFonts w:ascii="Arial" w:hAnsi="Arial"/>
          <w:b/>
          <w:color w:val="B71C1C"/>
          <w:sz w:val="20"/>
        </w:rPr>
        <w:t>BR-03: Clarification Is Asked At Most Once Per Field</w:t>
      </w:r>
    </w:p>
    <w:p>
      <w:pPr>
        <w:spacing w:before="20" w:after="40"/>
      </w:pPr>
      <w:r>
        <w:rPr>
          <w:rFonts w:ascii="Arial" w:hAnsi="Arial"/>
          <w:sz w:val="19"/>
        </w:rPr>
        <w:t>If the candidate provides a low-confidence answer, ask for clarification once. If the second answer is also low-confidence: accept the raw string as-is with low confidence in memory_facts and move to the next field. Never send more than one clarification request per field.</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LLM API</w:t>
            </w:r>
          </w:p>
        </w:tc>
        <w:tc>
          <w:tcPr>
            <w:tcW w:type="dxa" w:w="1607"/>
          </w:tcPr>
          <w:p>
            <w:r>
              <w:rPr>
                <w:rFonts w:ascii="Arial" w:hAnsi="Arial"/>
                <w:sz w:val="17"/>
              </w:rPr>
              <w:t>Outbound</w:t>
            </w:r>
          </w:p>
        </w:tc>
        <w:tc>
          <w:tcPr>
            <w:tcW w:type="dxa" w:w="1607"/>
          </w:tcPr>
          <w:p>
            <w:r>
              <w:rPr>
                <w:rFonts w:ascii="Arial" w:hAnsi="Arial"/>
                <w:sz w:val="17"/>
              </w:rPr>
              <w:t>For each inbound message during QUALIFYING</w:t>
            </w:r>
          </w:p>
        </w:tc>
        <w:tc>
          <w:tcPr>
            <w:tcW w:type="dxa" w:w="1607"/>
          </w:tcPr>
          <w:p>
            <w:r>
              <w:rPr>
                <w:rFonts w:ascii="Arial" w:hAnsi="Arial"/>
                <w:sz w:val="17"/>
              </w:rPr>
              <w:t>Field-specific parsing prompt</w:t>
            </w:r>
          </w:p>
        </w:tc>
        <w:tc>
          <w:tcPr>
            <w:tcW w:type="dxa" w:w="1607"/>
          </w:tcPr>
          <w:p>
            <w:r>
              <w:rPr>
                <w:rFonts w:ascii="Arial" w:hAnsi="Arial"/>
                <w:sz w:val="17"/>
              </w:rPr>
              <w:t>API key</w:t>
            </w:r>
          </w:p>
        </w:tc>
        <w:tc>
          <w:tcPr>
            <w:tcW w:type="dxa" w:w="1607"/>
          </w:tcPr>
          <w:p>
            <w:r>
              <w:rPr>
                <w:rFonts w:ascii="Arial" w:hAnsi="Arial"/>
                <w:sz w:val="17"/>
              </w:rPr>
              <w:t>On failure: do not update profile. Log PARSE_API_FAILED. Continue to next qualification question.</w:t>
            </w:r>
          </w:p>
        </w:tc>
      </w:tr>
      <w:tr>
        <w:tc>
          <w:tcPr>
            <w:tcW w:type="dxa" w:w="1607"/>
          </w:tcPr>
          <w:p>
            <w:r>
              <w:rPr>
                <w:rFonts w:ascii="Arial" w:hAnsi="Arial"/>
                <w:sz w:val="17"/>
              </w:rPr>
              <w:t>HRMS-0408 markFieldReceived()</w:t>
            </w:r>
          </w:p>
        </w:tc>
        <w:tc>
          <w:tcPr>
            <w:tcW w:type="dxa" w:w="1607"/>
          </w:tcPr>
          <w:p>
            <w:r>
              <w:rPr>
                <w:rFonts w:ascii="Arial" w:hAnsi="Arial"/>
                <w:sz w:val="17"/>
              </w:rPr>
              <w:t>Internal call</w:t>
            </w:r>
          </w:p>
        </w:tc>
        <w:tc>
          <w:tcPr>
            <w:tcW w:type="dxa" w:w="1607"/>
          </w:tcPr>
          <w:p>
            <w:r>
              <w:rPr>
                <w:rFonts w:ascii="Arial" w:hAnsi="Arial"/>
                <w:sz w:val="17"/>
              </w:rPr>
              <w:t>When parse succeeds (confidence &gt;= 0.6)</w:t>
            </w:r>
          </w:p>
        </w:tc>
        <w:tc>
          <w:tcPr>
            <w:tcW w:type="dxa" w:w="1607"/>
          </w:tcPr>
          <w:p>
            <w:r>
              <w:rPr>
                <w:rFonts w:ascii="Arial" w:hAnsi="Arial"/>
                <w:sz w:val="17"/>
              </w:rPr>
              <w:t>candidate_id, field_name</w:t>
            </w:r>
          </w:p>
        </w:tc>
        <w:tc>
          <w:tcPr>
            <w:tcW w:type="dxa" w:w="1607"/>
          </w:tcPr>
          <w:p>
            <w:r>
              <w:rPr>
                <w:rFonts w:ascii="Arial" w:hAnsi="Arial"/>
                <w:sz w:val="17"/>
              </w:rPr>
              <w:t>Internal function</w:t>
            </w:r>
          </w:p>
        </w:tc>
        <w:tc>
          <w:tcPr>
            <w:tcW w:type="dxa" w:w="1607"/>
          </w:tcPr>
          <w:p>
            <w:r>
              <w:rPr>
                <w:rFonts w:ascii="Arial" w:hAnsi="Arial"/>
                <w:sz w:val="17"/>
              </w:rPr>
              <w:t>Updates missing_fields status and triggers completeness recalculation</w:t>
            </w:r>
          </w:p>
        </w:tc>
      </w:tr>
      <w:tr>
        <w:tc>
          <w:tcPr>
            <w:tcW w:type="dxa" w:w="1607"/>
          </w:tcPr>
          <w:p>
            <w:r>
              <w:rPr>
                <w:rFonts w:ascii="Arial" w:hAnsi="Arial"/>
                <w:sz w:val="17"/>
              </w:rPr>
              <w:t>HRMS-0425 Qualification Engine</w:t>
            </w:r>
          </w:p>
        </w:tc>
        <w:tc>
          <w:tcPr>
            <w:tcW w:type="dxa" w:w="1607"/>
          </w:tcPr>
          <w:p>
            <w:r>
              <w:rPr>
                <w:rFonts w:ascii="Arial" w:hAnsi="Arial"/>
                <w:sz w:val="17"/>
              </w:rPr>
              <w:t>Consumer — calls parseFieldResponse()</w:t>
            </w:r>
          </w:p>
        </w:tc>
        <w:tc>
          <w:tcPr>
            <w:tcW w:type="dxa" w:w="1607"/>
          </w:tcPr>
          <w:p>
            <w:r>
              <w:rPr>
                <w:rFonts w:ascii="Arial" w:hAnsi="Arial"/>
                <w:sz w:val="17"/>
              </w:rPr>
              <w:t>After each inbound message</w:t>
            </w:r>
          </w:p>
        </w:tc>
        <w:tc>
          <w:tcPr>
            <w:tcW w:type="dxa" w:w="1607"/>
          </w:tcPr>
          <w:p>
            <w:r>
              <w:rPr>
                <w:rFonts w:ascii="Arial" w:hAnsi="Arial"/>
                <w:sz w:val="17"/>
              </w:rPr>
              <w:t>field_name that was just asked + message_body</w:t>
            </w:r>
          </w:p>
        </w:tc>
        <w:tc>
          <w:tcPr>
            <w:tcW w:type="dxa" w:w="1607"/>
          </w:tcPr>
          <w:p>
            <w:r>
              <w:rPr>
                <w:rFonts w:ascii="Arial" w:hAnsi="Arial"/>
                <w:sz w:val="17"/>
              </w:rPr>
              <w:t>Internal function</w:t>
            </w:r>
          </w:p>
        </w:tc>
        <w:tc>
          <w:tcPr>
            <w:tcW w:type="dxa" w:w="1607"/>
          </w:tcPr>
          <w:p>
            <w:r>
              <w:rPr>
                <w:rFonts w:ascii="Arial" w:hAnsi="Arial"/>
                <w:sz w:val="17"/>
              </w:rPr>
              <w:t>Parser result determines whether Thunder asks next question or sends clarification</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'30 days' (raw message text)</w:t>
            </w:r>
          </w:p>
        </w:tc>
        <w:tc>
          <w:tcPr>
            <w:tcW w:type="dxa" w:w="1928"/>
          </w:tcPr>
          <w:p>
            <w:r>
              <w:rPr>
                <w:rFonts w:ascii="Arial" w:hAnsi="Arial"/>
                <w:sz w:val="17"/>
              </w:rPr>
              <w:t>Inbound message body</w:t>
            </w:r>
          </w:p>
        </w:tc>
        <w:tc>
          <w:tcPr>
            <w:tcW w:type="dxa" w:w="1928"/>
          </w:tcPr>
          <w:p>
            <w:r>
              <w:rPr>
                <w:rFonts w:ascii="Arial" w:hAnsi="Arial"/>
                <w:sz w:val="17"/>
              </w:rPr>
              <w:t>notice_period_days = 30 (integer)</w:t>
            </w:r>
          </w:p>
        </w:tc>
        <w:tc>
          <w:tcPr>
            <w:tcW w:type="dxa" w:w="1928"/>
          </w:tcPr>
          <w:p>
            <w:r>
              <w:rPr>
                <w:rFonts w:ascii="Arial" w:hAnsi="Arial"/>
                <w:sz w:val="17"/>
              </w:rPr>
              <w:t>candidates table</w:t>
            </w:r>
          </w:p>
        </w:tc>
        <w:tc>
          <w:tcPr>
            <w:tcW w:type="dxa" w:w="1928"/>
          </w:tcPr>
          <w:p>
            <w:r>
              <w:rPr>
                <w:rFonts w:ascii="Arial" w:hAnsi="Arial"/>
                <w:sz w:val="17"/>
              </w:rPr>
              <w:t>Normalization rule: days/weeks/months converted to integer days</w:t>
            </w:r>
          </w:p>
        </w:tc>
      </w:tr>
      <w:tr>
        <w:tc>
          <w:tcPr>
            <w:tcW w:type="dxa" w:w="1928"/>
          </w:tcPr>
          <w:p>
            <w:r>
              <w:rPr>
                <w:rFonts w:ascii="Arial" w:hAnsi="Arial"/>
                <w:sz w:val="17"/>
              </w:rPr>
              <w:t>'18 LPA' (raw message text)</w:t>
            </w:r>
          </w:p>
        </w:tc>
        <w:tc>
          <w:tcPr>
            <w:tcW w:type="dxa" w:w="1928"/>
          </w:tcPr>
          <w:p>
            <w:r>
              <w:rPr>
                <w:rFonts w:ascii="Arial" w:hAnsi="Arial"/>
                <w:sz w:val="17"/>
              </w:rPr>
              <w:t>Inbound message body</w:t>
            </w:r>
          </w:p>
        </w:tc>
        <w:tc>
          <w:tcPr>
            <w:tcW w:type="dxa" w:w="1928"/>
          </w:tcPr>
          <w:p>
            <w:r>
              <w:rPr>
                <w:rFonts w:ascii="Arial" w:hAnsi="Arial"/>
                <w:sz w:val="17"/>
              </w:rPr>
              <w:t>current_ctc = 1800000 (paise)</w:t>
            </w:r>
          </w:p>
        </w:tc>
        <w:tc>
          <w:tcPr>
            <w:tcW w:type="dxa" w:w="1928"/>
          </w:tcPr>
          <w:p>
            <w:r>
              <w:rPr>
                <w:rFonts w:ascii="Arial" w:hAnsi="Arial"/>
                <w:sz w:val="17"/>
              </w:rPr>
              <w:t>candidates table</w:t>
            </w:r>
          </w:p>
        </w:tc>
        <w:tc>
          <w:tcPr>
            <w:tcW w:type="dxa" w:w="1928"/>
          </w:tcPr>
          <w:p>
            <w:r>
              <w:rPr>
                <w:rFonts w:ascii="Arial" w:hAnsi="Arial"/>
                <w:sz w:val="17"/>
              </w:rPr>
              <w:t>LPA × 100000 = paise. Stored as integer.</w:t>
            </w:r>
          </w:p>
        </w:tc>
      </w:tr>
      <w:tr>
        <w:tc>
          <w:tcPr>
            <w:tcW w:type="dxa" w:w="1928"/>
          </w:tcPr>
          <w:p>
            <w:r>
              <w:rPr>
                <w:rFonts w:ascii="Arial" w:hAnsi="Arial"/>
                <w:sz w:val="17"/>
              </w:rPr>
              <w:t>'3 years 6 months' (raw message)</w:t>
            </w:r>
          </w:p>
        </w:tc>
        <w:tc>
          <w:tcPr>
            <w:tcW w:type="dxa" w:w="1928"/>
          </w:tcPr>
          <w:p>
            <w:r>
              <w:rPr>
                <w:rFonts w:ascii="Arial" w:hAnsi="Arial"/>
                <w:sz w:val="17"/>
              </w:rPr>
              <w:t>Inbound message body</w:t>
            </w:r>
          </w:p>
        </w:tc>
        <w:tc>
          <w:tcPr>
            <w:tcW w:type="dxa" w:w="1928"/>
          </w:tcPr>
          <w:p>
            <w:r>
              <w:rPr>
                <w:rFonts w:ascii="Arial" w:hAnsi="Arial"/>
                <w:sz w:val="17"/>
              </w:rPr>
              <w:t>total_experience_years = 3.5 (decimal)</w:t>
            </w:r>
          </w:p>
        </w:tc>
        <w:tc>
          <w:tcPr>
            <w:tcW w:type="dxa" w:w="1928"/>
          </w:tcPr>
          <w:p>
            <w:r>
              <w:rPr>
                <w:rFonts w:ascii="Arial" w:hAnsi="Arial"/>
                <w:sz w:val="17"/>
              </w:rPr>
              <w:t>candidates table</w:t>
            </w:r>
          </w:p>
        </w:tc>
        <w:tc>
          <w:tcPr>
            <w:tcW w:type="dxa" w:w="1928"/>
          </w:tcPr>
          <w:p>
            <w:r>
              <w:rPr>
                <w:rFonts w:ascii="Arial" w:hAnsi="Arial"/>
                <w:sz w:val="17"/>
              </w:rPr>
              <w:t>Years + months/12 = decimal years. Stored as DECIMAL(4,1).</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parseFieldResponse() for '30 days' with field=notice_period_days returns { normalized_value:30, confidence&gt;=0.8 }</w:t>
      </w:r>
    </w:p>
    <w:p>
      <w:pPr>
        <w:spacing w:before="60" w:after="60"/>
        <w:ind w:left="200"/>
      </w:pPr>
      <w:r>
        <w:rPr>
          <w:rFonts w:ascii="Arial" w:hAnsi="Arial"/>
          <w:sz w:val="20"/>
        </w:rPr>
        <w:t>☐  parseFieldResponse() for '18 LPA' with field=current_ctc returns { normalized_value:1800000, confidence&gt;=0.8 }</w:t>
      </w:r>
    </w:p>
    <w:p>
      <w:pPr>
        <w:spacing w:before="60" w:after="60"/>
        <w:ind w:left="200"/>
      </w:pPr>
      <w:r>
        <w:rPr>
          <w:rFonts w:ascii="Arial" w:hAnsi="Arial"/>
          <w:sz w:val="20"/>
        </w:rPr>
        <w:t>☐  Successful parse: candidates table updated with normalized value</w:t>
      </w:r>
    </w:p>
    <w:p>
      <w:pPr>
        <w:spacing w:before="60" w:after="60"/>
        <w:ind w:left="200"/>
      </w:pPr>
      <w:r>
        <w:rPr>
          <w:rFonts w:ascii="Arial" w:hAnsi="Arial"/>
          <w:sz w:val="20"/>
        </w:rPr>
        <w:t>☐  Successful parse: markFieldReceived() called, completeness increases</w:t>
      </w:r>
    </w:p>
    <w:p>
      <w:pPr>
        <w:spacing w:before="60" w:after="60"/>
        <w:ind w:left="200"/>
      </w:pPr>
      <w:r>
        <w:rPr>
          <w:rFonts w:ascii="Arial" w:hAnsi="Arial"/>
          <w:sz w:val="20"/>
        </w:rPr>
        <w:t>☐  Low-confidence parse: candidates table NOT updated. Clarification message sent.</w:t>
      </w:r>
    </w:p>
    <w:p>
      <w:pPr>
        <w:spacing w:before="60" w:after="60"/>
        <w:ind w:left="200"/>
      </w:pPr>
      <w:r>
        <w:rPr>
          <w:rFonts w:ascii="Arial" w:hAnsi="Arial"/>
          <w:sz w:val="20"/>
        </w:rPr>
        <w:t>☐  LLM failure: profile not updated. Parse logged as failed. Qualification continues to next question.</w:t>
      </w:r>
    </w:p>
    <w:p>
      <w:pPr>
        <w:spacing w:before="60" w:after="60"/>
        <w:ind w:left="200"/>
      </w:pPr>
      <w:r>
        <w:rPr>
          <w:rFonts w:ascii="Arial" w:hAnsi="Arial"/>
          <w:sz w:val="20"/>
        </w:rPr>
        <w:t>☐  Clarification requested at most once per field in same conversation</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Notice period parse</w:t>
            </w:r>
          </w:p>
        </w:tc>
        <w:tc>
          <w:tcPr>
            <w:tcW w:type="dxa" w:w="1607"/>
          </w:tcPr>
          <w:p>
            <w:r>
              <w:rPr>
                <w:rFonts w:ascii="Arial" w:hAnsi="Arial"/>
                <w:sz w:val="17"/>
              </w:rPr>
              <w:t>Call parseFieldResponse(id,t,'notice_period_days','I can leave with 30 days notice').</w:t>
            </w:r>
          </w:p>
        </w:tc>
        <w:tc>
          <w:tcPr>
            <w:tcW w:type="dxa" w:w="1607"/>
          </w:tcPr>
          <w:p>
            <w:r>
              <w:rPr>
                <w:rFonts w:ascii="Arial" w:hAnsi="Arial"/>
                <w:sz w:val="17"/>
              </w:rPr>
              <w:t>Returns { normalized_value:30, confidence&gt;=0.8 }</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w:t>
            </w:r>
          </w:p>
        </w:tc>
        <w:tc>
          <w:tcPr>
            <w:tcW w:type="dxa" w:w="1607"/>
          </w:tcPr>
          <w:p>
            <w:r>
              <w:rPr>
                <w:rFonts w:ascii="Arial" w:hAnsi="Arial"/>
                <w:sz w:val="17"/>
              </w:rPr>
              <w:t>Salary parse LPA</w:t>
            </w:r>
          </w:p>
        </w:tc>
        <w:tc>
          <w:tcPr>
            <w:tcW w:type="dxa" w:w="1607"/>
          </w:tcPr>
          <w:p>
            <w:r>
              <w:rPr>
                <w:rFonts w:ascii="Arial" w:hAnsi="Arial"/>
                <w:sz w:val="17"/>
              </w:rPr>
              <w:t>Call parseFieldResponse(id,t,'current_ctc','Currently earning 18 LPA').</w:t>
            </w:r>
          </w:p>
        </w:tc>
        <w:tc>
          <w:tcPr>
            <w:tcW w:type="dxa" w:w="1607"/>
          </w:tcPr>
          <w:p>
            <w:r>
              <w:rPr>
                <w:rFonts w:ascii="Arial" w:hAnsi="Arial"/>
                <w:sz w:val="17"/>
              </w:rPr>
              <w:t>Returns { normalized_value:1800000, confidence&gt;=0.8 }</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AC-3,4</w:t>
            </w:r>
          </w:p>
        </w:tc>
        <w:tc>
          <w:tcPr>
            <w:tcW w:type="dxa" w:w="1607"/>
          </w:tcPr>
          <w:p>
            <w:r>
              <w:rPr>
                <w:rFonts w:ascii="Arial" w:hAnsi="Arial"/>
                <w:sz w:val="17"/>
              </w:rPr>
              <w:t>Update on success</w:t>
            </w:r>
          </w:p>
        </w:tc>
        <w:tc>
          <w:tcPr>
            <w:tcW w:type="dxa" w:w="1607"/>
          </w:tcPr>
          <w:p>
            <w:r>
              <w:rPr>
                <w:rFonts w:ascii="Arial" w:hAnsi="Arial"/>
                <w:sz w:val="17"/>
              </w:rPr>
              <w:t>Parse succeeds. Check candidates table and missing_fields.</w:t>
            </w:r>
          </w:p>
        </w:tc>
        <w:tc>
          <w:tcPr>
            <w:tcW w:type="dxa" w:w="1607"/>
          </w:tcPr>
          <w:p>
            <w:r>
              <w:rPr>
                <w:rFonts w:ascii="Arial" w:hAnsi="Arial"/>
                <w:sz w:val="17"/>
              </w:rPr>
              <w:t>candidates.current_ctc=1800000. current_ctc status=RECEIVED. Completeness+10.</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AC-5</w:t>
            </w:r>
          </w:p>
        </w:tc>
        <w:tc>
          <w:tcPr>
            <w:tcW w:type="dxa" w:w="1607"/>
          </w:tcPr>
          <w:p>
            <w:r>
              <w:rPr>
                <w:rFonts w:ascii="Arial" w:hAnsi="Arial"/>
                <w:sz w:val="17"/>
              </w:rPr>
              <w:t>Clarification on low confidence</w:t>
            </w:r>
          </w:p>
        </w:tc>
        <w:tc>
          <w:tcPr>
            <w:tcW w:type="dxa" w:w="1607"/>
          </w:tcPr>
          <w:p>
            <w:r>
              <w:rPr>
                <w:rFonts w:ascii="Arial" w:hAnsi="Arial"/>
                <w:sz w:val="17"/>
              </w:rPr>
              <w:t>Parse returns confidence=0.3 for vague answer. Check Thunder's next message.</w:t>
            </w:r>
          </w:p>
        </w:tc>
        <w:tc>
          <w:tcPr>
            <w:tcW w:type="dxa" w:w="1607"/>
          </w:tcPr>
          <w:p>
            <w:r>
              <w:rPr>
                <w:rFonts w:ascii="Arial" w:hAnsi="Arial"/>
                <w:sz w:val="17"/>
              </w:rPr>
              <w:t>Clarification message sent instead of next qualification question</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AC-6</w:t>
            </w:r>
          </w:p>
        </w:tc>
        <w:tc>
          <w:tcPr>
            <w:tcW w:type="dxa" w:w="1607"/>
          </w:tcPr>
          <w:p>
            <w:r>
              <w:rPr>
                <w:rFonts w:ascii="Arial" w:hAnsi="Arial"/>
                <w:sz w:val="17"/>
              </w:rPr>
              <w:t>LLM failure</w:t>
            </w:r>
          </w:p>
        </w:tc>
        <w:tc>
          <w:tcPr>
            <w:tcW w:type="dxa" w:w="1607"/>
          </w:tcPr>
          <w:p>
            <w:r>
              <w:rPr>
                <w:rFonts w:ascii="Arial" w:hAnsi="Arial"/>
                <w:sz w:val="17"/>
              </w:rPr>
              <w:t>Mock LLM to return 500. Call parseFieldResponse.</w:t>
            </w:r>
          </w:p>
        </w:tc>
        <w:tc>
          <w:tcPr>
            <w:tcW w:type="dxa" w:w="1607"/>
          </w:tcPr>
          <w:p>
            <w:r>
              <w:rPr>
                <w:rFonts w:ascii="Arial" w:hAnsi="Arial"/>
                <w:sz w:val="17"/>
              </w:rPr>
              <w:t>Profile not updated. PARSE_API_FAILED logged. Next qualification question sent.</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UI for parsed values — visible in candidate profile and memory viewer</w:t>
      </w:r>
    </w:p>
    <w:p>
      <w:pPr>
        <w:pStyle w:val="ListBullet"/>
        <w:spacing w:before="20" w:after="20"/>
      </w:pPr>
      <w:r>
        <w:rPr>
          <w:rFonts w:ascii="Arial" w:hAnsi="Arial"/>
          <w:sz w:val="20"/>
        </w:rPr>
        <w:t>Do NOT build currency conversion between countries at parse time — store in local units</w:t>
      </w:r>
    </w:p>
    <w:p>
      <w:pPr>
        <w:pStyle w:val="ListBullet"/>
        <w:spacing w:before="20" w:after="20"/>
      </w:pPr>
      <w:r>
        <w:rPr>
          <w:rFonts w:ascii="Arial" w:hAnsi="Arial"/>
          <w:sz w:val="20"/>
        </w:rPr>
        <w:t>Do NOT build skill taxonomy/normalization — raw skill strings stored as-is</w:t>
      </w:r>
    </w:p>
    <w:p>
      <w:pPr>
        <w:spacing w:before="400"/>
        <w:jc w:val="center"/>
      </w:pPr>
      <w:r>
        <w:rPr>
          <w:rFonts w:ascii="Arial" w:hAnsi="Arial"/>
          <w:color w:val="424242"/>
          <w:sz w:val="16"/>
        </w:rPr>
        <w:t>S-026 — Candidate Response Parser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