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S-038 — Compensation Fit Score</w:t>
      </w:r>
    </w:p>
    <w:p>
      <w:pPr>
        <w:spacing w:before="40" w:after="40"/>
      </w:pPr>
      <w:r>
        <w:rPr>
          <w:rFonts w:ascii="Arial" w:hAnsi="Arial"/>
          <w:sz w:val="20"/>
        </w:rPr>
        <w:t>EPIC-04 | Sprint 2 | P1 — High | Est: 2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S-038</w:t>
            </w:r>
          </w:p>
        </w:tc>
      </w:tr>
      <w:tr>
        <w:tc>
          <w:tcPr>
            <w:tcW w:type="dxa" w:w="4820"/>
          </w:tcPr>
          <w:p>
            <w:r>
              <w:rPr>
                <w:rFonts w:ascii="Arial" w:hAnsi="Arial"/>
                <w:sz w:val="17"/>
              </w:rPr>
              <w:t>WROS ID</w:t>
            </w:r>
          </w:p>
        </w:tc>
        <w:tc>
          <w:tcPr>
            <w:tcW w:type="dxa" w:w="4820"/>
          </w:tcPr>
          <w:p>
            <w:r>
              <w:rPr>
                <w:rFonts w:ascii="Arial" w:hAnsi="Arial"/>
                <w:sz w:val="17"/>
              </w:rPr>
              <w:t>HRMS-0438</w:t>
            </w:r>
          </w:p>
        </w:tc>
      </w:tr>
      <w:tr>
        <w:tc>
          <w:tcPr>
            <w:tcW w:type="dxa" w:w="4820"/>
          </w:tcPr>
          <w:p>
            <w:r>
              <w:rPr>
                <w:rFonts w:ascii="Arial" w:hAnsi="Arial"/>
                <w:sz w:val="17"/>
              </w:rPr>
              <w:t>Title</w:t>
            </w:r>
          </w:p>
        </w:tc>
        <w:tc>
          <w:tcPr>
            <w:tcW w:type="dxa" w:w="4820"/>
          </w:tcPr>
          <w:p>
            <w:r>
              <w:rPr>
                <w:rFonts w:ascii="Arial" w:hAnsi="Arial"/>
                <w:sz w:val="17"/>
              </w:rPr>
              <w:t>Compensation Fit Score</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2</w:t>
            </w:r>
          </w:p>
        </w:tc>
      </w:tr>
      <w:tr>
        <w:tc>
          <w:tcPr>
            <w:tcW w:type="dxa" w:w="4820"/>
          </w:tcPr>
          <w:p>
            <w:r>
              <w:rPr>
                <w:rFonts w:ascii="Arial" w:hAnsi="Arial"/>
                <w:sz w:val="17"/>
              </w:rPr>
              <w:t>Week</w:t>
            </w:r>
          </w:p>
        </w:tc>
        <w:tc>
          <w:tcPr>
            <w:tcW w:type="dxa" w:w="4820"/>
          </w:tcPr>
          <w:p>
            <w:r>
              <w:rPr>
                <w:rFonts w:ascii="Arial" w:hAnsi="Arial"/>
                <w:sz w:val="17"/>
              </w:rPr>
              <w:t>W8</w:t>
            </w:r>
          </w:p>
        </w:tc>
      </w:tr>
      <w:tr>
        <w:tc>
          <w:tcPr>
            <w:tcW w:type="dxa" w:w="4820"/>
          </w:tcPr>
          <w:p>
            <w:r>
              <w:rPr>
                <w:rFonts w:ascii="Arial" w:hAnsi="Arial"/>
                <w:sz w:val="17"/>
              </w:rPr>
              <w:t>Priority</w:t>
            </w:r>
          </w:p>
        </w:tc>
        <w:tc>
          <w:tcPr>
            <w:tcW w:type="dxa" w:w="4820"/>
          </w:tcPr>
          <w:p>
            <w:r>
              <w:rPr>
                <w:rFonts w:ascii="Arial" w:hAnsi="Arial"/>
                <w:sz w:val="17"/>
              </w:rPr>
              <w:t>P1 — High</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2</w:t>
            </w:r>
          </w:p>
        </w:tc>
      </w:tr>
      <w:tr>
        <w:tc>
          <w:tcPr>
            <w:tcW w:type="dxa" w:w="4820"/>
          </w:tcPr>
          <w:p>
            <w:r>
              <w:rPr>
                <w:rFonts w:ascii="Arial" w:hAnsi="Arial"/>
                <w:sz w:val="17"/>
              </w:rPr>
              <w:t>Depends On</w:t>
            </w:r>
          </w:p>
        </w:tc>
        <w:tc>
          <w:tcPr>
            <w:tcW w:type="dxa" w:w="4820"/>
          </w:tcPr>
          <w:p>
            <w:r>
              <w:rPr>
                <w:rFonts w:ascii="Arial" w:hAnsi="Arial"/>
                <w:sz w:val="17"/>
              </w:rPr>
              <w:t>HRMS-0426 Response Parser — expected_ctc must be parsed and stored on candidate. Job record must have budget_max and budget_min.</w:t>
            </w:r>
          </w:p>
        </w:tc>
      </w:tr>
      <w:tr>
        <w:tc>
          <w:tcPr>
            <w:tcW w:type="dxa" w:w="4820"/>
          </w:tcPr>
          <w:p>
            <w:r>
              <w:rPr>
                <w:rFonts w:ascii="Arial" w:hAnsi="Arial"/>
                <w:sz w:val="17"/>
              </w:rPr>
              <w:t>Blocks</w:t>
            </w:r>
          </w:p>
        </w:tc>
        <w:tc>
          <w:tcPr>
            <w:tcW w:type="dxa" w:w="4820"/>
          </w:tcPr>
          <w:p>
            <w:r>
              <w:rPr>
                <w:rFonts w:ascii="Arial" w:hAnsi="Arial"/>
                <w:sz w:val="17"/>
              </w:rPr>
              <w:t>HRMS-0440 Overall Candidate Score uses this as one component.</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Submitting a candidate whose expected salary is 40% above the client's budget wastes everyone's time — the candidate gets excited and then disappointed, the client is frustrated, and BlitzenX's credibility suffers. The compensation fit score catches this mismatch before submission and helps Thunder prioritize candidates who are financially aligned.</w:t>
      </w:r>
    </w:p>
    <w:p>
      <w:pPr>
        <w:spacing w:before="240" w:after="80"/>
      </w:pPr>
      <w:r>
        <w:rPr>
          <w:rFonts w:ascii="Arial" w:hAnsi="Arial"/>
          <w:b/>
          <w:color w:val="1E3A5F"/>
          <w:sz w:val="26"/>
        </w:rPr>
        <w:t>3. WHAT YOU ARE BUILDING</w:t>
      </w:r>
    </w:p>
    <w:p>
      <w:pPr>
        <w:spacing w:before="60" w:after="100"/>
      </w:pPr>
      <w:r>
        <w:rPr>
          <w:rFonts w:ascii="Arial" w:hAnsi="Arial"/>
          <w:sz w:val="20"/>
        </w:rPr>
        <w:t>Build calculateCompensationScore(candidate_id, job_id) — compares candidate's expected_ctc to job's budget range and returns 0-100 fit score. Red flag candidates whose expected salary is &gt;20% above budget max. Store in candidate_job_scores table.</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HRMS-0426 parseFieldResponse() has stored normalized expected_ctc on candidates record</w:t>
      </w:r>
    </w:p>
    <w:p>
      <w:pPr>
        <w:pStyle w:val="ListBullet"/>
        <w:spacing w:before="20" w:after="20"/>
      </w:pPr>
      <w:r>
        <w:rPr>
          <w:rFonts w:ascii="Arial" w:hAnsi="Arial"/>
          <w:sz w:val="20"/>
        </w:rPr>
        <w:t>Job records have budget_min and budget_max in the same currency unit as candidates (USD base from HRMS-P909)</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Build calculateCompensationScore() function</w:t>
      </w:r>
    </w:p>
    <w:p>
      <w:pPr>
        <w:pStyle w:val="ListBullet"/>
        <w:spacing w:before="20" w:after="20"/>
      </w:pPr>
      <w:r>
        <w:rPr>
          <w:rFonts w:ascii="Arial" w:hAnsi="Arial"/>
          <w:sz w:val="20"/>
        </w:rPr>
        <w:t>calculateCompensationScore(candidate_id, job_id, tenant_id) → integer 0-100</w:t>
      </w:r>
    </w:p>
    <w:p>
      <w:pPr>
        <w:pStyle w:val="ListBullet"/>
        <w:spacing w:before="20" w:after="20"/>
      </w:pPr>
      <w:r>
        <w:rPr>
          <w:rFonts w:ascii="Arial" w:hAnsi="Arial"/>
          <w:sz w:val="20"/>
        </w:rPr>
        <w:t>Load candidate.expected_ctc (from candidates table — normalized to base units by HRMS-0426)</w:t>
      </w:r>
    </w:p>
    <w:p>
      <w:pPr>
        <w:pStyle w:val="ListBullet"/>
        <w:spacing w:before="20" w:after="20"/>
      </w:pPr>
      <w:r>
        <w:rPr>
          <w:rFonts w:ascii="Arial" w:hAnsi="Arial"/>
          <w:sz w:val="20"/>
        </w:rPr>
        <w:t>Load job.budget_min and job.budget_max (in same base units)</w:t>
      </w:r>
    </w:p>
    <w:p>
      <w:pPr>
        <w:pStyle w:val="ListBullet"/>
        <w:spacing w:before="20" w:after="20"/>
      </w:pPr>
      <w:r>
        <w:rPr>
          <w:rFonts w:ascii="Arial" w:hAnsi="Arial"/>
          <w:sz w:val="20"/>
        </w:rPr>
        <w:t>If candidate.expected_ctc is null: return 50 (neutral — cannot assess, do not penalize)</w:t>
      </w:r>
    </w:p>
    <w:p>
      <w:pPr>
        <w:pStyle w:val="ListBullet"/>
        <w:spacing w:before="20" w:after="20"/>
      </w:pPr>
      <w:r>
        <w:rPr>
          <w:rFonts w:ascii="Arial" w:hAnsi="Arial"/>
          <w:sz w:val="20"/>
        </w:rPr>
        <w:t>If job has no budget set: return 50 (neutral)</w:t>
      </w:r>
    </w:p>
    <w:p>
      <w:pPr>
        <w:pStyle w:val="ListBullet"/>
        <w:spacing w:before="20" w:after="20"/>
      </w:pPr>
      <w:r>
        <w:rPr>
          <w:rFonts w:ascii="Arial" w:hAnsi="Arial"/>
          <w:sz w:val="20"/>
        </w:rPr>
        <w:t>Scoring logic:</w:t>
      </w:r>
    </w:p>
    <w:p>
      <w:pPr>
        <w:pStyle w:val="ListBullet"/>
        <w:spacing w:before="20" w:after="20"/>
      </w:pPr>
      <w:r>
        <w:rPr>
          <w:rFonts w:ascii="Arial" w:hAnsi="Arial"/>
          <w:sz w:val="20"/>
        </w:rPr>
        <w:t>expected_ctc &lt;= budget_max: score = 100 (within budget)</w:t>
      </w:r>
    </w:p>
    <w:p>
      <w:pPr>
        <w:pStyle w:val="ListBullet"/>
        <w:spacing w:before="20" w:after="20"/>
      </w:pPr>
      <w:r>
        <w:rPr>
          <w:rFonts w:ascii="Arial" w:hAnsi="Arial"/>
          <w:sz w:val="20"/>
        </w:rPr>
        <w:t>expected_ctc &gt; budget_max by up to 10%: score = 70 (slightly over but negotiable)</w:t>
      </w:r>
    </w:p>
    <w:p>
      <w:pPr>
        <w:pStyle w:val="ListBullet"/>
        <w:spacing w:before="20" w:after="20"/>
      </w:pPr>
      <w:r>
        <w:rPr>
          <w:rFonts w:ascii="Arial" w:hAnsi="Arial"/>
          <w:sz w:val="20"/>
        </w:rPr>
        <w:t>expected_ctc &gt; budget_max by 10-20%: score = 40 (significantly over budget)</w:t>
      </w:r>
    </w:p>
    <w:p>
      <w:pPr>
        <w:pStyle w:val="ListBullet"/>
        <w:spacing w:before="20" w:after="20"/>
      </w:pPr>
      <w:r>
        <w:rPr>
          <w:rFonts w:ascii="Arial" w:hAnsi="Arial"/>
          <w:sz w:val="20"/>
        </w:rPr>
        <w:t>expected_ctc &gt; budget_max by &gt;20%: score = 10 (budget mismatch — flag for review)</w:t>
      </w:r>
    </w:p>
    <w:p>
      <w:pPr>
        <w:pStyle w:val="ListBullet"/>
        <w:spacing w:before="20" w:after="20"/>
      </w:pPr>
      <w:r>
        <w:rPr>
          <w:rFonts w:ascii="Arial" w:hAnsi="Arial"/>
          <w:sz w:val="20"/>
        </w:rPr>
        <w:t>expected_ctc &lt; budget_min by &gt;30%: score = 70 (candidate may have salary concerns — flag with note)</w:t>
      </w:r>
    </w:p>
    <w:p>
      <w:pPr>
        <w:pStyle w:val="ListBullet"/>
        <w:spacing w:before="20" w:after="20"/>
      </w:pPr>
      <w:r>
        <w:rPr>
          <w:rFonts w:ascii="Arial" w:hAnsi="Arial"/>
          <w:sz w:val="20"/>
        </w:rPr>
        <w:t>Store in candidate_job_scores.compensation_score. Update score_breakdown JSONB with compensation details.</w:t>
      </w:r>
    </w:p>
    <w:p>
      <w:pPr>
        <w:spacing w:before="160" w:after="40"/>
      </w:pPr>
      <w:r>
        <w:rPr>
          <w:rFonts w:ascii="Arial" w:hAnsi="Arial"/>
          <w:b/>
          <w:color w:val="1E3A5F"/>
          <w:sz w:val="22"/>
        </w:rPr>
        <w:t>Step 2: Build budget mismatch flag</w:t>
      </w:r>
    </w:p>
    <w:p>
      <w:pPr>
        <w:pStyle w:val="ListBullet"/>
        <w:spacing w:before="20" w:after="20"/>
      </w:pPr>
      <w:r>
        <w:rPr>
          <w:rFonts w:ascii="Arial" w:hAnsi="Arial"/>
          <w:sz w:val="20"/>
        </w:rPr>
        <w:t>If expected_ctc &gt; budget_max by &gt;20%: INSERT or UPDATE candidate_job_flags: { flag_type:'COMPENSATION_MISMATCH', message:'Candidate expects [X] which is [Y]% above the budget maximum of [Z]. Review before submission.', severity:'HIGH' }</w:t>
      </w:r>
    </w:p>
    <w:p>
      <w:pPr>
        <w:pStyle w:val="ListBullet"/>
        <w:spacing w:before="20" w:after="20"/>
      </w:pPr>
      <w:r>
        <w:rPr>
          <w:rFonts w:ascii="Arial" w:hAnsi="Arial"/>
          <w:sz w:val="20"/>
        </w:rPr>
        <w:t>This flag appears as a warning on the candidate card when viewed for that job</w:t>
      </w:r>
    </w:p>
    <w:p>
      <w:pPr>
        <w:pStyle w:val="ListBullet"/>
        <w:spacing w:before="20" w:after="20"/>
      </w:pPr>
      <w:r>
        <w:rPr>
          <w:rFonts w:ascii="Arial" w:hAnsi="Arial"/>
          <w:sz w:val="20"/>
        </w:rPr>
        <w:t>Do NOT auto-reject on compensation mismatch — human recruiter must decide</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Compensation Match Badge</w:t>
            </w:r>
          </w:p>
        </w:tc>
        <w:tc>
          <w:tcPr>
            <w:tcW w:type="dxa" w:w="1607"/>
          </w:tcPr>
          <w:p>
            <w:r>
              <w:rPr>
                <w:rFonts w:ascii="Arial" w:hAnsi="Arial"/>
                <w:sz w:val="17"/>
              </w:rPr>
              <w:t>Colored badge on candidate card per job</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Within budget / Slightly over / Budget mismatch</w:t>
            </w:r>
          </w:p>
        </w:tc>
        <w:tc>
          <w:tcPr>
            <w:tcW w:type="dxa" w:w="1607"/>
          </w:tcPr>
          <w:p>
            <w:r>
              <w:rPr>
                <w:rFonts w:ascii="Arial" w:hAnsi="Arial"/>
                <w:sz w:val="17"/>
              </w:rPr>
              <w:t>Green=score&gt;=70, Amber=40-69, Red&lt;40. Next to technical match badge.</w:t>
            </w:r>
          </w:p>
        </w:tc>
      </w:tr>
      <w:tr>
        <w:tc>
          <w:tcPr>
            <w:tcW w:type="dxa" w:w="1607"/>
          </w:tcPr>
          <w:p>
            <w:r>
              <w:rPr>
                <w:rFonts w:ascii="Arial" w:hAnsi="Arial"/>
                <w:sz w:val="17"/>
              </w:rPr>
              <w:t>Budget Mismatch Warning</w:t>
            </w:r>
          </w:p>
        </w:tc>
        <w:tc>
          <w:tcPr>
            <w:tcW w:type="dxa" w:w="1607"/>
          </w:tcPr>
          <w:p>
            <w:r>
              <w:rPr>
                <w:rFonts w:ascii="Arial" w:hAnsi="Arial"/>
                <w:sz w:val="17"/>
              </w:rPr>
              <w:t>Warning banner on candidate card</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 Expected salary 25% above budget. Review before submission.</w:t>
            </w:r>
          </w:p>
        </w:tc>
        <w:tc>
          <w:tcPr>
            <w:tcW w:type="dxa" w:w="1607"/>
          </w:tcPr>
          <w:p>
            <w:r>
              <w:rPr>
                <w:rFonts w:ascii="Arial" w:hAnsi="Arial"/>
                <w:sz w:val="17"/>
              </w:rPr>
              <w:t>Shown when flag_type=COMPENSATION_MISMATCH. Link to review.</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Null Expected Salary = 50 Neutral Score — Never 0</w:t>
      </w:r>
    </w:p>
    <w:p>
      <w:pPr>
        <w:spacing w:before="20" w:after="40"/>
      </w:pPr>
      <w:r>
        <w:rPr>
          <w:rFonts w:ascii="Arial" w:hAnsi="Arial"/>
          <w:sz w:val="19"/>
        </w:rPr>
        <w:t>If Thunder has not yet collected the candidate's expected salary: score=50. This is intentionally neutral — we do not penalize candidates for data not yet collected. As qualification progresses and salary is collected, the score updates.</w:t>
      </w:r>
    </w:p>
    <w:p>
      <w:pPr>
        <w:spacing w:before="0" w:after="80"/>
      </w:pPr>
      <w:r>
        <w:rPr>
          <w:rFonts w:ascii="Arial" w:hAnsi="Arial"/>
          <w:sz w:val="18"/>
        </w:rPr>
        <w:t xml:space="preserve">  ↳ Triggered by field: candidate.expected_ctc is null</w:t>
      </w:r>
    </w:p>
    <w:p>
      <w:pPr>
        <w:spacing w:before="120" w:after="20"/>
      </w:pPr>
      <w:r>
        <w:rPr>
          <w:rFonts w:ascii="Arial" w:hAnsi="Arial"/>
          <w:b/>
          <w:color w:val="B71C1C"/>
          <w:sz w:val="20"/>
        </w:rPr>
        <w:t>BR-02: Compensation Mismatch Does NOT Auto-Reject</w:t>
      </w:r>
    </w:p>
    <w:p>
      <w:pPr>
        <w:spacing w:before="20" w:after="40"/>
      </w:pPr>
      <w:r>
        <w:rPr>
          <w:rFonts w:ascii="Arial" w:hAnsi="Arial"/>
          <w:sz w:val="19"/>
        </w:rPr>
        <w:t>Even a compensation_score of 10 does not automatically remove the candidate from consideration. It flags them for recruiter review. The recruiter may know of budget flexibility or the candidate may negotiate. Auto-rejection on salary mismatch removes legitimate candidates.</w:t>
      </w:r>
    </w:p>
    <w:p>
      <w:pPr>
        <w:spacing w:before="0" w:after="80"/>
      </w:pPr>
      <w:r>
        <w:rPr>
          <w:rFonts w:ascii="Arial" w:hAnsi="Arial"/>
          <w:sz w:val="18"/>
        </w:rPr>
        <w:t xml:space="preserve">  ↳ Triggered by field: compensation_score=10</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candidate_job_scores table</w:t>
            </w:r>
          </w:p>
        </w:tc>
        <w:tc>
          <w:tcPr>
            <w:tcW w:type="dxa" w:w="1607"/>
          </w:tcPr>
          <w:p>
            <w:r>
              <w:rPr>
                <w:rFonts w:ascii="Arial" w:hAnsi="Arial"/>
                <w:sz w:val="17"/>
              </w:rPr>
              <w:t>Write</w:t>
            </w:r>
          </w:p>
        </w:tc>
        <w:tc>
          <w:tcPr>
            <w:tcW w:type="dxa" w:w="1607"/>
          </w:tcPr>
          <w:p>
            <w:r>
              <w:rPr>
                <w:rFonts w:ascii="Arial" w:hAnsi="Arial"/>
                <w:sz w:val="17"/>
              </w:rPr>
              <w:t>After calculateCompensationScore()</w:t>
            </w:r>
          </w:p>
        </w:tc>
        <w:tc>
          <w:tcPr>
            <w:tcW w:type="dxa" w:w="1607"/>
          </w:tcPr>
          <w:p>
            <w:r>
              <w:rPr>
                <w:rFonts w:ascii="Arial" w:hAnsi="Arial"/>
                <w:sz w:val="17"/>
              </w:rPr>
              <w:t>compensation_score + flag</w:t>
            </w:r>
          </w:p>
        </w:tc>
        <w:tc>
          <w:tcPr>
            <w:tcW w:type="dxa" w:w="1607"/>
          </w:tcPr>
          <w:p>
            <w:r>
              <w:rPr>
                <w:rFonts w:ascii="Arial" w:hAnsi="Arial"/>
                <w:sz w:val="17"/>
              </w:rPr>
              <w:t>Internal DB</w:t>
            </w:r>
          </w:p>
        </w:tc>
        <w:tc>
          <w:tcPr>
            <w:tcW w:type="dxa" w:w="1607"/>
          </w:tcPr>
          <w:p>
            <w:r>
              <w:rPr>
                <w:rFonts w:ascii="Arial" w:hAnsi="Arial"/>
                <w:sz w:val="17"/>
              </w:rPr>
              <w:t>UPDATE compensation_score in existing record or INSERT if not exists</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candidates.expected_ctc (base units)</w:t>
            </w:r>
          </w:p>
        </w:tc>
        <w:tc>
          <w:tcPr>
            <w:tcW w:type="dxa" w:w="1928"/>
          </w:tcPr>
          <w:p>
            <w:r>
              <w:rPr>
                <w:rFonts w:ascii="Arial" w:hAnsi="Arial"/>
                <w:sz w:val="17"/>
              </w:rPr>
              <w:t>candidates</w:t>
            </w:r>
          </w:p>
        </w:tc>
        <w:tc>
          <w:tcPr>
            <w:tcW w:type="dxa" w:w="1928"/>
          </w:tcPr>
          <w:p>
            <w:r>
              <w:rPr>
                <w:rFonts w:ascii="Arial" w:hAnsi="Arial"/>
                <w:sz w:val="17"/>
              </w:rPr>
              <w:t>Candidate salary expectation input</w:t>
            </w:r>
          </w:p>
        </w:tc>
        <w:tc>
          <w:tcPr>
            <w:tcW w:type="dxa" w:w="1928"/>
          </w:tcPr>
          <w:p>
            <w:r>
              <w:rPr>
                <w:rFonts w:ascii="Arial" w:hAnsi="Arial"/>
                <w:sz w:val="17"/>
              </w:rPr>
              <w:t>calculateCompensationScore()</w:t>
            </w:r>
          </w:p>
        </w:tc>
        <w:tc>
          <w:tcPr>
            <w:tcW w:type="dxa" w:w="1928"/>
          </w:tcPr>
          <w:p>
            <w:r>
              <w:rPr>
                <w:rFonts w:ascii="Arial" w:hAnsi="Arial"/>
                <w:sz w:val="17"/>
              </w:rPr>
              <w:t>In paise or cents from HRMS-0426 normalization</w:t>
            </w:r>
          </w:p>
        </w:tc>
      </w:tr>
      <w:tr>
        <w:tc>
          <w:tcPr>
            <w:tcW w:type="dxa" w:w="1928"/>
          </w:tcPr>
          <w:p>
            <w:r>
              <w:rPr>
                <w:rFonts w:ascii="Arial" w:hAnsi="Arial"/>
                <w:sz w:val="17"/>
              </w:rPr>
              <w:t>job.budget_max (base units)</w:t>
            </w:r>
          </w:p>
        </w:tc>
        <w:tc>
          <w:tcPr>
            <w:tcW w:type="dxa" w:w="1928"/>
          </w:tcPr>
          <w:p>
            <w:r>
              <w:rPr>
                <w:rFonts w:ascii="Arial" w:hAnsi="Arial"/>
                <w:sz w:val="17"/>
              </w:rPr>
              <w:t>jobs</w:t>
            </w:r>
          </w:p>
        </w:tc>
        <w:tc>
          <w:tcPr>
            <w:tcW w:type="dxa" w:w="1928"/>
          </w:tcPr>
          <w:p>
            <w:r>
              <w:rPr>
                <w:rFonts w:ascii="Arial" w:hAnsi="Arial"/>
                <w:sz w:val="17"/>
              </w:rPr>
              <w:t>Budget ceiling for comparison</w:t>
            </w:r>
          </w:p>
        </w:tc>
        <w:tc>
          <w:tcPr>
            <w:tcW w:type="dxa" w:w="1928"/>
          </w:tcPr>
          <w:p>
            <w:r>
              <w:rPr>
                <w:rFonts w:ascii="Arial" w:hAnsi="Arial"/>
                <w:sz w:val="17"/>
              </w:rPr>
              <w:t>calculateCompensationScore()</w:t>
            </w:r>
          </w:p>
        </w:tc>
        <w:tc>
          <w:tcPr>
            <w:tcW w:type="dxa" w:w="1928"/>
          </w:tcPr>
          <w:p>
            <w:r>
              <w:rPr>
                <w:rFonts w:ascii="Arial" w:hAnsi="Arial"/>
                <w:sz w:val="17"/>
              </w:rPr>
              <w:t>Same base units as expected_ctc</w:t>
            </w:r>
          </w:p>
        </w:tc>
      </w:tr>
      <w:tr>
        <w:tc>
          <w:tcPr>
            <w:tcW w:type="dxa" w:w="1928"/>
          </w:tcPr>
          <w:p>
            <w:r>
              <w:rPr>
                <w:rFonts w:ascii="Arial" w:hAnsi="Arial"/>
                <w:sz w:val="17"/>
              </w:rPr>
              <w:t>Compensation percentage over/under budget</w:t>
            </w:r>
          </w:p>
        </w:tc>
        <w:tc>
          <w:tcPr>
            <w:tcW w:type="dxa" w:w="1928"/>
          </w:tcPr>
          <w:p>
            <w:r>
              <w:rPr>
                <w:rFonts w:ascii="Arial" w:hAnsi="Arial"/>
                <w:sz w:val="17"/>
              </w:rPr>
              <w:t>Calculation result</w:t>
            </w:r>
          </w:p>
        </w:tc>
        <w:tc>
          <w:tcPr>
            <w:tcW w:type="dxa" w:w="1928"/>
          </w:tcPr>
          <w:p>
            <w:r>
              <w:rPr>
                <w:rFonts w:ascii="Arial" w:hAnsi="Arial"/>
                <w:sz w:val="17"/>
              </w:rPr>
              <w:t>compensation_score + flag trigger</w:t>
            </w:r>
          </w:p>
        </w:tc>
        <w:tc>
          <w:tcPr>
            <w:tcW w:type="dxa" w:w="1928"/>
          </w:tcPr>
          <w:p>
            <w:r>
              <w:rPr>
                <w:rFonts w:ascii="Arial" w:hAnsi="Arial"/>
                <w:sz w:val="17"/>
              </w:rPr>
              <w:t>candidate_job_scores + candidate_job_flags</w:t>
            </w:r>
          </w:p>
        </w:tc>
        <w:tc>
          <w:tcPr>
            <w:tcW w:type="dxa" w:w="1928"/>
          </w:tcPr>
          <w:p>
            <w:r>
              <w:rPr>
                <w:rFonts w:ascii="Arial" w:hAnsi="Arial"/>
                <w:sz w:val="17"/>
              </w:rPr>
              <w:t>Score derived from percentage difference</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Candidate expected within budget: compensation_score=100</w:t>
      </w:r>
    </w:p>
    <w:p>
      <w:pPr>
        <w:spacing w:before="60" w:after="60"/>
        <w:ind w:left="200"/>
      </w:pPr>
      <w:r>
        <w:rPr>
          <w:rFonts w:ascii="Arial" w:hAnsi="Arial"/>
          <w:sz w:val="20"/>
        </w:rPr>
        <w:t>☐  Candidate expected 12% above budget max: score=40</w:t>
      </w:r>
    </w:p>
    <w:p>
      <w:pPr>
        <w:spacing w:before="60" w:after="60"/>
        <w:ind w:left="200"/>
      </w:pPr>
      <w:r>
        <w:rPr>
          <w:rFonts w:ascii="Arial" w:hAnsi="Arial"/>
          <w:sz w:val="20"/>
        </w:rPr>
        <w:t>☐  Candidate expected 25% above budget max: score=10, COMPENSATION_MISMATCH flag created</w:t>
      </w:r>
    </w:p>
    <w:p>
      <w:pPr>
        <w:spacing w:before="60" w:after="60"/>
        <w:ind w:left="200"/>
      </w:pPr>
      <w:r>
        <w:rPr>
          <w:rFonts w:ascii="Arial" w:hAnsi="Arial"/>
          <w:sz w:val="20"/>
        </w:rPr>
        <w:t>☐  Candidate with null expected_ctc: score=50 (neutral)</w:t>
      </w:r>
    </w:p>
    <w:p>
      <w:pPr>
        <w:spacing w:before="60" w:after="60"/>
        <w:ind w:left="200"/>
      </w:pPr>
      <w:r>
        <w:rPr>
          <w:rFonts w:ascii="Arial" w:hAnsi="Arial"/>
          <w:sz w:val="20"/>
        </w:rPr>
        <w:t>☐  Score stored in candidate_job_scores.compensation_score</w:t>
      </w:r>
    </w:p>
    <w:p>
      <w:pPr>
        <w:spacing w:before="60" w:after="60"/>
        <w:ind w:left="200"/>
      </w:pPr>
      <w:r>
        <w:rPr>
          <w:rFonts w:ascii="Arial" w:hAnsi="Arial"/>
          <w:sz w:val="20"/>
        </w:rPr>
        <w:t>☐  Score_breakdown JSONB updated with compensation details</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w:t>
            </w:r>
          </w:p>
        </w:tc>
        <w:tc>
          <w:tcPr>
            <w:tcW w:type="dxa" w:w="1607"/>
          </w:tcPr>
          <w:p>
            <w:r>
              <w:rPr>
                <w:rFonts w:ascii="Arial" w:hAnsi="Arial"/>
                <w:sz w:val="17"/>
              </w:rPr>
              <w:t>Within budget</w:t>
            </w:r>
          </w:p>
        </w:tc>
        <w:tc>
          <w:tcPr>
            <w:tcW w:type="dxa" w:w="1607"/>
          </w:tcPr>
          <w:p>
            <w:r>
              <w:rPr>
                <w:rFonts w:ascii="Arial" w:hAnsi="Arial"/>
                <w:sz w:val="17"/>
              </w:rPr>
              <w:t>expected_ctc=1800000, budget_max=2000000.</w:t>
            </w:r>
          </w:p>
        </w:tc>
        <w:tc>
          <w:tcPr>
            <w:tcW w:type="dxa" w:w="1607"/>
          </w:tcPr>
          <w:p>
            <w:r>
              <w:rPr>
                <w:rFonts w:ascii="Arial" w:hAnsi="Arial"/>
                <w:sz w:val="17"/>
              </w:rPr>
              <w:t>compensation_score=100</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AC-2</w:t>
            </w:r>
          </w:p>
        </w:tc>
        <w:tc>
          <w:tcPr>
            <w:tcW w:type="dxa" w:w="1607"/>
          </w:tcPr>
          <w:p>
            <w:r>
              <w:rPr>
                <w:rFonts w:ascii="Arial" w:hAnsi="Arial"/>
                <w:sz w:val="17"/>
              </w:rPr>
              <w:t>12% over</w:t>
            </w:r>
          </w:p>
        </w:tc>
        <w:tc>
          <w:tcPr>
            <w:tcW w:type="dxa" w:w="1607"/>
          </w:tcPr>
          <w:p>
            <w:r>
              <w:rPr>
                <w:rFonts w:ascii="Arial" w:hAnsi="Arial"/>
                <w:sz w:val="17"/>
              </w:rPr>
              <w:t>expected_ctc=2240000, budget_max=2000000 (12% over).</w:t>
            </w:r>
          </w:p>
        </w:tc>
        <w:tc>
          <w:tcPr>
            <w:tcW w:type="dxa" w:w="1607"/>
          </w:tcPr>
          <w:p>
            <w:r>
              <w:rPr>
                <w:rFonts w:ascii="Arial" w:hAnsi="Arial"/>
                <w:sz w:val="17"/>
              </w:rPr>
              <w:t>compensation_score=40</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AC-3</w:t>
            </w:r>
          </w:p>
        </w:tc>
        <w:tc>
          <w:tcPr>
            <w:tcW w:type="dxa" w:w="1607"/>
          </w:tcPr>
          <w:p>
            <w:r>
              <w:rPr>
                <w:rFonts w:ascii="Arial" w:hAnsi="Arial"/>
                <w:sz w:val="17"/>
              </w:rPr>
              <w:t>25% over with flag</w:t>
            </w:r>
          </w:p>
        </w:tc>
        <w:tc>
          <w:tcPr>
            <w:tcW w:type="dxa" w:w="1607"/>
          </w:tcPr>
          <w:p>
            <w:r>
              <w:rPr>
                <w:rFonts w:ascii="Arial" w:hAnsi="Arial"/>
                <w:sz w:val="17"/>
              </w:rPr>
              <w:t>expected_ctc=2500000, budget_max=2000000 (25% over).</w:t>
            </w:r>
          </w:p>
        </w:tc>
        <w:tc>
          <w:tcPr>
            <w:tcW w:type="dxa" w:w="1607"/>
          </w:tcPr>
          <w:p>
            <w:r>
              <w:rPr>
                <w:rFonts w:ascii="Arial" w:hAnsi="Arial"/>
                <w:sz w:val="17"/>
              </w:rPr>
              <w:t>compensation_score=10. COMPENSATION_MISMATCH flag created.</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AC-4</w:t>
            </w:r>
          </w:p>
        </w:tc>
        <w:tc>
          <w:tcPr>
            <w:tcW w:type="dxa" w:w="1607"/>
          </w:tcPr>
          <w:p>
            <w:r>
              <w:rPr>
                <w:rFonts w:ascii="Arial" w:hAnsi="Arial"/>
                <w:sz w:val="17"/>
              </w:rPr>
              <w:t>Null salary</w:t>
            </w:r>
          </w:p>
        </w:tc>
        <w:tc>
          <w:tcPr>
            <w:tcW w:type="dxa" w:w="1607"/>
          </w:tcPr>
          <w:p>
            <w:r>
              <w:rPr>
                <w:rFonts w:ascii="Arial" w:hAnsi="Arial"/>
                <w:sz w:val="17"/>
              </w:rPr>
              <w:t>candidate.expected_ctc=null.</w:t>
            </w:r>
          </w:p>
        </w:tc>
        <w:tc>
          <w:tcPr>
            <w:tcW w:type="dxa" w:w="1607"/>
          </w:tcPr>
          <w:p>
            <w:r>
              <w:rPr>
                <w:rFonts w:ascii="Arial" w:hAnsi="Arial"/>
                <w:sz w:val="17"/>
              </w:rPr>
              <w:t>compensation_score=50</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salary negotiation tracking — future story</w:t>
      </w:r>
    </w:p>
    <w:p>
      <w:pPr>
        <w:pStyle w:val="ListBullet"/>
        <w:spacing w:before="20" w:after="20"/>
      </w:pPr>
      <w:r>
        <w:rPr>
          <w:rFonts w:ascii="Arial" w:hAnsi="Arial"/>
          <w:sz w:val="20"/>
        </w:rPr>
        <w:t>Do NOT build market salary benchmarking — future story (HRMS-P913)</w:t>
      </w:r>
    </w:p>
    <w:p>
      <w:pPr>
        <w:pStyle w:val="ListBullet"/>
        <w:spacing w:before="20" w:after="20"/>
      </w:pPr>
      <w:r>
        <w:rPr>
          <w:rFonts w:ascii="Arial" w:hAnsi="Arial"/>
          <w:sz w:val="20"/>
        </w:rPr>
        <w:t>Do NOT auto-reject on compensation mismatch — recruiter decision only</w:t>
      </w:r>
    </w:p>
    <w:p>
      <w:pPr>
        <w:spacing w:before="400"/>
        <w:jc w:val="center"/>
      </w:pPr>
      <w:r>
        <w:rPr>
          <w:rFonts w:ascii="Arial" w:hAnsi="Arial"/>
          <w:color w:val="424242"/>
          <w:sz w:val="16"/>
        </w:rPr>
        <w:t>S-038 — Compensation Fit Score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