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51698B" w14:textId="63037778" w:rsidR="00AF50E1" w:rsidRDefault="007A060B">
      <w:pPr>
        <w:jc w:val="center"/>
      </w:pPr>
      <w:r>
        <w:rPr>
          <w:b/>
          <w:sz w:val="20"/>
          <w:szCs w:val="20"/>
          <w:highlight w:val="white"/>
        </w:rPr>
        <w:t>Astragalus</w:t>
      </w:r>
    </w:p>
    <w:p w14:paraId="344ACA6B" w14:textId="77777777" w:rsidR="00AF50E1" w:rsidRDefault="00AF50E1">
      <w:pPr>
        <w:jc w:val="center"/>
      </w:pPr>
    </w:p>
    <w:p w14:paraId="34444B4E" w14:textId="77777777" w:rsidR="00AF50E1" w:rsidRDefault="007A060B">
      <w:r>
        <w:rPr>
          <w:b/>
          <w:sz w:val="20"/>
          <w:szCs w:val="20"/>
          <w:highlight w:val="white"/>
        </w:rPr>
        <w:t>Name:</w:t>
      </w:r>
      <w:r>
        <w:rPr>
          <w:sz w:val="20"/>
          <w:szCs w:val="20"/>
          <w:highlight w:val="white"/>
        </w:rPr>
        <w:t xml:space="preserve"> Astragalus. </w:t>
      </w:r>
      <w:r>
        <w:rPr>
          <w:i/>
          <w:sz w:val="20"/>
          <w:szCs w:val="20"/>
          <w:highlight w:val="white"/>
        </w:rPr>
        <w:t xml:space="preserve">Astragalus propinquus/membranaceus, </w:t>
      </w:r>
      <w:r>
        <w:rPr>
          <w:sz w:val="20"/>
          <w:szCs w:val="20"/>
          <w:highlight w:val="white"/>
        </w:rPr>
        <w:t xml:space="preserve">syn. </w:t>
      </w:r>
      <w:r>
        <w:rPr>
          <w:i/>
          <w:sz w:val="20"/>
          <w:szCs w:val="20"/>
          <w:highlight w:val="white"/>
        </w:rPr>
        <w:t>A. membranaseus.</w:t>
      </w:r>
      <w:r>
        <w:rPr>
          <w:sz w:val="20"/>
          <w:szCs w:val="20"/>
          <w:highlight w:val="white"/>
        </w:rPr>
        <w:t xml:space="preserve"> Milk vetch root, huang qi (Chinese), ogi (Japanese), and hwanggi (Korean).</w:t>
      </w:r>
    </w:p>
    <w:p w14:paraId="3B09C069" w14:textId="77777777" w:rsidR="00AF50E1" w:rsidRDefault="00AF50E1"/>
    <w:p w14:paraId="00274428" w14:textId="77777777" w:rsidR="00AF50E1" w:rsidRDefault="007A060B">
      <w:r>
        <w:rPr>
          <w:b/>
          <w:sz w:val="20"/>
          <w:szCs w:val="20"/>
          <w:highlight w:val="white"/>
        </w:rPr>
        <w:t>Parts Used:</w:t>
      </w:r>
      <w:r>
        <w:rPr>
          <w:sz w:val="20"/>
          <w:szCs w:val="20"/>
          <w:highlight w:val="white"/>
        </w:rPr>
        <w:t xml:space="preserve"> Root/rhizome.</w:t>
      </w:r>
    </w:p>
    <w:p w14:paraId="7D6E54FF" w14:textId="77777777" w:rsidR="00AF50E1" w:rsidRDefault="00AF50E1"/>
    <w:p w14:paraId="0CBFA9C3" w14:textId="58FFF15C" w:rsidR="00AF50E1" w:rsidRDefault="008422CF">
      <w:r>
        <w:rPr>
          <w:b/>
          <w:sz w:val="20"/>
          <w:szCs w:val="20"/>
          <w:highlight w:val="white"/>
        </w:rPr>
        <w:t>Native</w:t>
      </w:r>
      <w:r w:rsidR="008A43DE">
        <w:rPr>
          <w:b/>
          <w:sz w:val="20"/>
          <w:szCs w:val="20"/>
          <w:highlight w:val="white"/>
        </w:rPr>
        <w:t xml:space="preserve"> To</w:t>
      </w:r>
      <w:r w:rsidR="007A060B">
        <w:rPr>
          <w:b/>
          <w:sz w:val="20"/>
          <w:szCs w:val="20"/>
          <w:highlight w:val="white"/>
        </w:rPr>
        <w:t xml:space="preserve">: </w:t>
      </w:r>
      <w:r w:rsidR="007A060B">
        <w:rPr>
          <w:sz w:val="20"/>
          <w:szCs w:val="20"/>
          <w:highlight w:val="white"/>
        </w:rPr>
        <w:t xml:space="preserve">Asia. Northern and eastern parts of China. Can be grown in New England. </w:t>
      </w:r>
    </w:p>
    <w:p w14:paraId="2FE047BA" w14:textId="77777777" w:rsidR="00AF50E1" w:rsidRDefault="007A060B">
      <w:r>
        <w:rPr>
          <w:b/>
          <w:sz w:val="20"/>
          <w:szCs w:val="20"/>
          <w:highlight w:val="white"/>
        </w:rPr>
        <w:br/>
        <w:t xml:space="preserve">Uses: </w:t>
      </w:r>
      <w:r>
        <w:rPr>
          <w:sz w:val="20"/>
          <w:szCs w:val="20"/>
          <w:highlight w:val="white"/>
        </w:rPr>
        <w:t>Medicinal</w:t>
      </w:r>
    </w:p>
    <w:p w14:paraId="4A2C72A7" w14:textId="77777777" w:rsidR="00AF50E1" w:rsidRDefault="007A060B">
      <w:pPr>
        <w:numPr>
          <w:ilvl w:val="0"/>
          <w:numId w:val="2"/>
        </w:numPr>
        <w:ind w:hanging="360"/>
        <w:contextualSpacing/>
        <w:rPr>
          <w:sz w:val="20"/>
          <w:szCs w:val="20"/>
          <w:highlight w:val="white"/>
        </w:rPr>
      </w:pPr>
      <w:r>
        <w:rPr>
          <w:sz w:val="20"/>
          <w:szCs w:val="20"/>
          <w:highlight w:val="white"/>
        </w:rPr>
        <w:t>Used in Chinese medicine. Strengthens “chi” (vital force)</w:t>
      </w:r>
    </w:p>
    <w:p w14:paraId="26374078" w14:textId="77777777" w:rsidR="00AF50E1" w:rsidRDefault="007A060B">
      <w:pPr>
        <w:numPr>
          <w:ilvl w:val="0"/>
          <w:numId w:val="2"/>
        </w:numPr>
        <w:ind w:hanging="360"/>
        <w:contextualSpacing/>
        <w:rPr>
          <w:sz w:val="20"/>
          <w:szCs w:val="20"/>
          <w:highlight w:val="white"/>
        </w:rPr>
      </w:pPr>
      <w:r>
        <w:rPr>
          <w:sz w:val="20"/>
          <w:szCs w:val="20"/>
          <w:highlight w:val="white"/>
        </w:rPr>
        <w:t>Immune tonic. An immune system modulator.</w:t>
      </w:r>
    </w:p>
    <w:p w14:paraId="30B1003B" w14:textId="77777777" w:rsidR="00AF50E1" w:rsidRDefault="007A060B">
      <w:pPr>
        <w:numPr>
          <w:ilvl w:val="0"/>
          <w:numId w:val="2"/>
        </w:numPr>
        <w:ind w:hanging="360"/>
        <w:contextualSpacing/>
        <w:rPr>
          <w:sz w:val="20"/>
          <w:szCs w:val="20"/>
          <w:highlight w:val="white"/>
        </w:rPr>
      </w:pPr>
      <w:r>
        <w:rPr>
          <w:sz w:val="20"/>
          <w:szCs w:val="20"/>
          <w:highlight w:val="white"/>
        </w:rPr>
        <w:t>Used mainly to strengthen the immune and digestive systems.</w:t>
      </w:r>
    </w:p>
    <w:p w14:paraId="11629999" w14:textId="77777777" w:rsidR="00AF50E1" w:rsidRDefault="007A060B">
      <w:pPr>
        <w:numPr>
          <w:ilvl w:val="0"/>
          <w:numId w:val="2"/>
        </w:numPr>
        <w:ind w:hanging="360"/>
        <w:contextualSpacing/>
        <w:rPr>
          <w:sz w:val="20"/>
          <w:szCs w:val="20"/>
          <w:highlight w:val="white"/>
        </w:rPr>
      </w:pPr>
      <w:r>
        <w:rPr>
          <w:sz w:val="20"/>
          <w:szCs w:val="20"/>
          <w:highlight w:val="white"/>
        </w:rPr>
        <w:t>Prevents infection</w:t>
      </w:r>
    </w:p>
    <w:p w14:paraId="0EAB44F9" w14:textId="77777777" w:rsidR="00AF50E1" w:rsidRDefault="007A060B">
      <w:pPr>
        <w:numPr>
          <w:ilvl w:val="0"/>
          <w:numId w:val="2"/>
        </w:numPr>
        <w:ind w:hanging="360"/>
        <w:contextualSpacing/>
        <w:rPr>
          <w:sz w:val="20"/>
          <w:szCs w:val="20"/>
          <w:highlight w:val="white"/>
        </w:rPr>
      </w:pPr>
      <w:r>
        <w:rPr>
          <w:sz w:val="20"/>
          <w:szCs w:val="20"/>
          <w:highlight w:val="white"/>
        </w:rPr>
        <w:t>Recent research showing that it might be helpful for various autoimmune diseases and cancers</w:t>
      </w:r>
    </w:p>
    <w:p w14:paraId="5B81B562" w14:textId="77777777" w:rsidR="00AF50E1" w:rsidRDefault="007A060B">
      <w:pPr>
        <w:numPr>
          <w:ilvl w:val="0"/>
          <w:numId w:val="2"/>
        </w:numPr>
        <w:ind w:hanging="360"/>
        <w:contextualSpacing/>
        <w:rPr>
          <w:sz w:val="20"/>
          <w:szCs w:val="20"/>
          <w:highlight w:val="white"/>
        </w:rPr>
      </w:pPr>
      <w:r>
        <w:rPr>
          <w:sz w:val="20"/>
          <w:szCs w:val="20"/>
          <w:highlight w:val="white"/>
        </w:rPr>
        <w:t>Use post chemotherapy and radiation to help rebuild immune system (blood strengthening properties), even for children</w:t>
      </w:r>
    </w:p>
    <w:p w14:paraId="1A1861E5" w14:textId="77777777" w:rsidR="00AF50E1" w:rsidRDefault="007A060B">
      <w:pPr>
        <w:numPr>
          <w:ilvl w:val="0"/>
          <w:numId w:val="2"/>
        </w:numPr>
        <w:ind w:hanging="360"/>
        <w:contextualSpacing/>
        <w:rPr>
          <w:sz w:val="20"/>
          <w:szCs w:val="20"/>
          <w:highlight w:val="white"/>
        </w:rPr>
      </w:pPr>
      <w:r>
        <w:rPr>
          <w:sz w:val="20"/>
          <w:szCs w:val="20"/>
          <w:highlight w:val="white"/>
        </w:rPr>
        <w:t>“Energetically warming and nourishing and best for cold, stagnant states.”</w:t>
      </w:r>
    </w:p>
    <w:p w14:paraId="34705A3F" w14:textId="77777777" w:rsidR="00AF50E1" w:rsidRDefault="007A060B">
      <w:pPr>
        <w:numPr>
          <w:ilvl w:val="0"/>
          <w:numId w:val="2"/>
        </w:numPr>
        <w:ind w:hanging="360"/>
        <w:contextualSpacing/>
        <w:rPr>
          <w:sz w:val="20"/>
          <w:szCs w:val="20"/>
          <w:highlight w:val="white"/>
        </w:rPr>
      </w:pPr>
      <w:r>
        <w:rPr>
          <w:sz w:val="20"/>
          <w:szCs w:val="20"/>
          <w:highlight w:val="white"/>
        </w:rPr>
        <w:t>“Aids the functioning of many body systems and supports the cardiovascular system, liver, and kidneys.”</w:t>
      </w:r>
    </w:p>
    <w:p w14:paraId="5542E460" w14:textId="77777777" w:rsidR="00AF50E1" w:rsidRDefault="007A060B">
      <w:pPr>
        <w:numPr>
          <w:ilvl w:val="0"/>
          <w:numId w:val="2"/>
        </w:numPr>
        <w:ind w:hanging="360"/>
        <w:contextualSpacing/>
        <w:rPr>
          <w:sz w:val="20"/>
          <w:szCs w:val="20"/>
          <w:highlight w:val="white"/>
        </w:rPr>
      </w:pPr>
      <w:r>
        <w:rPr>
          <w:sz w:val="20"/>
          <w:szCs w:val="20"/>
          <w:highlight w:val="white"/>
        </w:rPr>
        <w:t>“More stem cells are produced in the bone marrow and lymph which develop into active immune cells throughout the body.”</w:t>
      </w:r>
    </w:p>
    <w:p w14:paraId="02400747" w14:textId="77777777" w:rsidR="00AF50E1" w:rsidRDefault="007A060B">
      <w:pPr>
        <w:numPr>
          <w:ilvl w:val="0"/>
          <w:numId w:val="2"/>
        </w:numPr>
        <w:ind w:hanging="360"/>
        <w:contextualSpacing/>
        <w:rPr>
          <w:sz w:val="20"/>
          <w:szCs w:val="20"/>
          <w:highlight w:val="white"/>
        </w:rPr>
      </w:pPr>
      <w:r>
        <w:rPr>
          <w:sz w:val="20"/>
          <w:szCs w:val="20"/>
          <w:highlight w:val="white"/>
        </w:rPr>
        <w:t>“Affinity to the lungs and the respiratory system”</w:t>
      </w:r>
    </w:p>
    <w:p w14:paraId="6D63DE72" w14:textId="77777777" w:rsidR="00AF50E1" w:rsidRDefault="007A060B">
      <w:pPr>
        <w:numPr>
          <w:ilvl w:val="0"/>
          <w:numId w:val="2"/>
        </w:numPr>
        <w:ind w:hanging="360"/>
        <w:contextualSpacing/>
        <w:rPr>
          <w:sz w:val="20"/>
          <w:szCs w:val="20"/>
          <w:highlight w:val="white"/>
        </w:rPr>
      </w:pPr>
      <w:r>
        <w:rPr>
          <w:sz w:val="20"/>
          <w:szCs w:val="20"/>
          <w:highlight w:val="white"/>
        </w:rPr>
        <w:t>“Discharge[s] pus and promotes the healing of ulcers.</w:t>
      </w:r>
    </w:p>
    <w:p w14:paraId="2B59A956" w14:textId="77777777" w:rsidR="00AF50E1" w:rsidRDefault="007A060B">
      <w:pPr>
        <w:numPr>
          <w:ilvl w:val="0"/>
          <w:numId w:val="2"/>
        </w:numPr>
        <w:ind w:hanging="360"/>
        <w:contextualSpacing/>
        <w:rPr>
          <w:sz w:val="20"/>
          <w:szCs w:val="20"/>
          <w:highlight w:val="white"/>
        </w:rPr>
      </w:pPr>
      <w:r>
        <w:rPr>
          <w:sz w:val="20"/>
          <w:szCs w:val="20"/>
          <w:highlight w:val="white"/>
        </w:rPr>
        <w:t>Considered adaptogenic</w:t>
      </w:r>
      <w:r>
        <w:rPr>
          <w:sz w:val="20"/>
          <w:szCs w:val="20"/>
          <w:highlight w:val="white"/>
        </w:rPr>
        <w:br/>
      </w:r>
    </w:p>
    <w:p w14:paraId="29C224A1" w14:textId="77777777" w:rsidR="00AF50E1" w:rsidRDefault="007A060B">
      <w:r>
        <w:rPr>
          <w:b/>
          <w:sz w:val="20"/>
          <w:szCs w:val="20"/>
          <w:highlight w:val="white"/>
        </w:rPr>
        <w:t>Actions:</w:t>
      </w:r>
      <w:r w:rsidR="008422CF">
        <w:rPr>
          <w:sz w:val="20"/>
          <w:szCs w:val="20"/>
          <w:highlight w:val="white"/>
        </w:rPr>
        <w:t xml:space="preserve"> Adaptogen, anti-</w:t>
      </w:r>
      <w:r>
        <w:rPr>
          <w:sz w:val="20"/>
          <w:szCs w:val="20"/>
          <w:highlight w:val="white"/>
        </w:rPr>
        <w:t>inflammatory and antibacterial.</w:t>
      </w:r>
    </w:p>
    <w:p w14:paraId="18040CE8" w14:textId="77777777" w:rsidR="00AF50E1" w:rsidRDefault="00AF50E1"/>
    <w:p w14:paraId="6E6FE0A4" w14:textId="4A0C7F19" w:rsidR="005C60D0" w:rsidRDefault="007A060B">
      <w:r>
        <w:rPr>
          <w:b/>
          <w:sz w:val="20"/>
          <w:szCs w:val="20"/>
          <w:highlight w:val="white"/>
        </w:rPr>
        <w:t>Constituents:</w:t>
      </w:r>
      <w:r>
        <w:rPr>
          <w:sz w:val="20"/>
          <w:szCs w:val="20"/>
          <w:highlight w:val="white"/>
        </w:rPr>
        <w:t xml:space="preserve"> Glycosides, choline, betaine, rumatakenin, sugar, polysacharides (which improve the function of NK and T-cells and also increase production of interferon</w:t>
      </w:r>
      <w:r w:rsidR="00B46E53" w:rsidRPr="00352155">
        <w:rPr>
          <w:vertAlign w:val="superscript"/>
        </w:rPr>
        <w:t>1</w:t>
      </w:r>
      <w:r w:rsidR="005C60D0">
        <w:rPr>
          <w:sz w:val="20"/>
          <w:szCs w:val="20"/>
          <w:highlight w:val="white"/>
        </w:rPr>
        <w:t>), plant acid, beta-sitosterol, vitamin A.</w:t>
      </w:r>
    </w:p>
    <w:p w14:paraId="5509F4E7" w14:textId="0F7AFAE3" w:rsidR="005C60D0" w:rsidRPr="00352155" w:rsidRDefault="005C60D0">
      <w:r>
        <w:rPr>
          <w:sz w:val="20"/>
          <w:szCs w:val="20"/>
          <w:highlight w:val="white"/>
        </w:rPr>
        <w:br/>
        <w:t>“Contains triterpenoid saponins, which behave in the same manner as animal steroid hormones.”</w:t>
      </w:r>
      <w:r w:rsidR="00352155" w:rsidRPr="00352155">
        <w:rPr>
          <w:vertAlign w:val="superscript"/>
        </w:rPr>
        <w:t>1</w:t>
      </w:r>
    </w:p>
    <w:p w14:paraId="72FD69A4" w14:textId="77777777" w:rsidR="00B46E53" w:rsidRDefault="00B46E53">
      <w:pPr>
        <w:rPr>
          <w:sz w:val="20"/>
          <w:szCs w:val="20"/>
          <w:highlight w:val="white"/>
          <w:vertAlign w:val="superscript"/>
        </w:rPr>
      </w:pPr>
    </w:p>
    <w:p w14:paraId="33FD9102" w14:textId="77777777" w:rsidR="005C60D0" w:rsidRDefault="005C60D0">
      <w:r>
        <w:rPr>
          <w:b/>
          <w:sz w:val="20"/>
          <w:szCs w:val="20"/>
          <w:highlight w:val="white"/>
        </w:rPr>
        <w:t xml:space="preserve">Tincture and Capsules (Dosage): </w:t>
      </w:r>
    </w:p>
    <w:p w14:paraId="21B0C57B" w14:textId="77777777" w:rsidR="005C60D0" w:rsidRDefault="005C60D0">
      <w:pPr>
        <w:numPr>
          <w:ilvl w:val="0"/>
          <w:numId w:val="3"/>
        </w:numPr>
        <w:ind w:hanging="360"/>
        <w:contextualSpacing/>
        <w:rPr>
          <w:sz w:val="20"/>
          <w:szCs w:val="20"/>
          <w:highlight w:val="white"/>
        </w:rPr>
      </w:pPr>
      <w:r>
        <w:rPr>
          <w:sz w:val="20"/>
          <w:szCs w:val="20"/>
          <w:highlight w:val="white"/>
        </w:rPr>
        <w:t>Use as infusion or tincture</w:t>
      </w:r>
    </w:p>
    <w:p w14:paraId="1594CBAA" w14:textId="77777777" w:rsidR="005C60D0" w:rsidRDefault="005C60D0">
      <w:pPr>
        <w:numPr>
          <w:ilvl w:val="0"/>
          <w:numId w:val="3"/>
        </w:numPr>
        <w:ind w:hanging="360"/>
        <w:contextualSpacing/>
        <w:rPr>
          <w:sz w:val="20"/>
          <w:szCs w:val="20"/>
          <w:highlight w:val="white"/>
        </w:rPr>
      </w:pPr>
      <w:r>
        <w:rPr>
          <w:sz w:val="20"/>
          <w:szCs w:val="20"/>
          <w:highlight w:val="white"/>
        </w:rPr>
        <w:t>Can be made into tea or even added to soups and broths (remove root before serving)</w:t>
      </w:r>
    </w:p>
    <w:p w14:paraId="0855F348" w14:textId="77777777" w:rsidR="005C60D0" w:rsidRDefault="005C60D0"/>
    <w:p w14:paraId="6462BF4F" w14:textId="77777777" w:rsidR="005C60D0" w:rsidRDefault="005C60D0">
      <w:r>
        <w:rPr>
          <w:sz w:val="20"/>
          <w:szCs w:val="20"/>
          <w:highlight w:val="white"/>
          <w:u w:val="single"/>
        </w:rPr>
        <w:t>Tincture:</w:t>
      </w:r>
      <w:r>
        <w:rPr>
          <w:sz w:val="20"/>
          <w:szCs w:val="20"/>
          <w:highlight w:val="white"/>
        </w:rPr>
        <w:t xml:space="preserve"> When 30 percent ethanol, the recommended dose is 20 to 60 drops three times a day.</w:t>
      </w:r>
    </w:p>
    <w:p w14:paraId="3B5235B5" w14:textId="77777777" w:rsidR="005C60D0" w:rsidRDefault="005C60D0"/>
    <w:p w14:paraId="5BE32BD5" w14:textId="77777777" w:rsidR="005C60D0" w:rsidRDefault="005C60D0">
      <w:r>
        <w:rPr>
          <w:sz w:val="20"/>
          <w:szCs w:val="20"/>
          <w:highlight w:val="white"/>
          <w:u w:val="single"/>
        </w:rPr>
        <w:t>Tea:</w:t>
      </w:r>
      <w:r>
        <w:rPr>
          <w:sz w:val="20"/>
          <w:szCs w:val="20"/>
          <w:highlight w:val="white"/>
        </w:rPr>
        <w:t xml:space="preserve"> boil three to six grams of dried root per 12 ounces of water three times a day. </w:t>
      </w:r>
    </w:p>
    <w:p w14:paraId="3515645E" w14:textId="77777777" w:rsidR="005C60D0" w:rsidRDefault="005C60D0"/>
    <w:p w14:paraId="10B849C3" w14:textId="3A79F01D" w:rsidR="005C60D0" w:rsidRDefault="005C60D0">
      <w:r>
        <w:rPr>
          <w:sz w:val="20"/>
          <w:szCs w:val="20"/>
          <w:highlight w:val="white"/>
          <w:u w:val="single"/>
        </w:rPr>
        <w:t>Standardized extract:</w:t>
      </w:r>
      <w:r>
        <w:rPr>
          <w:sz w:val="20"/>
          <w:szCs w:val="20"/>
          <w:highlight w:val="white"/>
        </w:rPr>
        <w:t xml:space="preserve"> is 250 – 500 mg, three to four times a day standardized to 0.4% 4-hydroxy-3-methoxy isoflavone 7-sug.</w:t>
      </w:r>
      <w:r w:rsidR="00B46E53" w:rsidRPr="00352155">
        <w:rPr>
          <w:sz w:val="20"/>
          <w:szCs w:val="20"/>
          <w:highlight w:val="white"/>
          <w:vertAlign w:val="superscript"/>
        </w:rPr>
        <w:t xml:space="preserve"> </w:t>
      </w:r>
      <w:r w:rsidR="00352155" w:rsidRPr="00352155">
        <w:rPr>
          <w:sz w:val="20"/>
          <w:szCs w:val="20"/>
          <w:highlight w:val="white"/>
          <w:vertAlign w:val="superscript"/>
        </w:rPr>
        <w:t>2</w:t>
      </w:r>
      <w:r>
        <w:rPr>
          <w:sz w:val="20"/>
          <w:szCs w:val="20"/>
          <w:highlight w:val="white"/>
        </w:rPr>
        <w:br/>
      </w:r>
      <w:r>
        <w:rPr>
          <w:sz w:val="20"/>
          <w:szCs w:val="20"/>
          <w:highlight w:val="white"/>
        </w:rPr>
        <w:br/>
      </w:r>
    </w:p>
    <w:p w14:paraId="08F268A1" w14:textId="77777777" w:rsidR="005C60D0" w:rsidRDefault="005C60D0">
      <w:r>
        <w:rPr>
          <w:sz w:val="20"/>
          <w:szCs w:val="20"/>
          <w:highlight w:val="white"/>
        </w:rPr>
        <w:br/>
      </w:r>
    </w:p>
    <w:p w14:paraId="56A49119" w14:textId="3EB5C9B8" w:rsidR="005C60D0" w:rsidRDefault="005C60D0">
      <w:r>
        <w:rPr>
          <w:b/>
          <w:sz w:val="20"/>
          <w:szCs w:val="20"/>
          <w:highlight w:val="white"/>
        </w:rPr>
        <w:lastRenderedPageBreak/>
        <w:t>Harvest:</w:t>
      </w:r>
      <w:r>
        <w:rPr>
          <w:sz w:val="20"/>
          <w:szCs w:val="20"/>
          <w:highlight w:val="white"/>
        </w:rPr>
        <w:t xml:space="preserve"> </w:t>
      </w:r>
      <w:r>
        <w:rPr>
          <w:sz w:val="20"/>
          <w:szCs w:val="20"/>
          <w:highlight w:val="white"/>
        </w:rPr>
        <w:br/>
        <w:t>“Astragalus grown from seed requires at least two years of growth to produce rootstock of adequate size for medicine making.”</w:t>
      </w:r>
      <w:r w:rsidR="00B46E53" w:rsidRPr="00352155">
        <w:rPr>
          <w:sz w:val="20"/>
          <w:szCs w:val="20"/>
          <w:vertAlign w:val="superscript"/>
        </w:rPr>
        <w:t xml:space="preserve"> </w:t>
      </w:r>
      <w:r w:rsidR="00352155" w:rsidRPr="00352155">
        <w:rPr>
          <w:sz w:val="20"/>
          <w:szCs w:val="20"/>
          <w:vertAlign w:val="superscript"/>
        </w:rPr>
        <w:t>3</w:t>
      </w:r>
    </w:p>
    <w:p w14:paraId="025F5729" w14:textId="77777777" w:rsidR="005C60D0" w:rsidRDefault="005C60D0"/>
    <w:p w14:paraId="1E9F62AA" w14:textId="610123A0" w:rsidR="005C60D0" w:rsidRDefault="005C60D0">
      <w:r>
        <w:rPr>
          <w:sz w:val="20"/>
          <w:szCs w:val="20"/>
          <w:highlight w:val="white"/>
        </w:rPr>
        <w:t>“Harvest astragalus after at least four or five years of growth, preferably after the first frost.”</w:t>
      </w:r>
      <w:r w:rsidR="00B46E53" w:rsidRPr="00352155">
        <w:rPr>
          <w:sz w:val="20"/>
          <w:szCs w:val="20"/>
          <w:vertAlign w:val="superscript"/>
        </w:rPr>
        <w:t xml:space="preserve"> </w:t>
      </w:r>
      <w:r w:rsidR="00352155" w:rsidRPr="00352155">
        <w:rPr>
          <w:sz w:val="20"/>
          <w:szCs w:val="20"/>
          <w:vertAlign w:val="superscript"/>
        </w:rPr>
        <w:t>4</w:t>
      </w:r>
    </w:p>
    <w:p w14:paraId="6398D206" w14:textId="77777777" w:rsidR="005C60D0" w:rsidRDefault="005C60D0"/>
    <w:p w14:paraId="78BE1ED8" w14:textId="77777777" w:rsidR="005C60D0" w:rsidRDefault="005C60D0">
      <w:r>
        <w:rPr>
          <w:b/>
          <w:sz w:val="20"/>
          <w:szCs w:val="20"/>
          <w:highlight w:val="white"/>
        </w:rPr>
        <w:t>Taste:</w:t>
      </w:r>
      <w:r>
        <w:rPr>
          <w:sz w:val="20"/>
          <w:szCs w:val="20"/>
          <w:highlight w:val="white"/>
        </w:rPr>
        <w:t xml:space="preserve"> Mildly sweet and pleasant taste.</w:t>
      </w:r>
    </w:p>
    <w:p w14:paraId="30B24F89" w14:textId="77777777" w:rsidR="005C60D0" w:rsidRDefault="005C60D0"/>
    <w:p w14:paraId="43A21967" w14:textId="77777777" w:rsidR="005C60D0" w:rsidRDefault="005C60D0">
      <w:r>
        <w:rPr>
          <w:b/>
          <w:sz w:val="20"/>
          <w:szCs w:val="20"/>
          <w:highlight w:val="white"/>
        </w:rPr>
        <w:t xml:space="preserve">Flower Essence: </w:t>
      </w:r>
    </w:p>
    <w:p w14:paraId="3CB56E11" w14:textId="77777777" w:rsidR="005C60D0" w:rsidRDefault="005C60D0">
      <w:pPr>
        <w:numPr>
          <w:ilvl w:val="0"/>
          <w:numId w:val="1"/>
        </w:numPr>
        <w:ind w:hanging="360"/>
        <w:contextualSpacing/>
        <w:rPr>
          <w:sz w:val="20"/>
          <w:szCs w:val="20"/>
          <w:highlight w:val="white"/>
        </w:rPr>
      </w:pPr>
      <w:r>
        <w:rPr>
          <w:sz w:val="20"/>
          <w:szCs w:val="20"/>
          <w:highlight w:val="white"/>
        </w:rPr>
        <w:t>“Experience more deeply our eternal spiritual identity. This opens the way for us to focus more clearly on spiritual tasks.”</w:t>
      </w:r>
    </w:p>
    <w:p w14:paraId="174C605D" w14:textId="77777777" w:rsidR="005C60D0" w:rsidRDefault="005C60D0">
      <w:pPr>
        <w:numPr>
          <w:ilvl w:val="0"/>
          <w:numId w:val="1"/>
        </w:numPr>
        <w:spacing w:after="160"/>
        <w:ind w:hanging="360"/>
        <w:contextualSpacing/>
        <w:rPr>
          <w:sz w:val="20"/>
          <w:szCs w:val="20"/>
          <w:highlight w:val="white"/>
        </w:rPr>
      </w:pPr>
      <w:r>
        <w:rPr>
          <w:sz w:val="20"/>
          <w:szCs w:val="20"/>
          <w:highlight w:val="white"/>
        </w:rPr>
        <w:t>“Helps us cut to the chase about why we are here and what our lives are meant to be about.”</w:t>
      </w:r>
    </w:p>
    <w:p w14:paraId="68198F9F" w14:textId="77777777" w:rsidR="005C60D0" w:rsidRDefault="005C60D0">
      <w:pPr>
        <w:numPr>
          <w:ilvl w:val="0"/>
          <w:numId w:val="1"/>
        </w:numPr>
        <w:spacing w:after="160"/>
        <w:ind w:hanging="360"/>
        <w:contextualSpacing/>
        <w:rPr>
          <w:sz w:val="20"/>
          <w:szCs w:val="20"/>
          <w:highlight w:val="white"/>
        </w:rPr>
      </w:pPr>
      <w:r>
        <w:rPr>
          <w:sz w:val="20"/>
          <w:szCs w:val="20"/>
          <w:highlight w:val="white"/>
        </w:rPr>
        <w:t>“Loosens the hold temporal pleasures and pursuits have on as they are revealed as less important even illusory in their nature.”</w:t>
      </w:r>
    </w:p>
    <w:p w14:paraId="37A7BDAC" w14:textId="77777777" w:rsidR="005C60D0" w:rsidRDefault="005C60D0">
      <w:r>
        <w:rPr>
          <w:b/>
          <w:sz w:val="20"/>
          <w:szCs w:val="20"/>
          <w:highlight w:val="white"/>
        </w:rPr>
        <w:t xml:space="preserve">Combines: </w:t>
      </w:r>
    </w:p>
    <w:p w14:paraId="39245371" w14:textId="77777777" w:rsidR="005C60D0" w:rsidRDefault="005C60D0">
      <w:r>
        <w:rPr>
          <w:sz w:val="20"/>
          <w:szCs w:val="20"/>
          <w:highlight w:val="white"/>
        </w:rPr>
        <w:t>Often combined with ginseng, where astragalus is thought to strengthen “the outer energy while ginseng tonifies the inner energy.”</w:t>
      </w:r>
    </w:p>
    <w:p w14:paraId="41A1D55E" w14:textId="77777777" w:rsidR="005C60D0" w:rsidRDefault="005C60D0"/>
    <w:p w14:paraId="78833D47" w14:textId="77777777" w:rsidR="005C60D0" w:rsidRDefault="005C60D0">
      <w:r>
        <w:rPr>
          <w:sz w:val="20"/>
          <w:szCs w:val="20"/>
          <w:highlight w:val="white"/>
        </w:rPr>
        <w:t>“Astragalus is commonly used in combination with Dang Gui to nourish the blood for the treatment of postpartum anemia, severe blood loss and hemorrhage,” or “whenever there is poor circulation and lassitude.”</w:t>
      </w:r>
    </w:p>
    <w:p w14:paraId="5DD2CD98" w14:textId="77777777" w:rsidR="005C60D0" w:rsidRDefault="005C60D0"/>
    <w:p w14:paraId="7B262358" w14:textId="77777777" w:rsidR="005C60D0" w:rsidRDefault="005C60D0">
      <w:r>
        <w:rPr>
          <w:sz w:val="20"/>
          <w:szCs w:val="20"/>
          <w:highlight w:val="white"/>
        </w:rPr>
        <w:t>Other adaptogens and mushrooms.</w:t>
      </w:r>
    </w:p>
    <w:p w14:paraId="0126F317" w14:textId="77777777" w:rsidR="005C60D0" w:rsidRDefault="005C60D0"/>
    <w:p w14:paraId="4E48603E" w14:textId="77777777" w:rsidR="005C60D0" w:rsidRDefault="005C60D0">
      <w:r>
        <w:rPr>
          <w:b/>
          <w:sz w:val="20"/>
          <w:szCs w:val="20"/>
          <w:highlight w:val="white"/>
        </w:rPr>
        <w:t xml:space="preserve">Contra-indications: </w:t>
      </w:r>
    </w:p>
    <w:p w14:paraId="49A10EC7" w14:textId="77777777" w:rsidR="005C60D0" w:rsidRDefault="005C60D0">
      <w:pPr>
        <w:numPr>
          <w:ilvl w:val="0"/>
          <w:numId w:val="4"/>
        </w:numPr>
        <w:ind w:hanging="360"/>
        <w:contextualSpacing/>
        <w:rPr>
          <w:sz w:val="20"/>
          <w:szCs w:val="20"/>
          <w:highlight w:val="white"/>
        </w:rPr>
      </w:pPr>
      <w:r>
        <w:rPr>
          <w:sz w:val="20"/>
          <w:szCs w:val="20"/>
          <w:highlight w:val="white"/>
        </w:rPr>
        <w:t>Better to take astragalus earlier in the day. “It can be too zippy for some, aggravating insomnia, anxiety, and heart issues.”</w:t>
      </w:r>
    </w:p>
    <w:p w14:paraId="42C0CEF2" w14:textId="0069E9CF" w:rsidR="005C60D0" w:rsidRDefault="005C60D0">
      <w:pPr>
        <w:numPr>
          <w:ilvl w:val="0"/>
          <w:numId w:val="4"/>
        </w:numPr>
        <w:ind w:hanging="360"/>
        <w:contextualSpacing/>
        <w:rPr>
          <w:sz w:val="20"/>
          <w:szCs w:val="20"/>
          <w:highlight w:val="white"/>
        </w:rPr>
      </w:pPr>
      <w:r>
        <w:rPr>
          <w:sz w:val="20"/>
          <w:szCs w:val="20"/>
          <w:highlight w:val="white"/>
        </w:rPr>
        <w:t>“Traditional Chinese medicine holds that children with a fever should not take astragalus because it may increase the fever and result in it lasting longer.”</w:t>
      </w:r>
      <w:r w:rsidR="00B46E53" w:rsidRPr="00B46E53">
        <w:rPr>
          <w:sz w:val="20"/>
          <w:szCs w:val="20"/>
          <w:highlight w:val="white"/>
          <w:vertAlign w:val="superscript"/>
        </w:rPr>
        <w:t>5</w:t>
      </w:r>
    </w:p>
    <w:p w14:paraId="3CCCB958" w14:textId="77777777" w:rsidR="008F08D6" w:rsidRDefault="008F08D6" w:rsidP="008F08D6">
      <w:pPr>
        <w:contextualSpacing/>
        <w:rPr>
          <w:sz w:val="20"/>
          <w:szCs w:val="20"/>
          <w:highlight w:val="white"/>
        </w:rPr>
      </w:pPr>
    </w:p>
    <w:p w14:paraId="5C74B840" w14:textId="77777777" w:rsidR="00B46E53" w:rsidRDefault="00B46E53" w:rsidP="008F08D6">
      <w:pPr>
        <w:contextualSpacing/>
        <w:rPr>
          <w:sz w:val="20"/>
          <w:szCs w:val="20"/>
          <w:vertAlign w:val="superscript"/>
        </w:rPr>
      </w:pPr>
    </w:p>
    <w:p w14:paraId="03DAE427" w14:textId="2BDBBBB9" w:rsidR="008F08D6" w:rsidRPr="008F08D6" w:rsidRDefault="00B46E53" w:rsidP="008F08D6">
      <w:pPr>
        <w:contextualSpacing/>
        <w:rPr>
          <w:sz w:val="20"/>
          <w:szCs w:val="20"/>
        </w:rPr>
      </w:pPr>
      <w:bookmarkStart w:id="0" w:name="_GoBack"/>
      <w:bookmarkEnd w:id="0"/>
      <w:r>
        <w:rPr>
          <w:sz w:val="20"/>
          <w:szCs w:val="20"/>
          <w:vertAlign w:val="superscript"/>
        </w:rPr>
        <w:t>1</w:t>
      </w:r>
      <w:r w:rsidR="008F08D6">
        <w:rPr>
          <w:sz w:val="20"/>
          <w:szCs w:val="20"/>
        </w:rPr>
        <w:t xml:space="preserve"> </w:t>
      </w:r>
      <w:r w:rsidR="008F08D6" w:rsidRPr="008F08D6">
        <w:rPr>
          <w:sz w:val="20"/>
          <w:szCs w:val="20"/>
        </w:rPr>
        <w:t>https://earthkindherbal.com/2011/02/20/astragalus-membranaceus/</w:t>
      </w:r>
    </w:p>
    <w:p w14:paraId="7F6F4D95" w14:textId="24D1CAFF" w:rsidR="008F08D6" w:rsidRPr="008F08D6" w:rsidRDefault="00B46E53" w:rsidP="008F08D6">
      <w:pPr>
        <w:contextualSpacing/>
        <w:rPr>
          <w:sz w:val="20"/>
          <w:szCs w:val="20"/>
        </w:rPr>
      </w:pPr>
      <w:r>
        <w:rPr>
          <w:sz w:val="20"/>
          <w:szCs w:val="20"/>
          <w:vertAlign w:val="superscript"/>
        </w:rPr>
        <w:t>2</w:t>
      </w:r>
      <w:r w:rsidR="008F08D6">
        <w:rPr>
          <w:sz w:val="20"/>
          <w:szCs w:val="20"/>
        </w:rPr>
        <w:t xml:space="preserve"> </w:t>
      </w:r>
      <w:r w:rsidR="008F08D6" w:rsidRPr="008F08D6">
        <w:rPr>
          <w:sz w:val="20"/>
          <w:szCs w:val="20"/>
        </w:rPr>
        <w:t>http://www.drweil.com/vitamins-supplements-herbs/herbs/astragalus/</w:t>
      </w:r>
    </w:p>
    <w:p w14:paraId="6C004DC7" w14:textId="10811408" w:rsidR="008F08D6" w:rsidRPr="008F08D6" w:rsidRDefault="00B46E53" w:rsidP="008F08D6">
      <w:pPr>
        <w:contextualSpacing/>
        <w:rPr>
          <w:sz w:val="20"/>
          <w:szCs w:val="20"/>
        </w:rPr>
      </w:pPr>
      <w:r>
        <w:rPr>
          <w:sz w:val="20"/>
          <w:szCs w:val="20"/>
          <w:vertAlign w:val="superscript"/>
        </w:rPr>
        <w:t>3</w:t>
      </w:r>
      <w:r w:rsidR="008F08D6">
        <w:rPr>
          <w:sz w:val="20"/>
          <w:szCs w:val="20"/>
        </w:rPr>
        <w:t xml:space="preserve"> </w:t>
      </w:r>
      <w:r w:rsidR="008F08D6" w:rsidRPr="008F08D6">
        <w:rPr>
          <w:sz w:val="20"/>
          <w:szCs w:val="20"/>
        </w:rPr>
        <w:t>http://www.heirloom-organics.com/guide/va/guidetogrowingastragalus.html</w:t>
      </w:r>
    </w:p>
    <w:p w14:paraId="62B4C6D9" w14:textId="25BC1F8E" w:rsidR="008F08D6" w:rsidRPr="008F08D6" w:rsidRDefault="00B46E53" w:rsidP="008F08D6">
      <w:pPr>
        <w:contextualSpacing/>
        <w:rPr>
          <w:sz w:val="20"/>
          <w:szCs w:val="20"/>
        </w:rPr>
      </w:pPr>
      <w:r>
        <w:rPr>
          <w:sz w:val="20"/>
          <w:szCs w:val="20"/>
          <w:vertAlign w:val="superscript"/>
        </w:rPr>
        <w:t>4</w:t>
      </w:r>
      <w:r w:rsidR="008F08D6">
        <w:rPr>
          <w:sz w:val="20"/>
          <w:szCs w:val="20"/>
        </w:rPr>
        <w:t xml:space="preserve"> </w:t>
      </w:r>
      <w:r w:rsidR="008F08D6" w:rsidRPr="008F08D6">
        <w:rPr>
          <w:sz w:val="20"/>
          <w:szCs w:val="20"/>
        </w:rPr>
        <w:t>http://herbsontheside.com/potm_jan_2009.php</w:t>
      </w:r>
    </w:p>
    <w:p w14:paraId="4C3D60E7" w14:textId="26FE74F3" w:rsidR="008F08D6" w:rsidRPr="008F08D6" w:rsidRDefault="00B46E53" w:rsidP="008F08D6">
      <w:pPr>
        <w:contextualSpacing/>
        <w:rPr>
          <w:sz w:val="20"/>
          <w:szCs w:val="20"/>
        </w:rPr>
      </w:pPr>
      <w:r>
        <w:rPr>
          <w:sz w:val="20"/>
          <w:szCs w:val="20"/>
          <w:vertAlign w:val="superscript"/>
        </w:rPr>
        <w:t>5</w:t>
      </w:r>
      <w:r w:rsidR="008F08D6">
        <w:rPr>
          <w:sz w:val="20"/>
          <w:szCs w:val="20"/>
        </w:rPr>
        <w:t xml:space="preserve"> </w:t>
      </w:r>
      <w:r w:rsidR="008F08D6" w:rsidRPr="008F08D6">
        <w:rPr>
          <w:sz w:val="20"/>
          <w:szCs w:val="20"/>
        </w:rPr>
        <w:t>http://www.drweil.com/vitamins-supplements-herbs/herbs/astragalus/</w:t>
      </w:r>
    </w:p>
    <w:p w14:paraId="14EF331F" w14:textId="77777777" w:rsidR="008F08D6" w:rsidRDefault="008F08D6" w:rsidP="008F08D6">
      <w:pPr>
        <w:contextualSpacing/>
        <w:rPr>
          <w:sz w:val="20"/>
          <w:szCs w:val="20"/>
          <w:highlight w:val="white"/>
        </w:rPr>
      </w:pPr>
    </w:p>
    <w:sectPr w:rsidR="008F08D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EA395" w14:textId="77777777" w:rsidR="00352155" w:rsidRDefault="00352155">
      <w:pPr>
        <w:spacing w:line="240" w:lineRule="auto"/>
      </w:pPr>
      <w:r>
        <w:separator/>
      </w:r>
    </w:p>
  </w:endnote>
  <w:endnote w:type="continuationSeparator" w:id="0">
    <w:p w14:paraId="36F653F6" w14:textId="77777777" w:rsidR="00352155" w:rsidRDefault="00352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00000003" w:usb1="00000000" w:usb2="00000000" w:usb3="00000000" w:csb0="00000001" w:csb1="00000000"/>
  </w:font>
  <w:font w:name="DengXian">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79BF7" w14:textId="77777777" w:rsidR="00352155" w:rsidRDefault="00352155">
    <w:pPr>
      <w:jc w:val="right"/>
    </w:pPr>
    <w:r>
      <w:fldChar w:fldCharType="begin"/>
    </w:r>
    <w:r>
      <w:instrText>PAGE</w:instrText>
    </w:r>
    <w:r>
      <w:fldChar w:fldCharType="separate"/>
    </w:r>
    <w:r w:rsidR="00B46E53">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658B0" w14:textId="77777777" w:rsidR="00352155" w:rsidRDefault="00352155">
      <w:pPr>
        <w:spacing w:line="240" w:lineRule="auto"/>
      </w:pPr>
      <w:r>
        <w:separator/>
      </w:r>
    </w:p>
  </w:footnote>
  <w:footnote w:type="continuationSeparator" w:id="0">
    <w:p w14:paraId="04B80C71" w14:textId="77777777" w:rsidR="00352155" w:rsidRDefault="003521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EEEAB" w14:textId="77777777" w:rsidR="00352155" w:rsidRDefault="00352155">
    <w:pPr>
      <w:jc w:val="right"/>
    </w:pPr>
    <w:r>
      <w:rPr>
        <w:sz w:val="18"/>
        <w:szCs w:val="18"/>
      </w:rPr>
      <w:t>Marija Linjacki-Hamed, September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3D1"/>
    <w:multiLevelType w:val="multilevel"/>
    <w:tmpl w:val="D932FF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2C0F10"/>
    <w:multiLevelType w:val="multilevel"/>
    <w:tmpl w:val="140C5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8F31DB"/>
    <w:multiLevelType w:val="multilevel"/>
    <w:tmpl w:val="D5F0D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0948E4"/>
    <w:multiLevelType w:val="multilevel"/>
    <w:tmpl w:val="36B2A7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50E1"/>
    <w:rsid w:val="00352155"/>
    <w:rsid w:val="005C60D0"/>
    <w:rsid w:val="007A060B"/>
    <w:rsid w:val="008422CF"/>
    <w:rsid w:val="008A43DE"/>
    <w:rsid w:val="008F08D6"/>
    <w:rsid w:val="009B0418"/>
    <w:rsid w:val="00AF50E1"/>
    <w:rsid w:val="00B4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C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EndnoteText">
    <w:name w:val="endnote text"/>
    <w:basedOn w:val="Normal"/>
    <w:link w:val="EndnoteTextChar"/>
    <w:uiPriority w:val="99"/>
    <w:unhideWhenUsed/>
    <w:rsid w:val="005C60D0"/>
    <w:pPr>
      <w:spacing w:line="240" w:lineRule="auto"/>
    </w:pPr>
    <w:rPr>
      <w:sz w:val="24"/>
      <w:szCs w:val="24"/>
    </w:rPr>
  </w:style>
  <w:style w:type="character" w:customStyle="1" w:styleId="EndnoteTextChar">
    <w:name w:val="Endnote Text Char"/>
    <w:basedOn w:val="DefaultParagraphFont"/>
    <w:link w:val="EndnoteText"/>
    <w:uiPriority w:val="99"/>
    <w:rsid w:val="005C60D0"/>
    <w:rPr>
      <w:sz w:val="24"/>
      <w:szCs w:val="24"/>
    </w:rPr>
  </w:style>
  <w:style w:type="paragraph" w:styleId="FootnoteText">
    <w:name w:val="footnote text"/>
    <w:basedOn w:val="Normal"/>
    <w:link w:val="FootnoteTextChar"/>
    <w:uiPriority w:val="99"/>
    <w:unhideWhenUsed/>
    <w:rsid w:val="005C60D0"/>
    <w:pPr>
      <w:spacing w:line="240" w:lineRule="auto"/>
    </w:pPr>
    <w:rPr>
      <w:sz w:val="24"/>
      <w:szCs w:val="24"/>
    </w:rPr>
  </w:style>
  <w:style w:type="character" w:customStyle="1" w:styleId="FootnoteTextChar">
    <w:name w:val="Footnote Text Char"/>
    <w:basedOn w:val="DefaultParagraphFont"/>
    <w:link w:val="FootnoteText"/>
    <w:uiPriority w:val="99"/>
    <w:rsid w:val="005C60D0"/>
    <w:rPr>
      <w:sz w:val="24"/>
      <w:szCs w:val="24"/>
    </w:rPr>
  </w:style>
  <w:style w:type="character" w:styleId="EndnoteReference">
    <w:name w:val="endnote reference"/>
    <w:basedOn w:val="DefaultParagraphFont"/>
    <w:uiPriority w:val="99"/>
    <w:unhideWhenUsed/>
    <w:rsid w:val="005C60D0"/>
    <w:rPr>
      <w:vertAlign w:val="superscript"/>
    </w:rPr>
  </w:style>
  <w:style w:type="character" w:styleId="FootnoteReference">
    <w:name w:val="footnote reference"/>
    <w:basedOn w:val="DefaultParagraphFont"/>
    <w:uiPriority w:val="99"/>
    <w:unhideWhenUsed/>
    <w:rsid w:val="005C60D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EndnoteText">
    <w:name w:val="endnote text"/>
    <w:basedOn w:val="Normal"/>
    <w:link w:val="EndnoteTextChar"/>
    <w:uiPriority w:val="99"/>
    <w:unhideWhenUsed/>
    <w:rsid w:val="005C60D0"/>
    <w:pPr>
      <w:spacing w:line="240" w:lineRule="auto"/>
    </w:pPr>
    <w:rPr>
      <w:sz w:val="24"/>
      <w:szCs w:val="24"/>
    </w:rPr>
  </w:style>
  <w:style w:type="character" w:customStyle="1" w:styleId="EndnoteTextChar">
    <w:name w:val="Endnote Text Char"/>
    <w:basedOn w:val="DefaultParagraphFont"/>
    <w:link w:val="EndnoteText"/>
    <w:uiPriority w:val="99"/>
    <w:rsid w:val="005C60D0"/>
    <w:rPr>
      <w:sz w:val="24"/>
      <w:szCs w:val="24"/>
    </w:rPr>
  </w:style>
  <w:style w:type="paragraph" w:styleId="FootnoteText">
    <w:name w:val="footnote text"/>
    <w:basedOn w:val="Normal"/>
    <w:link w:val="FootnoteTextChar"/>
    <w:uiPriority w:val="99"/>
    <w:unhideWhenUsed/>
    <w:rsid w:val="005C60D0"/>
    <w:pPr>
      <w:spacing w:line="240" w:lineRule="auto"/>
    </w:pPr>
    <w:rPr>
      <w:sz w:val="24"/>
      <w:szCs w:val="24"/>
    </w:rPr>
  </w:style>
  <w:style w:type="character" w:customStyle="1" w:styleId="FootnoteTextChar">
    <w:name w:val="Footnote Text Char"/>
    <w:basedOn w:val="DefaultParagraphFont"/>
    <w:link w:val="FootnoteText"/>
    <w:uiPriority w:val="99"/>
    <w:rsid w:val="005C60D0"/>
    <w:rPr>
      <w:sz w:val="24"/>
      <w:szCs w:val="24"/>
    </w:rPr>
  </w:style>
  <w:style w:type="character" w:styleId="EndnoteReference">
    <w:name w:val="endnote reference"/>
    <w:basedOn w:val="DefaultParagraphFont"/>
    <w:uiPriority w:val="99"/>
    <w:unhideWhenUsed/>
    <w:rsid w:val="005C60D0"/>
    <w:rPr>
      <w:vertAlign w:val="superscript"/>
    </w:rPr>
  </w:style>
  <w:style w:type="character" w:styleId="FootnoteReference">
    <w:name w:val="footnote reference"/>
    <w:basedOn w:val="DefaultParagraphFont"/>
    <w:uiPriority w:val="99"/>
    <w:unhideWhenUsed/>
    <w:rsid w:val="005C60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537</Words>
  <Characters>3062</Characters>
  <Application>Microsoft Macintosh Word</Application>
  <DocSecurity>0</DocSecurity>
  <Lines>25</Lines>
  <Paragraphs>7</Paragraphs>
  <ScaleCrop>false</ScaleCrop>
  <Company>Radcliffe Institute, Harvard University</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Prasad</cp:lastModifiedBy>
  <cp:revision>6</cp:revision>
  <dcterms:created xsi:type="dcterms:W3CDTF">2016-10-08T01:54:00Z</dcterms:created>
  <dcterms:modified xsi:type="dcterms:W3CDTF">2016-10-15T21:06:00Z</dcterms:modified>
</cp:coreProperties>
</file>