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E6E88B" w14:textId="3D8CE26B" w:rsidR="0064320D" w:rsidRPr="00292139" w:rsidRDefault="00292139">
      <w:pPr>
        <w:rPr>
          <w:rFonts w:ascii="Calibri" w:hAnsi="Calibri"/>
          <w:i/>
          <w:sz w:val="22"/>
          <w:szCs w:val="22"/>
        </w:rPr>
      </w:pPr>
      <w:r>
        <w:rPr>
          <w:rFonts w:ascii="Calibri" w:hAnsi="Calibri"/>
          <w:b/>
          <w:sz w:val="36"/>
          <w:szCs w:val="36"/>
        </w:rPr>
        <w:t xml:space="preserve">Comfrey, </w:t>
      </w:r>
      <w:r w:rsidRPr="00292139">
        <w:rPr>
          <w:rFonts w:ascii="Calibri" w:hAnsi="Calibri"/>
          <w:b/>
          <w:i/>
          <w:sz w:val="36"/>
          <w:szCs w:val="36"/>
        </w:rPr>
        <w:t>Symphytum officinale L.</w:t>
      </w:r>
    </w:p>
    <w:p w14:paraId="6AC67DE1" w14:textId="19A806EB" w:rsidR="00292139" w:rsidRDefault="00292139" w:rsidP="00A63AED">
      <w:pPr>
        <w:rPr>
          <w:rFonts w:ascii="Calibri" w:hAnsi="Calibri"/>
          <w:b/>
          <w:sz w:val="22"/>
          <w:szCs w:val="22"/>
        </w:rPr>
      </w:pPr>
    </w:p>
    <w:p w14:paraId="20C96F9A" w14:textId="14B3D386" w:rsidR="008C4786" w:rsidRDefault="009168D9" w:rsidP="00A63AED">
      <w:pPr>
        <w:rPr>
          <w:rFonts w:ascii="Calibri" w:hAnsi="Calibri"/>
          <w:sz w:val="22"/>
          <w:szCs w:val="22"/>
        </w:rPr>
      </w:pPr>
      <w:r w:rsidRPr="008C4786">
        <w:rPr>
          <w:rFonts w:ascii="Calibri" w:hAnsi="Calibri"/>
          <w:b/>
          <w:sz w:val="22"/>
          <w:szCs w:val="22"/>
        </w:rPr>
        <w:t>Name</w:t>
      </w:r>
    </w:p>
    <w:p w14:paraId="3C827985" w14:textId="218EF12B" w:rsidR="00292139" w:rsidRDefault="00475736" w:rsidP="00292139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63360" behindDoc="0" locked="0" layoutInCell="1" allowOverlap="1" wp14:anchorId="6650058A" wp14:editId="170EC0FA">
            <wp:simplePos x="0" y="0"/>
            <wp:positionH relativeFrom="column">
              <wp:posOffset>3477895</wp:posOffset>
            </wp:positionH>
            <wp:positionV relativeFrom="paragraph">
              <wp:posOffset>64770</wp:posOffset>
            </wp:positionV>
            <wp:extent cx="2583815" cy="1837055"/>
            <wp:effectExtent l="0" t="0" r="6985" b="0"/>
            <wp:wrapSquare wrapText="bothSides"/>
            <wp:docPr id="4" name="Picture 4" descr="http://www.comfreycentral.com/images/comfr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mfreycentral.com/images/comfre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11B6">
        <w:rPr>
          <w:rFonts w:ascii="Calibri" w:hAnsi="Calibri"/>
          <w:sz w:val="22"/>
          <w:szCs w:val="22"/>
        </w:rPr>
        <w:t xml:space="preserve">boneset, common comfrey, </w:t>
      </w:r>
      <w:r w:rsidR="00CF11B6" w:rsidRPr="00292139">
        <w:rPr>
          <w:rFonts w:ascii="Calibri" w:hAnsi="Calibri"/>
          <w:sz w:val="22"/>
          <w:szCs w:val="22"/>
        </w:rPr>
        <w:t>consound</w:t>
      </w:r>
      <w:r w:rsidR="00A1445C" w:rsidRPr="00A1445C">
        <w:rPr>
          <w:rFonts w:ascii="Calibri" w:hAnsi="Calibri"/>
          <w:sz w:val="22"/>
          <w:szCs w:val="22"/>
          <w:vertAlign w:val="superscript"/>
        </w:rPr>
        <w:t>1</w:t>
      </w:r>
      <w:r w:rsidR="00CF11B6">
        <w:rPr>
          <w:rFonts w:ascii="Calibri" w:hAnsi="Calibri"/>
          <w:sz w:val="22"/>
          <w:szCs w:val="22"/>
        </w:rPr>
        <w:t xml:space="preserve">, </w:t>
      </w:r>
      <w:r w:rsidR="000402AC">
        <w:rPr>
          <w:rFonts w:ascii="Calibri" w:hAnsi="Calibri"/>
          <w:sz w:val="22"/>
          <w:szCs w:val="22"/>
        </w:rPr>
        <w:t>cultivated comfre</w:t>
      </w:r>
      <w:r w:rsidR="001F031A">
        <w:rPr>
          <w:rFonts w:ascii="Calibri" w:hAnsi="Calibri"/>
          <w:sz w:val="22"/>
          <w:szCs w:val="22"/>
        </w:rPr>
        <w:t>y</w:t>
      </w:r>
      <w:r w:rsidR="00CF11B6">
        <w:rPr>
          <w:rFonts w:ascii="Calibri" w:hAnsi="Calibri"/>
          <w:sz w:val="22"/>
          <w:szCs w:val="22"/>
        </w:rPr>
        <w:t xml:space="preserve">, </w:t>
      </w:r>
      <w:r w:rsidR="00292139" w:rsidRPr="00292139">
        <w:rPr>
          <w:rFonts w:ascii="Calibri" w:hAnsi="Calibri"/>
          <w:sz w:val="22"/>
          <w:szCs w:val="22"/>
        </w:rPr>
        <w:t>Quaker comfrey</w:t>
      </w:r>
      <w:r w:rsidR="00A1445C" w:rsidRPr="00A1445C">
        <w:rPr>
          <w:rFonts w:ascii="Calibri" w:hAnsi="Calibri"/>
          <w:sz w:val="22"/>
          <w:szCs w:val="22"/>
          <w:vertAlign w:val="superscript"/>
        </w:rPr>
        <w:t>1</w:t>
      </w:r>
      <w:r w:rsidR="00292139" w:rsidRPr="00292139">
        <w:rPr>
          <w:rFonts w:ascii="Calibri" w:hAnsi="Calibri"/>
          <w:sz w:val="22"/>
          <w:szCs w:val="22"/>
        </w:rPr>
        <w:t>, knitbone, slippery-root</w:t>
      </w:r>
      <w:r w:rsidR="00414ECF">
        <w:rPr>
          <w:rFonts w:ascii="Calibri" w:hAnsi="Calibri"/>
          <w:sz w:val="22"/>
          <w:szCs w:val="22"/>
        </w:rPr>
        <w:t xml:space="preserve">.  (Note: this monograph does </w:t>
      </w:r>
      <w:r w:rsidR="00414ECF" w:rsidRPr="00133362">
        <w:rPr>
          <w:rFonts w:ascii="Calibri" w:hAnsi="Calibri"/>
          <w:i/>
          <w:sz w:val="22"/>
          <w:szCs w:val="22"/>
        </w:rPr>
        <w:t>not</w:t>
      </w:r>
      <w:r w:rsidR="00414ECF">
        <w:rPr>
          <w:rFonts w:ascii="Calibri" w:hAnsi="Calibri"/>
          <w:sz w:val="22"/>
          <w:szCs w:val="22"/>
        </w:rPr>
        <w:t xml:space="preserve"> refer to other types of comfrey, such as </w:t>
      </w:r>
      <w:r w:rsidR="00C45495" w:rsidRPr="00C45495">
        <w:rPr>
          <w:rFonts w:ascii="Calibri" w:hAnsi="Calibri"/>
          <w:sz w:val="22"/>
          <w:szCs w:val="22"/>
        </w:rPr>
        <w:t>Symphytum x uplandicum</w:t>
      </w:r>
      <w:r w:rsidR="00C45495">
        <w:rPr>
          <w:rFonts w:ascii="Calibri" w:hAnsi="Calibri"/>
          <w:sz w:val="22"/>
          <w:szCs w:val="22"/>
        </w:rPr>
        <w:t>, or Russian comfrey.)</w:t>
      </w:r>
    </w:p>
    <w:p w14:paraId="439464D6" w14:textId="320A0A24" w:rsidR="007A1A55" w:rsidRPr="009D2BD5" w:rsidRDefault="007A1A55" w:rsidP="00A63AED">
      <w:pPr>
        <w:rPr>
          <w:rFonts w:ascii="Calibri" w:eastAsia="Times New Roman" w:hAnsi="Calibri"/>
          <w:sz w:val="22"/>
          <w:szCs w:val="22"/>
        </w:rPr>
      </w:pPr>
    </w:p>
    <w:p w14:paraId="2870CD6D" w14:textId="024BEF7B" w:rsidR="008447BF" w:rsidRDefault="008447BF">
      <w:pPr>
        <w:rPr>
          <w:rFonts w:ascii="Calibri" w:hAnsi="Calibri"/>
          <w:sz w:val="22"/>
          <w:szCs w:val="22"/>
        </w:rPr>
      </w:pPr>
    </w:p>
    <w:p w14:paraId="3BEB4516" w14:textId="587BFD40" w:rsidR="008C4786" w:rsidRPr="008C4786" w:rsidRDefault="008C4786">
      <w:pPr>
        <w:rPr>
          <w:rFonts w:ascii="Calibri" w:hAnsi="Calibri"/>
          <w:b/>
          <w:sz w:val="22"/>
          <w:szCs w:val="22"/>
        </w:rPr>
      </w:pPr>
      <w:r w:rsidRPr="008C4786">
        <w:rPr>
          <w:rFonts w:ascii="Calibri" w:hAnsi="Calibri"/>
          <w:b/>
          <w:sz w:val="22"/>
          <w:szCs w:val="22"/>
        </w:rPr>
        <w:t>Description</w:t>
      </w:r>
    </w:p>
    <w:p w14:paraId="69761193" w14:textId="32B9161E" w:rsidR="009267A1" w:rsidRDefault="00B74634" w:rsidP="001922B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Comfrey is a leafy, flowering perennial</w:t>
      </w:r>
      <w:r w:rsidR="004A11AE">
        <w:rPr>
          <w:rFonts w:ascii="Calibri" w:hAnsi="Calibri"/>
          <w:sz w:val="22"/>
          <w:szCs w:val="22"/>
        </w:rPr>
        <w:t xml:space="preserve">.  Native to Europe it can </w:t>
      </w:r>
      <w:r>
        <w:rPr>
          <w:rFonts w:ascii="Calibri" w:hAnsi="Calibri"/>
          <w:sz w:val="22"/>
          <w:szCs w:val="22"/>
        </w:rPr>
        <w:t>found in most of North America, though notably absent in several central US States</w:t>
      </w:r>
      <w:r w:rsidR="008E198F">
        <w:rPr>
          <w:rFonts w:ascii="Calibri" w:hAnsi="Calibri"/>
          <w:sz w:val="22"/>
          <w:szCs w:val="22"/>
        </w:rPr>
        <w:t xml:space="preserve">.  </w:t>
      </w:r>
    </w:p>
    <w:p w14:paraId="01A107F4" w14:textId="77777777" w:rsidR="006B1A16" w:rsidRDefault="006B1A16" w:rsidP="001922BA">
      <w:pPr>
        <w:rPr>
          <w:rFonts w:ascii="Calibri" w:hAnsi="Calibri"/>
          <w:sz w:val="22"/>
          <w:szCs w:val="22"/>
        </w:rPr>
      </w:pPr>
    </w:p>
    <w:p w14:paraId="076AF9D1" w14:textId="62114FA8" w:rsidR="000402AC" w:rsidRDefault="007B0EA1" w:rsidP="001922B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Known</w:t>
      </w:r>
      <w:r w:rsidR="006B1A16">
        <w:rPr>
          <w:rFonts w:ascii="Calibri" w:hAnsi="Calibri"/>
          <w:sz w:val="22"/>
          <w:szCs w:val="22"/>
        </w:rPr>
        <w:t xml:space="preserve"> for </w:t>
      </w:r>
      <w:r w:rsidR="000402AC">
        <w:rPr>
          <w:rFonts w:ascii="Calibri" w:hAnsi="Calibri"/>
          <w:sz w:val="22"/>
          <w:szCs w:val="22"/>
        </w:rPr>
        <w:t>its fast</w:t>
      </w:r>
      <w:r>
        <w:rPr>
          <w:rFonts w:ascii="Calibri" w:hAnsi="Calibri"/>
          <w:sz w:val="22"/>
          <w:szCs w:val="22"/>
        </w:rPr>
        <w:t>, resilient</w:t>
      </w:r>
      <w:r w:rsidR="000402AC">
        <w:rPr>
          <w:rFonts w:ascii="Calibri" w:hAnsi="Calibri"/>
          <w:sz w:val="22"/>
          <w:szCs w:val="22"/>
        </w:rPr>
        <w:t xml:space="preserve"> growth,</w:t>
      </w:r>
      <w:r>
        <w:rPr>
          <w:rFonts w:ascii="Calibri" w:hAnsi="Calibri"/>
          <w:sz w:val="22"/>
          <w:szCs w:val="22"/>
        </w:rPr>
        <w:t xml:space="preserve"> comfrey has been used </w:t>
      </w:r>
      <w:r w:rsidR="005468E3">
        <w:rPr>
          <w:rFonts w:ascii="Calibri" w:hAnsi="Calibri"/>
          <w:sz w:val="22"/>
          <w:szCs w:val="22"/>
        </w:rPr>
        <w:t>since at least 400 BC</w:t>
      </w:r>
      <w:r w:rsidR="005468E3" w:rsidRPr="005468E3">
        <w:rPr>
          <w:rFonts w:ascii="Calibri" w:hAnsi="Calibri"/>
          <w:sz w:val="22"/>
          <w:szCs w:val="22"/>
          <w:vertAlign w:val="superscript"/>
        </w:rPr>
        <w:t>8</w:t>
      </w:r>
      <w:r>
        <w:rPr>
          <w:rFonts w:ascii="Calibri" w:hAnsi="Calibri"/>
          <w:sz w:val="22"/>
          <w:szCs w:val="22"/>
        </w:rPr>
        <w:t xml:space="preserve"> for its</w:t>
      </w:r>
      <w:r w:rsidR="000402AC">
        <w:rPr>
          <w:rFonts w:ascii="Calibri" w:hAnsi="Calibri"/>
          <w:sz w:val="22"/>
          <w:szCs w:val="22"/>
        </w:rPr>
        <w:t xml:space="preserve"> healing properties</w:t>
      </w:r>
      <w:r>
        <w:rPr>
          <w:rFonts w:ascii="Calibri" w:hAnsi="Calibri"/>
          <w:sz w:val="22"/>
          <w:szCs w:val="22"/>
        </w:rPr>
        <w:t xml:space="preserve">.  In recent decades, it has </w:t>
      </w:r>
      <w:r w:rsidR="000402AC">
        <w:rPr>
          <w:rFonts w:ascii="Calibri" w:hAnsi="Calibri"/>
          <w:sz w:val="22"/>
          <w:szCs w:val="22"/>
        </w:rPr>
        <w:t xml:space="preserve">controversially </w:t>
      </w:r>
      <w:r>
        <w:rPr>
          <w:rFonts w:ascii="Calibri" w:hAnsi="Calibri"/>
          <w:sz w:val="22"/>
          <w:szCs w:val="22"/>
        </w:rPr>
        <w:t>been</w:t>
      </w:r>
      <w:r w:rsidR="000402AC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deemed</w:t>
      </w:r>
      <w:r w:rsidR="000402AC">
        <w:rPr>
          <w:rFonts w:ascii="Calibri" w:hAnsi="Calibri"/>
          <w:sz w:val="22"/>
          <w:szCs w:val="22"/>
        </w:rPr>
        <w:t xml:space="preserve"> as harmful to the liver</w:t>
      </w:r>
      <w:r w:rsidR="00FC1404">
        <w:rPr>
          <w:rFonts w:ascii="Calibri" w:hAnsi="Calibri"/>
          <w:sz w:val="22"/>
          <w:szCs w:val="22"/>
        </w:rPr>
        <w:t xml:space="preserve"> due to its </w:t>
      </w:r>
      <w:r w:rsidR="00FC1404" w:rsidRPr="00FC1404">
        <w:rPr>
          <w:rFonts w:ascii="Calibri" w:hAnsi="Calibri"/>
          <w:sz w:val="22"/>
          <w:szCs w:val="22"/>
        </w:rPr>
        <w:t>py</w:t>
      </w:r>
      <w:r w:rsidR="00573AF4">
        <w:rPr>
          <w:rFonts w:ascii="Calibri" w:hAnsi="Calibri"/>
          <w:sz w:val="22"/>
          <w:szCs w:val="22"/>
        </w:rPr>
        <w:t>rrolizidine alkaloid</w:t>
      </w:r>
      <w:r w:rsidR="00FC1404">
        <w:rPr>
          <w:rFonts w:ascii="Calibri" w:hAnsi="Calibri"/>
          <w:sz w:val="22"/>
          <w:szCs w:val="22"/>
        </w:rPr>
        <w:t xml:space="preserve"> content</w:t>
      </w:r>
      <w:r w:rsidR="000402AC">
        <w:rPr>
          <w:rFonts w:ascii="Calibri" w:hAnsi="Calibri"/>
          <w:sz w:val="22"/>
          <w:szCs w:val="22"/>
        </w:rPr>
        <w:t>.</w:t>
      </w:r>
      <w:r>
        <w:rPr>
          <w:rFonts w:ascii="Calibri" w:hAnsi="Calibri"/>
          <w:sz w:val="22"/>
          <w:szCs w:val="22"/>
        </w:rPr>
        <w:t xml:space="preserve">  For this reason, it should be sourced carefully and used under the advice of an experienced herbalist.</w:t>
      </w:r>
    </w:p>
    <w:p w14:paraId="243AD6AD" w14:textId="77777777" w:rsidR="007B0EA1" w:rsidRDefault="007B0EA1" w:rsidP="001922BA">
      <w:pPr>
        <w:rPr>
          <w:rFonts w:ascii="Calibri" w:hAnsi="Calibri"/>
          <w:sz w:val="22"/>
          <w:szCs w:val="22"/>
        </w:rPr>
      </w:pPr>
    </w:p>
    <w:p w14:paraId="2630A1BA" w14:textId="249EC568" w:rsidR="008E198F" w:rsidRDefault="000402AC" w:rsidP="001922B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Comfrey</w:t>
      </w:r>
      <w:r w:rsidR="007B0EA1">
        <w:rPr>
          <w:rFonts w:ascii="Calibri" w:hAnsi="Calibri"/>
          <w:sz w:val="22"/>
          <w:szCs w:val="22"/>
        </w:rPr>
        <w:t xml:space="preserve"> grows in a rosette pattern to a height of up to 1m.  It</w:t>
      </w:r>
      <w:r>
        <w:rPr>
          <w:rFonts w:ascii="Calibri" w:hAnsi="Calibri"/>
          <w:sz w:val="22"/>
          <w:szCs w:val="22"/>
        </w:rPr>
        <w:t xml:space="preserve"> </w:t>
      </w:r>
      <w:r w:rsidR="007B0EA1">
        <w:rPr>
          <w:rFonts w:ascii="Calibri" w:hAnsi="Calibri"/>
          <w:sz w:val="22"/>
          <w:szCs w:val="22"/>
        </w:rPr>
        <w:t>has large, hairy leaves and</w:t>
      </w:r>
      <w:r w:rsidR="007F592B" w:rsidRPr="007F592B">
        <w:rPr>
          <w:rFonts w:ascii="Calibri" w:hAnsi="Calibri"/>
          <w:sz w:val="22"/>
          <w:szCs w:val="22"/>
        </w:rPr>
        <w:t xml:space="preserve"> black, turnip-like root</w:t>
      </w:r>
      <w:r w:rsidR="00805535">
        <w:rPr>
          <w:rFonts w:ascii="Calibri" w:hAnsi="Calibri"/>
          <w:sz w:val="22"/>
          <w:szCs w:val="22"/>
        </w:rPr>
        <w:t xml:space="preserve"> which can grow </w:t>
      </w:r>
      <w:r w:rsidR="00552FE8">
        <w:rPr>
          <w:rFonts w:ascii="Calibri" w:hAnsi="Calibri"/>
          <w:sz w:val="22"/>
          <w:szCs w:val="22"/>
        </w:rPr>
        <w:t>down 8 to 10-feet and out to a 3-foot radius</w:t>
      </w:r>
      <w:r w:rsidR="007F592B">
        <w:rPr>
          <w:rFonts w:ascii="Calibri" w:hAnsi="Calibri"/>
          <w:sz w:val="22"/>
          <w:szCs w:val="22"/>
        </w:rPr>
        <w:t>.</w:t>
      </w:r>
    </w:p>
    <w:p w14:paraId="718D1E20" w14:textId="77777777" w:rsidR="009267A1" w:rsidRDefault="009267A1" w:rsidP="001922BA">
      <w:pPr>
        <w:rPr>
          <w:rFonts w:ascii="Calibri" w:hAnsi="Calibri"/>
          <w:b/>
          <w:sz w:val="22"/>
          <w:szCs w:val="22"/>
        </w:rPr>
      </w:pPr>
    </w:p>
    <w:p w14:paraId="122FFFD5" w14:textId="00A0EDEF" w:rsidR="001922BA" w:rsidRPr="009D2BD5" w:rsidRDefault="001922BA" w:rsidP="001922BA">
      <w:pPr>
        <w:rPr>
          <w:rFonts w:ascii="Calibri" w:hAnsi="Calibri"/>
          <w:sz w:val="22"/>
          <w:szCs w:val="22"/>
        </w:rPr>
      </w:pPr>
      <w:r w:rsidRPr="009D2BD5">
        <w:rPr>
          <w:rFonts w:ascii="Calibri" w:hAnsi="Calibri"/>
          <w:b/>
          <w:sz w:val="22"/>
          <w:szCs w:val="22"/>
        </w:rPr>
        <w:t>Parts Used</w:t>
      </w:r>
      <w:r>
        <w:rPr>
          <w:rFonts w:ascii="Calibri" w:hAnsi="Calibri"/>
          <w:b/>
          <w:sz w:val="22"/>
          <w:szCs w:val="22"/>
        </w:rPr>
        <w:t xml:space="preserve">: </w:t>
      </w:r>
      <w:r w:rsidR="0060368B">
        <w:rPr>
          <w:rFonts w:ascii="Calibri" w:hAnsi="Calibri"/>
          <w:sz w:val="22"/>
          <w:szCs w:val="22"/>
        </w:rPr>
        <w:t xml:space="preserve">Roots, </w:t>
      </w:r>
      <w:r w:rsidR="006165AD">
        <w:rPr>
          <w:rFonts w:ascii="Calibri" w:hAnsi="Calibri"/>
          <w:sz w:val="22"/>
          <w:szCs w:val="22"/>
        </w:rPr>
        <w:t>aerial parts</w:t>
      </w:r>
      <w:r w:rsidRPr="009D2BD5">
        <w:rPr>
          <w:rFonts w:ascii="Calibri" w:hAnsi="Calibri"/>
          <w:sz w:val="22"/>
          <w:szCs w:val="22"/>
        </w:rPr>
        <w:t xml:space="preserve"> </w:t>
      </w:r>
    </w:p>
    <w:p w14:paraId="14D62471" w14:textId="7640AD02" w:rsidR="001922BA" w:rsidRPr="009D2BD5" w:rsidRDefault="001922BA" w:rsidP="001922BA">
      <w:pPr>
        <w:rPr>
          <w:rFonts w:ascii="Calibri" w:hAnsi="Calibri"/>
          <w:b/>
          <w:sz w:val="22"/>
          <w:szCs w:val="22"/>
        </w:rPr>
      </w:pPr>
    </w:p>
    <w:p w14:paraId="3133FCD7" w14:textId="6F5CF086" w:rsidR="00E21CB8" w:rsidRDefault="001922BA" w:rsidP="001922BA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Uses:</w:t>
      </w:r>
      <w:r w:rsidR="00D62943" w:rsidRPr="009D2BD5">
        <w:rPr>
          <w:rFonts w:ascii="Calibri" w:hAnsi="Calibri"/>
          <w:sz w:val="22"/>
          <w:szCs w:val="22"/>
        </w:rPr>
        <w:tab/>
      </w:r>
      <w:r w:rsidR="00D62943" w:rsidRPr="009D2BD5">
        <w:rPr>
          <w:rFonts w:ascii="Calibri" w:hAnsi="Calibri"/>
          <w:sz w:val="22"/>
          <w:szCs w:val="22"/>
        </w:rPr>
        <w:tab/>
      </w:r>
    </w:p>
    <w:p w14:paraId="7684640C" w14:textId="055368D9" w:rsidR="00AB2520" w:rsidRPr="003F13F1" w:rsidRDefault="0034763D" w:rsidP="001922BA">
      <w:pPr>
        <w:rPr>
          <w:rFonts w:ascii="Calibri" w:hAnsi="Calibri"/>
          <w:b/>
          <w:i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Pr="003F13F1">
        <w:rPr>
          <w:rFonts w:ascii="Calibri" w:hAnsi="Calibri"/>
          <w:b/>
          <w:i/>
          <w:sz w:val="22"/>
          <w:szCs w:val="22"/>
        </w:rPr>
        <w:t>Gastrointestinal</w:t>
      </w:r>
    </w:p>
    <w:p w14:paraId="4B058C61" w14:textId="71CA6674" w:rsidR="0034763D" w:rsidRPr="003F13F1" w:rsidRDefault="0034763D" w:rsidP="003F13F1">
      <w:pPr>
        <w:pStyle w:val="ListParagraph"/>
        <w:numPr>
          <w:ilvl w:val="1"/>
          <w:numId w:val="14"/>
        </w:numPr>
        <w:rPr>
          <w:rFonts w:ascii="Calibri" w:hAnsi="Calibri"/>
          <w:sz w:val="22"/>
          <w:szCs w:val="22"/>
        </w:rPr>
      </w:pPr>
      <w:r w:rsidRPr="003F13F1">
        <w:rPr>
          <w:rFonts w:ascii="Calibri" w:hAnsi="Calibri"/>
          <w:sz w:val="22"/>
          <w:szCs w:val="22"/>
        </w:rPr>
        <w:t>Infusion comforts mucous membranes</w:t>
      </w:r>
      <w:r w:rsidR="007E16C4">
        <w:rPr>
          <w:rFonts w:ascii="Calibri" w:hAnsi="Calibri"/>
          <w:sz w:val="22"/>
          <w:szCs w:val="22"/>
        </w:rPr>
        <w:t>.</w:t>
      </w:r>
      <w:r w:rsidR="007E16C4" w:rsidRPr="007E16C4">
        <w:rPr>
          <w:rFonts w:ascii="Calibri" w:hAnsi="Calibri"/>
          <w:sz w:val="22"/>
          <w:szCs w:val="22"/>
          <w:vertAlign w:val="superscript"/>
        </w:rPr>
        <w:t xml:space="preserve"> </w:t>
      </w:r>
      <w:r w:rsidR="007E16C4" w:rsidRPr="00513706">
        <w:rPr>
          <w:rFonts w:ascii="Calibri" w:hAnsi="Calibri"/>
          <w:sz w:val="22"/>
          <w:szCs w:val="22"/>
          <w:vertAlign w:val="superscript"/>
        </w:rPr>
        <w:t>5</w:t>
      </w:r>
    </w:p>
    <w:p w14:paraId="0AE91B17" w14:textId="536C99CE" w:rsidR="0034763D" w:rsidRPr="003F13F1" w:rsidRDefault="0034763D" w:rsidP="003F13F1">
      <w:pPr>
        <w:pStyle w:val="ListParagraph"/>
        <w:numPr>
          <w:ilvl w:val="1"/>
          <w:numId w:val="14"/>
        </w:numPr>
        <w:rPr>
          <w:rFonts w:ascii="Calibri" w:hAnsi="Calibri"/>
          <w:sz w:val="22"/>
          <w:szCs w:val="22"/>
        </w:rPr>
      </w:pPr>
      <w:r w:rsidRPr="003F13F1">
        <w:rPr>
          <w:rFonts w:ascii="Calibri" w:hAnsi="Calibri"/>
          <w:sz w:val="22"/>
          <w:szCs w:val="22"/>
        </w:rPr>
        <w:t>Internal hemorrhages in stomach and bowels.</w:t>
      </w:r>
      <w:r w:rsidR="007E16C4" w:rsidRPr="007E16C4">
        <w:rPr>
          <w:rFonts w:ascii="Calibri" w:hAnsi="Calibri"/>
          <w:sz w:val="22"/>
          <w:szCs w:val="22"/>
          <w:vertAlign w:val="superscript"/>
        </w:rPr>
        <w:t xml:space="preserve"> </w:t>
      </w:r>
      <w:r w:rsidR="007E16C4" w:rsidRPr="00513706">
        <w:rPr>
          <w:rFonts w:ascii="Calibri" w:hAnsi="Calibri"/>
          <w:sz w:val="22"/>
          <w:szCs w:val="22"/>
          <w:vertAlign w:val="superscript"/>
        </w:rPr>
        <w:t>5</w:t>
      </w:r>
    </w:p>
    <w:p w14:paraId="0996C892" w14:textId="4E495839" w:rsidR="00312AF1" w:rsidRPr="003F13F1" w:rsidRDefault="007E16C4" w:rsidP="003F13F1">
      <w:pPr>
        <w:pStyle w:val="ListParagraph"/>
        <w:numPr>
          <w:ilvl w:val="1"/>
          <w:numId w:val="1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For b</w:t>
      </w:r>
      <w:r w:rsidR="003F13F1" w:rsidRPr="003F13F1">
        <w:rPr>
          <w:rFonts w:ascii="Calibri" w:hAnsi="Calibri"/>
          <w:sz w:val="22"/>
          <w:szCs w:val="22"/>
        </w:rPr>
        <w:t xml:space="preserve">leeding </w:t>
      </w:r>
      <w:r w:rsidR="00312AF1" w:rsidRPr="003F13F1">
        <w:rPr>
          <w:rFonts w:ascii="Calibri" w:hAnsi="Calibri"/>
          <w:sz w:val="22"/>
          <w:szCs w:val="22"/>
        </w:rPr>
        <w:t xml:space="preserve">ulcers, </w:t>
      </w:r>
      <w:r w:rsidR="003F13F1">
        <w:rPr>
          <w:rFonts w:ascii="Calibri" w:hAnsi="Calibri"/>
          <w:sz w:val="22"/>
          <w:szCs w:val="22"/>
        </w:rPr>
        <w:t xml:space="preserve">comfrey </w:t>
      </w:r>
      <w:r w:rsidR="00312AF1" w:rsidRPr="003F13F1">
        <w:rPr>
          <w:rFonts w:ascii="Calibri" w:hAnsi="Calibri"/>
          <w:sz w:val="22"/>
          <w:szCs w:val="22"/>
        </w:rPr>
        <w:t>may be combined with plantain</w:t>
      </w:r>
      <w:r w:rsidR="003F13F1" w:rsidRPr="003F13F1">
        <w:rPr>
          <w:rFonts w:ascii="Calibri" w:hAnsi="Calibri"/>
          <w:sz w:val="22"/>
          <w:szCs w:val="22"/>
        </w:rPr>
        <w:t xml:space="preserve"> leaves.</w:t>
      </w:r>
      <w:r w:rsidRPr="007E16C4">
        <w:rPr>
          <w:rFonts w:ascii="Calibri" w:hAnsi="Calibri"/>
          <w:sz w:val="22"/>
          <w:szCs w:val="22"/>
          <w:vertAlign w:val="superscript"/>
        </w:rPr>
        <w:t xml:space="preserve"> </w:t>
      </w:r>
      <w:r w:rsidRPr="00513706">
        <w:rPr>
          <w:rFonts w:ascii="Calibri" w:hAnsi="Calibri"/>
          <w:sz w:val="22"/>
          <w:szCs w:val="22"/>
          <w:vertAlign w:val="superscript"/>
        </w:rPr>
        <w:t>5</w:t>
      </w:r>
    </w:p>
    <w:p w14:paraId="788B5283" w14:textId="77777777" w:rsidR="0034763D" w:rsidRDefault="0034763D" w:rsidP="00513706">
      <w:pPr>
        <w:rPr>
          <w:rFonts w:ascii="Calibri" w:hAnsi="Calibri"/>
          <w:sz w:val="22"/>
          <w:szCs w:val="22"/>
        </w:rPr>
      </w:pPr>
    </w:p>
    <w:p w14:paraId="1B13F63F" w14:textId="442FA250" w:rsidR="00513706" w:rsidRDefault="00513706" w:rsidP="00513706">
      <w:pPr>
        <w:ind w:left="720"/>
        <w:rPr>
          <w:rFonts w:ascii="Calibri" w:hAnsi="Calibri"/>
          <w:b/>
          <w:i/>
          <w:sz w:val="22"/>
          <w:szCs w:val="22"/>
        </w:rPr>
      </w:pPr>
      <w:r w:rsidRPr="00513706">
        <w:rPr>
          <w:rFonts w:ascii="Calibri" w:hAnsi="Calibri"/>
          <w:b/>
          <w:i/>
          <w:sz w:val="22"/>
          <w:szCs w:val="22"/>
        </w:rPr>
        <w:t>Lungs</w:t>
      </w:r>
    </w:p>
    <w:p w14:paraId="7272A4AF" w14:textId="1784FAF2" w:rsidR="00513706" w:rsidRPr="00513706" w:rsidRDefault="00513706" w:rsidP="00513706">
      <w:pPr>
        <w:pStyle w:val="ListParagraph"/>
        <w:numPr>
          <w:ilvl w:val="0"/>
          <w:numId w:val="16"/>
        </w:numPr>
        <w:rPr>
          <w:rFonts w:ascii="Calibri" w:hAnsi="Calibri"/>
          <w:sz w:val="22"/>
          <w:szCs w:val="22"/>
        </w:rPr>
      </w:pPr>
      <w:r w:rsidRPr="00513706">
        <w:rPr>
          <w:rFonts w:ascii="Calibri" w:hAnsi="Calibri"/>
          <w:sz w:val="22"/>
          <w:szCs w:val="22"/>
        </w:rPr>
        <w:t>Both leaves and roots may be used to make a syrup which “loosens and expels phlegm from the walls of the lungs.”</w:t>
      </w:r>
      <w:r w:rsidRPr="00513706">
        <w:rPr>
          <w:rFonts w:ascii="Calibri" w:hAnsi="Calibri"/>
          <w:sz w:val="22"/>
          <w:szCs w:val="22"/>
          <w:vertAlign w:val="superscript"/>
        </w:rPr>
        <w:t>5</w:t>
      </w:r>
    </w:p>
    <w:p w14:paraId="3324D4AC" w14:textId="77777777" w:rsidR="00513706" w:rsidRDefault="00513706" w:rsidP="00513706">
      <w:pPr>
        <w:ind w:left="720"/>
        <w:rPr>
          <w:rFonts w:ascii="Calibri" w:hAnsi="Calibri"/>
          <w:sz w:val="22"/>
          <w:szCs w:val="22"/>
        </w:rPr>
      </w:pPr>
    </w:p>
    <w:p w14:paraId="639BD29B" w14:textId="404560F1" w:rsidR="00513706" w:rsidRDefault="00513706" w:rsidP="00513706">
      <w:pPr>
        <w:ind w:left="720"/>
        <w:rPr>
          <w:rFonts w:ascii="Calibri" w:hAnsi="Calibri"/>
          <w:b/>
          <w:i/>
          <w:sz w:val="22"/>
          <w:szCs w:val="22"/>
        </w:rPr>
      </w:pPr>
      <w:r w:rsidRPr="00513706">
        <w:rPr>
          <w:rFonts w:ascii="Calibri" w:hAnsi="Calibri"/>
          <w:b/>
          <w:i/>
          <w:sz w:val="22"/>
          <w:szCs w:val="22"/>
        </w:rPr>
        <w:t>Throat</w:t>
      </w:r>
    </w:p>
    <w:p w14:paraId="40A4D37E" w14:textId="6ECA5C3E" w:rsidR="00513706" w:rsidRPr="00513706" w:rsidRDefault="00513706" w:rsidP="00513706">
      <w:pPr>
        <w:pStyle w:val="ListParagraph"/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513706">
        <w:rPr>
          <w:rFonts w:ascii="Calibri" w:hAnsi="Calibri"/>
          <w:sz w:val="22"/>
          <w:szCs w:val="22"/>
        </w:rPr>
        <w:t>Softens and soothes the throat.</w:t>
      </w:r>
      <w:r w:rsidR="00724761" w:rsidRPr="00513706">
        <w:rPr>
          <w:rFonts w:ascii="Calibri" w:hAnsi="Calibri"/>
          <w:sz w:val="22"/>
          <w:szCs w:val="22"/>
          <w:vertAlign w:val="superscript"/>
        </w:rPr>
        <w:t>5</w:t>
      </w:r>
    </w:p>
    <w:p w14:paraId="6BEB6317" w14:textId="77777777" w:rsidR="00513706" w:rsidRDefault="00513706" w:rsidP="00513706">
      <w:pPr>
        <w:ind w:left="720"/>
        <w:rPr>
          <w:rFonts w:ascii="Calibri" w:hAnsi="Calibri"/>
          <w:sz w:val="22"/>
          <w:szCs w:val="22"/>
        </w:rPr>
      </w:pPr>
    </w:p>
    <w:p w14:paraId="64F4E98A" w14:textId="4E25E2DC" w:rsidR="00FC0A30" w:rsidRDefault="00FC0A30" w:rsidP="00513706">
      <w:pPr>
        <w:ind w:left="720"/>
        <w:rPr>
          <w:rFonts w:ascii="Calibri" w:hAnsi="Calibri"/>
          <w:b/>
          <w:i/>
          <w:sz w:val="22"/>
          <w:szCs w:val="22"/>
        </w:rPr>
      </w:pPr>
      <w:r w:rsidRPr="00FC0A30">
        <w:rPr>
          <w:rFonts w:ascii="Calibri" w:hAnsi="Calibri"/>
          <w:b/>
          <w:i/>
          <w:sz w:val="22"/>
          <w:szCs w:val="22"/>
        </w:rPr>
        <w:t>Weak ligaments and muscles, especially the knee</w:t>
      </w:r>
    </w:p>
    <w:p w14:paraId="15E1BE51" w14:textId="53CC98F7" w:rsidR="00FC0A30" w:rsidRPr="00FC0A30" w:rsidRDefault="00FC0A30" w:rsidP="00FC0A30">
      <w:pPr>
        <w:pStyle w:val="ListParagraph"/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FC0A30">
        <w:rPr>
          <w:rFonts w:ascii="Calibri" w:hAnsi="Calibri"/>
          <w:sz w:val="22"/>
          <w:szCs w:val="22"/>
        </w:rPr>
        <w:t>Poultice of fresh leaves, chopped, warmed</w:t>
      </w:r>
      <w:r w:rsidR="00573AF4">
        <w:rPr>
          <w:rFonts w:ascii="Calibri" w:hAnsi="Calibri"/>
          <w:sz w:val="22"/>
          <w:szCs w:val="22"/>
        </w:rPr>
        <w:t xml:space="preserve"> briefly</w:t>
      </w:r>
      <w:r w:rsidRPr="00FC0A30">
        <w:rPr>
          <w:rFonts w:ascii="Calibri" w:hAnsi="Calibri"/>
          <w:sz w:val="22"/>
          <w:szCs w:val="22"/>
        </w:rPr>
        <w:t xml:space="preserve"> in </w:t>
      </w:r>
      <w:r w:rsidR="00573AF4">
        <w:rPr>
          <w:rFonts w:ascii="Calibri" w:hAnsi="Calibri"/>
          <w:sz w:val="22"/>
          <w:szCs w:val="22"/>
        </w:rPr>
        <w:t xml:space="preserve">hot </w:t>
      </w:r>
      <w:r w:rsidRPr="00FC0A30">
        <w:rPr>
          <w:rFonts w:ascii="Calibri" w:hAnsi="Calibri"/>
          <w:sz w:val="22"/>
          <w:szCs w:val="22"/>
        </w:rPr>
        <w:t>water, and applied directly to area.</w:t>
      </w:r>
    </w:p>
    <w:p w14:paraId="22B0324B" w14:textId="480228BD" w:rsidR="00FC0A30" w:rsidRPr="00FC0A30" w:rsidRDefault="00FC0A30" w:rsidP="00FC0A30">
      <w:pPr>
        <w:pStyle w:val="ListParagraph"/>
        <w:numPr>
          <w:ilvl w:val="0"/>
          <w:numId w:val="15"/>
        </w:numPr>
        <w:rPr>
          <w:rFonts w:ascii="Calibri" w:hAnsi="Calibri"/>
          <w:sz w:val="22"/>
          <w:szCs w:val="22"/>
        </w:rPr>
      </w:pPr>
      <w:r w:rsidRPr="00FC0A30">
        <w:rPr>
          <w:rFonts w:ascii="Calibri" w:hAnsi="Calibri"/>
          <w:sz w:val="22"/>
          <w:szCs w:val="22"/>
        </w:rPr>
        <w:t>Poultice of dried comfrey root powder mixed with hot water and olive oil, applied to the affected area and covered with a heating pad.</w:t>
      </w:r>
      <w:r w:rsidRPr="00FC0A30">
        <w:rPr>
          <w:rFonts w:ascii="Calibri" w:hAnsi="Calibri"/>
          <w:sz w:val="22"/>
          <w:szCs w:val="22"/>
          <w:vertAlign w:val="superscript"/>
        </w:rPr>
        <w:t>5</w:t>
      </w:r>
    </w:p>
    <w:p w14:paraId="1E7CF02F" w14:textId="77777777" w:rsidR="00FC0A30" w:rsidRDefault="00FC0A30" w:rsidP="00513706">
      <w:pPr>
        <w:ind w:left="720"/>
        <w:rPr>
          <w:rFonts w:ascii="Calibri" w:hAnsi="Calibri"/>
          <w:sz w:val="22"/>
          <w:szCs w:val="22"/>
        </w:rPr>
      </w:pPr>
    </w:p>
    <w:p w14:paraId="4F736C18" w14:textId="74F4EDFF" w:rsidR="00C155F1" w:rsidRPr="00C155F1" w:rsidRDefault="00C155F1" w:rsidP="00513706">
      <w:pPr>
        <w:ind w:left="720"/>
        <w:rPr>
          <w:rFonts w:ascii="Calibri" w:hAnsi="Calibri"/>
          <w:b/>
          <w:i/>
          <w:sz w:val="22"/>
          <w:szCs w:val="22"/>
        </w:rPr>
      </w:pPr>
      <w:r w:rsidRPr="00C155F1">
        <w:rPr>
          <w:rFonts w:ascii="Calibri" w:hAnsi="Calibri"/>
          <w:b/>
          <w:i/>
          <w:sz w:val="22"/>
          <w:szCs w:val="22"/>
        </w:rPr>
        <w:t>Varicose veins / Hemorrhoids</w:t>
      </w:r>
    </w:p>
    <w:p w14:paraId="1A06C6D6" w14:textId="6162EF0D" w:rsidR="00C155F1" w:rsidRPr="00C155F1" w:rsidRDefault="00C155F1" w:rsidP="00C155F1">
      <w:pPr>
        <w:pStyle w:val="ListParagraph"/>
        <w:numPr>
          <w:ilvl w:val="0"/>
          <w:numId w:val="17"/>
        </w:numPr>
        <w:rPr>
          <w:rFonts w:ascii="Calibri" w:hAnsi="Calibri"/>
          <w:sz w:val="22"/>
          <w:szCs w:val="22"/>
        </w:rPr>
      </w:pPr>
      <w:r w:rsidRPr="00C155F1">
        <w:rPr>
          <w:rFonts w:ascii="Calibri" w:hAnsi="Calibri"/>
          <w:sz w:val="22"/>
          <w:szCs w:val="22"/>
        </w:rPr>
        <w:t>Comfrey and yarrow poultice</w:t>
      </w:r>
      <w:r w:rsidRPr="00FC0A30">
        <w:rPr>
          <w:rFonts w:ascii="Calibri" w:hAnsi="Calibri"/>
          <w:sz w:val="22"/>
          <w:szCs w:val="22"/>
          <w:vertAlign w:val="superscript"/>
        </w:rPr>
        <w:t>5</w:t>
      </w:r>
    </w:p>
    <w:p w14:paraId="735B4113" w14:textId="77777777" w:rsidR="00C155F1" w:rsidRPr="00513706" w:rsidRDefault="00C155F1" w:rsidP="00513706">
      <w:pPr>
        <w:ind w:left="720"/>
        <w:rPr>
          <w:rFonts w:ascii="Calibri" w:hAnsi="Calibri"/>
          <w:sz w:val="22"/>
          <w:szCs w:val="22"/>
        </w:rPr>
      </w:pPr>
    </w:p>
    <w:p w14:paraId="67DA7E64" w14:textId="3CDCC69E" w:rsidR="00513706" w:rsidRDefault="00FC0A30" w:rsidP="00513706">
      <w:pPr>
        <w:ind w:left="720"/>
        <w:rPr>
          <w:rFonts w:ascii="Calibri" w:hAnsi="Calibri"/>
          <w:b/>
          <w:i/>
          <w:sz w:val="22"/>
          <w:szCs w:val="22"/>
        </w:rPr>
      </w:pPr>
      <w:r w:rsidRPr="00FC0A30">
        <w:rPr>
          <w:rFonts w:ascii="Calibri" w:hAnsi="Calibri"/>
          <w:b/>
          <w:i/>
          <w:sz w:val="22"/>
          <w:szCs w:val="22"/>
        </w:rPr>
        <w:t>Broken Bones</w:t>
      </w:r>
    </w:p>
    <w:p w14:paraId="5ED618E8" w14:textId="77777777" w:rsidR="00C155F1" w:rsidRPr="00FC0A30" w:rsidRDefault="00C155F1" w:rsidP="00513706">
      <w:pPr>
        <w:ind w:left="720"/>
        <w:rPr>
          <w:rFonts w:ascii="Calibri" w:hAnsi="Calibri"/>
          <w:b/>
          <w:i/>
          <w:sz w:val="22"/>
          <w:szCs w:val="22"/>
        </w:rPr>
      </w:pPr>
    </w:p>
    <w:p w14:paraId="1DD431DE" w14:textId="6441B90C" w:rsidR="00FC0A30" w:rsidRPr="00C155F1" w:rsidRDefault="00FC0A30" w:rsidP="00C155F1">
      <w:pPr>
        <w:pStyle w:val="ListParagraph"/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C155F1">
        <w:rPr>
          <w:rFonts w:ascii="Calibri" w:hAnsi="Calibri"/>
          <w:sz w:val="22"/>
          <w:szCs w:val="22"/>
        </w:rPr>
        <w:t>Comfrey leaf infusion</w:t>
      </w:r>
      <w:r w:rsidR="007E16C4" w:rsidRPr="00513706">
        <w:rPr>
          <w:rFonts w:ascii="Calibri" w:hAnsi="Calibri"/>
          <w:sz w:val="22"/>
          <w:szCs w:val="22"/>
          <w:vertAlign w:val="superscript"/>
        </w:rPr>
        <w:t>5</w:t>
      </w:r>
    </w:p>
    <w:p w14:paraId="5AFC38F5" w14:textId="4864EB62" w:rsidR="00AF352C" w:rsidRPr="007E16C4" w:rsidRDefault="00FC0A30" w:rsidP="001922BA">
      <w:pPr>
        <w:pStyle w:val="ListParagraph"/>
        <w:numPr>
          <w:ilvl w:val="0"/>
          <w:numId w:val="18"/>
        </w:numPr>
        <w:rPr>
          <w:rFonts w:ascii="Calibri" w:hAnsi="Calibri"/>
          <w:sz w:val="22"/>
          <w:szCs w:val="22"/>
        </w:rPr>
      </w:pPr>
      <w:r w:rsidRPr="00C155F1">
        <w:rPr>
          <w:rFonts w:ascii="Calibri" w:hAnsi="Calibri"/>
          <w:sz w:val="22"/>
          <w:szCs w:val="22"/>
        </w:rPr>
        <w:t xml:space="preserve">Comfrey </w:t>
      </w:r>
      <w:r w:rsidR="00C155F1">
        <w:rPr>
          <w:rFonts w:ascii="Calibri" w:hAnsi="Calibri"/>
          <w:sz w:val="22"/>
          <w:szCs w:val="22"/>
        </w:rPr>
        <w:t>p</w:t>
      </w:r>
      <w:r w:rsidRPr="00C155F1">
        <w:rPr>
          <w:rFonts w:ascii="Calibri" w:hAnsi="Calibri"/>
          <w:sz w:val="22"/>
          <w:szCs w:val="22"/>
        </w:rPr>
        <w:t>oultice</w:t>
      </w:r>
      <w:r w:rsidR="007E16C4" w:rsidRPr="00513706">
        <w:rPr>
          <w:rFonts w:ascii="Calibri" w:hAnsi="Calibri"/>
          <w:sz w:val="22"/>
          <w:szCs w:val="22"/>
          <w:vertAlign w:val="superscript"/>
        </w:rPr>
        <w:t>5</w:t>
      </w:r>
    </w:p>
    <w:p w14:paraId="792F3430" w14:textId="77777777" w:rsidR="007E16C4" w:rsidRDefault="007E16C4" w:rsidP="007E16C4">
      <w:pPr>
        <w:pStyle w:val="ListParagraph"/>
        <w:numPr>
          <w:ilvl w:val="0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There is recent clinical evidence for comfrey’s effectiveness in treating:</w:t>
      </w:r>
    </w:p>
    <w:p w14:paraId="49A13B5D" w14:textId="77777777" w:rsidR="007E16C4" w:rsidRPr="007E16C4" w:rsidRDefault="007E16C4" w:rsidP="007E16C4">
      <w:pPr>
        <w:pStyle w:val="ListParagraph"/>
        <w:numPr>
          <w:ilvl w:val="1"/>
          <w:numId w:val="1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Back pain, osteoarthritis, sprains, rheumatism, and erythema.</w:t>
      </w:r>
      <w:r w:rsidRPr="0011255C">
        <w:rPr>
          <w:rFonts w:ascii="Calibri" w:hAnsi="Calibri"/>
          <w:sz w:val="22"/>
          <w:szCs w:val="22"/>
          <w:vertAlign w:val="superscript"/>
        </w:rPr>
        <w:t>2</w:t>
      </w:r>
    </w:p>
    <w:p w14:paraId="18A71FBF" w14:textId="64908A0C" w:rsidR="007E16C4" w:rsidRPr="007E16C4" w:rsidRDefault="007E16C4" w:rsidP="007E16C4">
      <w:pPr>
        <w:pStyle w:val="ListParagraph"/>
        <w:numPr>
          <w:ilvl w:val="1"/>
          <w:numId w:val="12"/>
        </w:numPr>
        <w:rPr>
          <w:rFonts w:ascii="Calibri" w:hAnsi="Calibri"/>
          <w:sz w:val="22"/>
          <w:szCs w:val="22"/>
        </w:rPr>
      </w:pPr>
      <w:r w:rsidRPr="007E16C4">
        <w:rPr>
          <w:rFonts w:ascii="Calibri" w:hAnsi="Calibri"/>
          <w:sz w:val="22"/>
          <w:szCs w:val="22"/>
        </w:rPr>
        <w:t xml:space="preserve">Study of rats given 6 drops/day homeopathic dosage of comfrey mixed with water showed greater bone density around titanium implants during initial bone healing.  </w:t>
      </w:r>
      <w:r>
        <w:rPr>
          <w:rFonts w:ascii="Calibri" w:hAnsi="Calibri"/>
          <w:sz w:val="22"/>
          <w:szCs w:val="22"/>
        </w:rPr>
        <w:t>This i</w:t>
      </w:r>
      <w:r w:rsidRPr="007E16C4">
        <w:rPr>
          <w:rFonts w:ascii="Calibri" w:hAnsi="Calibri"/>
          <w:sz w:val="22"/>
          <w:szCs w:val="22"/>
        </w:rPr>
        <w:t>ndicates “accelerated rate of bone maturation and mineral deposition.”</w:t>
      </w:r>
    </w:p>
    <w:p w14:paraId="5E7993FD" w14:textId="77777777" w:rsidR="007E16C4" w:rsidRDefault="007E16C4" w:rsidP="001922BA">
      <w:pPr>
        <w:rPr>
          <w:rFonts w:ascii="Calibri" w:hAnsi="Calibri"/>
          <w:sz w:val="22"/>
          <w:szCs w:val="22"/>
        </w:rPr>
      </w:pPr>
    </w:p>
    <w:p w14:paraId="62D20764" w14:textId="77777777" w:rsidR="007E16C4" w:rsidRDefault="007E16C4" w:rsidP="007E16C4">
      <w:pPr>
        <w:ind w:left="720"/>
        <w:rPr>
          <w:rFonts w:ascii="Calibri" w:hAnsi="Calibri"/>
          <w:b/>
          <w:i/>
          <w:sz w:val="22"/>
          <w:szCs w:val="22"/>
        </w:rPr>
      </w:pPr>
      <w:r w:rsidRPr="007E16C4">
        <w:rPr>
          <w:rFonts w:ascii="Calibri" w:hAnsi="Calibri"/>
          <w:b/>
          <w:i/>
          <w:sz w:val="22"/>
          <w:szCs w:val="22"/>
        </w:rPr>
        <w:t>Skin</w:t>
      </w:r>
    </w:p>
    <w:p w14:paraId="5615F8F1" w14:textId="23FC23B3" w:rsidR="007E16C4" w:rsidRPr="007E16C4" w:rsidRDefault="007E16C4" w:rsidP="007E16C4">
      <w:pPr>
        <w:pStyle w:val="ListParagraph"/>
        <w:numPr>
          <w:ilvl w:val="0"/>
          <w:numId w:val="20"/>
        </w:num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>Include comfrey leaves in a facial steam mixed with lavender and rose petals.</w:t>
      </w:r>
      <w:r w:rsidRPr="007E16C4">
        <w:rPr>
          <w:rFonts w:ascii="Calibri" w:hAnsi="Calibri"/>
          <w:sz w:val="22"/>
          <w:szCs w:val="22"/>
          <w:vertAlign w:val="superscript"/>
        </w:rPr>
        <w:t>5</w:t>
      </w:r>
    </w:p>
    <w:p w14:paraId="3905B920" w14:textId="55AFD89E" w:rsidR="007E16C4" w:rsidRPr="007E16C4" w:rsidRDefault="007E16C4" w:rsidP="007E16C4">
      <w:pPr>
        <w:pStyle w:val="ListParagraph"/>
        <w:ind w:left="1440"/>
        <w:rPr>
          <w:rFonts w:ascii="Calibri" w:hAnsi="Calibri"/>
          <w:sz w:val="22"/>
          <w:szCs w:val="22"/>
        </w:rPr>
      </w:pPr>
    </w:p>
    <w:p w14:paraId="173C6B1C" w14:textId="77777777" w:rsidR="00F17A67" w:rsidRDefault="00F17A67" w:rsidP="00F17A67">
      <w:pPr>
        <w:ind w:left="720"/>
        <w:rPr>
          <w:rFonts w:ascii="Calibri" w:hAnsi="Calibri"/>
          <w:sz w:val="22"/>
          <w:szCs w:val="22"/>
        </w:rPr>
      </w:pPr>
    </w:p>
    <w:p w14:paraId="3131B86B" w14:textId="18C997E5" w:rsidR="00187DC3" w:rsidRPr="00D269B1" w:rsidRDefault="00CC2F4B">
      <w:pPr>
        <w:rPr>
          <w:rFonts w:eastAsia="Times New Roman"/>
        </w:rPr>
      </w:pPr>
      <w:r w:rsidRPr="009D2BD5">
        <w:rPr>
          <w:rFonts w:ascii="Calibri" w:hAnsi="Calibri"/>
          <w:b/>
          <w:sz w:val="22"/>
          <w:szCs w:val="22"/>
        </w:rPr>
        <w:t>Actions</w:t>
      </w:r>
      <w:r w:rsidRPr="009D2BD5">
        <w:rPr>
          <w:rFonts w:ascii="Calibri" w:hAnsi="Calibri"/>
          <w:sz w:val="22"/>
          <w:szCs w:val="22"/>
        </w:rPr>
        <w:t>:</w:t>
      </w:r>
      <w:r w:rsidR="00837F31" w:rsidRPr="009D2BD5">
        <w:rPr>
          <w:rFonts w:ascii="Calibri" w:hAnsi="Calibri"/>
          <w:sz w:val="22"/>
          <w:szCs w:val="22"/>
        </w:rPr>
        <w:t xml:space="preserve"> </w:t>
      </w:r>
      <w:r w:rsidR="00EA4FEE">
        <w:rPr>
          <w:rFonts w:ascii="Calibri" w:hAnsi="Calibri"/>
          <w:sz w:val="22"/>
          <w:szCs w:val="22"/>
        </w:rPr>
        <w:t xml:space="preserve"> </w:t>
      </w:r>
      <w:r w:rsidR="00E82012">
        <w:rPr>
          <w:rFonts w:ascii="Calibri" w:hAnsi="Calibri"/>
          <w:sz w:val="22"/>
          <w:szCs w:val="22"/>
        </w:rPr>
        <w:t>a</w:t>
      </w:r>
      <w:r w:rsidR="0037084D" w:rsidRPr="009D2BD5">
        <w:rPr>
          <w:rFonts w:ascii="Calibri" w:hAnsi="Calibri"/>
          <w:sz w:val="22"/>
          <w:szCs w:val="22"/>
        </w:rPr>
        <w:t>nti-inflammatory</w:t>
      </w:r>
      <w:r w:rsidR="008C687C">
        <w:rPr>
          <w:rFonts w:ascii="Calibri" w:hAnsi="Calibri"/>
          <w:sz w:val="22"/>
          <w:szCs w:val="22"/>
        </w:rPr>
        <w:t xml:space="preserve"> (demulcent)</w:t>
      </w:r>
      <w:r w:rsidR="0037084D" w:rsidRPr="009D2BD5">
        <w:rPr>
          <w:rFonts w:ascii="Calibri" w:hAnsi="Calibri"/>
          <w:sz w:val="22"/>
          <w:szCs w:val="22"/>
        </w:rPr>
        <w:t>,</w:t>
      </w:r>
      <w:r w:rsidR="001A1555">
        <w:rPr>
          <w:rFonts w:ascii="Calibri" w:hAnsi="Calibri"/>
          <w:sz w:val="22"/>
          <w:szCs w:val="22"/>
        </w:rPr>
        <w:t xml:space="preserve"> analgesic</w:t>
      </w:r>
      <w:r w:rsidR="00047E41" w:rsidRPr="009D2BD5">
        <w:rPr>
          <w:rFonts w:ascii="Calibri" w:hAnsi="Calibri"/>
          <w:sz w:val="22"/>
          <w:szCs w:val="22"/>
        </w:rPr>
        <w:t xml:space="preserve">, </w:t>
      </w:r>
      <w:r w:rsidR="00D269B1" w:rsidRPr="00E82012">
        <w:rPr>
          <w:rFonts w:ascii="Calibri" w:hAnsi="Calibri"/>
          <w:sz w:val="22"/>
          <w:szCs w:val="22"/>
        </w:rPr>
        <w:t>antitussive</w:t>
      </w:r>
      <w:r w:rsidR="00D269B1" w:rsidRPr="00E82012">
        <w:rPr>
          <w:rFonts w:ascii="Calibri" w:eastAsia="Times New Roman" w:hAnsi="Calibri"/>
          <w:sz w:val="22"/>
          <w:szCs w:val="22"/>
        </w:rPr>
        <w:t xml:space="preserve"> (</w:t>
      </w:r>
      <w:r w:rsidR="009522E5" w:rsidRPr="00E82012">
        <w:rPr>
          <w:rFonts w:ascii="Calibri" w:eastAsia="Times New Roman" w:hAnsi="Calibri"/>
          <w:sz w:val="22"/>
          <w:szCs w:val="22"/>
        </w:rPr>
        <w:t>suppresses</w:t>
      </w:r>
      <w:r w:rsidR="00D269B1" w:rsidRPr="00E82012">
        <w:rPr>
          <w:rFonts w:ascii="Calibri" w:eastAsia="Times New Roman" w:hAnsi="Calibri"/>
          <w:sz w:val="22"/>
          <w:szCs w:val="22"/>
        </w:rPr>
        <w:t xml:space="preserve"> coughing),</w:t>
      </w:r>
      <w:r w:rsidR="001A1555">
        <w:rPr>
          <w:rFonts w:ascii="Calibri" w:eastAsia="Times New Roman" w:hAnsi="Calibri"/>
          <w:sz w:val="22"/>
          <w:szCs w:val="22"/>
        </w:rPr>
        <w:t xml:space="preserve"> </w:t>
      </w:r>
      <w:r w:rsidR="00D150AF">
        <w:rPr>
          <w:rFonts w:ascii="Calibri" w:eastAsia="Times New Roman" w:hAnsi="Calibri"/>
          <w:sz w:val="22"/>
          <w:szCs w:val="22"/>
        </w:rPr>
        <w:t xml:space="preserve">antioxidant, </w:t>
      </w:r>
      <w:r w:rsidR="007C221E">
        <w:rPr>
          <w:rFonts w:ascii="Calibri" w:eastAsia="Times New Roman" w:hAnsi="Calibri"/>
          <w:sz w:val="22"/>
          <w:szCs w:val="22"/>
        </w:rPr>
        <w:t xml:space="preserve">astringent, </w:t>
      </w:r>
      <w:r w:rsidR="007C221E">
        <w:rPr>
          <w:rFonts w:ascii="Calibri" w:eastAsia="Times New Roman" w:hAnsi="Calibri"/>
          <w:sz w:val="22"/>
          <w:szCs w:val="22"/>
        </w:rPr>
        <w:t>cooling</w:t>
      </w:r>
      <w:r w:rsidR="007C221E">
        <w:rPr>
          <w:rFonts w:ascii="Calibri" w:eastAsia="Times New Roman" w:hAnsi="Calibri"/>
          <w:sz w:val="22"/>
          <w:szCs w:val="22"/>
        </w:rPr>
        <w:t xml:space="preserve">, </w:t>
      </w:r>
      <w:r w:rsidR="001A1555">
        <w:rPr>
          <w:rFonts w:ascii="Calibri" w:eastAsia="Times New Roman" w:hAnsi="Calibri"/>
          <w:sz w:val="22"/>
          <w:szCs w:val="22"/>
        </w:rPr>
        <w:t>diuretic,</w:t>
      </w:r>
      <w:r w:rsidR="00D269B1" w:rsidRPr="00E82012">
        <w:rPr>
          <w:rFonts w:ascii="Calibri" w:eastAsia="Times New Roman" w:hAnsi="Calibri"/>
          <w:sz w:val="22"/>
          <w:szCs w:val="22"/>
        </w:rPr>
        <w:t xml:space="preserve"> </w:t>
      </w:r>
      <w:r w:rsidR="007C221E">
        <w:rPr>
          <w:rFonts w:ascii="Calibri" w:eastAsia="Times New Roman" w:hAnsi="Calibri"/>
          <w:sz w:val="22"/>
          <w:szCs w:val="22"/>
        </w:rPr>
        <w:t>expectorant</w:t>
      </w:r>
      <w:r w:rsidR="008C687C">
        <w:rPr>
          <w:rFonts w:ascii="Calibri" w:eastAsia="Times New Roman" w:hAnsi="Calibri"/>
          <w:sz w:val="22"/>
          <w:szCs w:val="22"/>
        </w:rPr>
        <w:t xml:space="preserve">, </w:t>
      </w:r>
      <w:r w:rsidR="00533676" w:rsidRPr="00E82012">
        <w:rPr>
          <w:rFonts w:ascii="Calibri" w:hAnsi="Calibri"/>
          <w:sz w:val="22"/>
          <w:szCs w:val="22"/>
        </w:rPr>
        <w:t>emollient (soothes skin)</w:t>
      </w:r>
    </w:p>
    <w:p w14:paraId="49A9DB44" w14:textId="77777777" w:rsidR="00CC2F4B" w:rsidRPr="009D2BD5" w:rsidRDefault="00CC2F4B">
      <w:pPr>
        <w:rPr>
          <w:rFonts w:ascii="Calibri" w:hAnsi="Calibri"/>
          <w:sz w:val="22"/>
          <w:szCs w:val="22"/>
        </w:rPr>
      </w:pPr>
    </w:p>
    <w:p w14:paraId="49DA28D2" w14:textId="18052783" w:rsidR="007F63BB" w:rsidRDefault="00581B5D" w:rsidP="007F63BB">
      <w:pPr>
        <w:rPr>
          <w:rFonts w:ascii="Calibri" w:hAnsi="Calibri"/>
          <w:sz w:val="22"/>
          <w:szCs w:val="22"/>
        </w:rPr>
      </w:pPr>
      <w:r w:rsidRPr="009D2BD5">
        <w:rPr>
          <w:rFonts w:ascii="Calibri" w:hAnsi="Calibri"/>
          <w:b/>
          <w:sz w:val="22"/>
          <w:szCs w:val="22"/>
        </w:rPr>
        <w:t>Constituents</w:t>
      </w:r>
      <w:r w:rsidRPr="009D2BD5">
        <w:rPr>
          <w:rFonts w:ascii="Calibri" w:hAnsi="Calibri"/>
          <w:sz w:val="22"/>
          <w:szCs w:val="22"/>
        </w:rPr>
        <w:t>:</w:t>
      </w:r>
      <w:r w:rsidR="00AA23CC">
        <w:rPr>
          <w:rFonts w:ascii="Calibri" w:hAnsi="Calibri"/>
          <w:sz w:val="22"/>
          <w:szCs w:val="22"/>
          <w:vertAlign w:val="superscript"/>
        </w:rPr>
        <w:t xml:space="preserve"> </w:t>
      </w:r>
      <w:r w:rsidR="00EA4FEE">
        <w:rPr>
          <w:rFonts w:ascii="Calibri" w:hAnsi="Calibri"/>
          <w:sz w:val="22"/>
          <w:szCs w:val="22"/>
          <w:vertAlign w:val="superscript"/>
        </w:rPr>
        <w:t xml:space="preserve">  </w:t>
      </w:r>
      <w:r w:rsidR="0011255C">
        <w:rPr>
          <w:rFonts w:ascii="Calibri" w:hAnsi="Calibri"/>
          <w:sz w:val="22"/>
          <w:szCs w:val="22"/>
        </w:rPr>
        <w:t>“</w:t>
      </w:r>
      <w:r w:rsidR="007F63BB" w:rsidRPr="007F63BB">
        <w:rPr>
          <w:rFonts w:ascii="Calibri" w:hAnsi="Calibri"/>
          <w:sz w:val="22"/>
          <w:szCs w:val="22"/>
        </w:rPr>
        <w:t>Mucilage polysaccharides (29%) composed of fructose and glucose units, especially in the root; allantoin, phenolic acids, including rosmarinic, chlorogenic, caffeic and α-hydroxy caffeic acids; glycopeptides and amino acids; triterpene saponins, as monodesmosidic and bidesmosidic glycosides based on hederagenin, oleano</w:t>
      </w:r>
      <w:r w:rsidR="00AA23CC">
        <w:rPr>
          <w:rFonts w:ascii="Calibri" w:hAnsi="Calibri"/>
          <w:sz w:val="22"/>
          <w:szCs w:val="22"/>
        </w:rPr>
        <w:t>lic acid and lithospermic acid.”</w:t>
      </w:r>
      <w:r w:rsidR="00AA23CC" w:rsidRPr="00AA23CC">
        <w:rPr>
          <w:rFonts w:ascii="Calibri" w:hAnsi="Calibri"/>
          <w:sz w:val="22"/>
          <w:szCs w:val="22"/>
          <w:vertAlign w:val="superscript"/>
        </w:rPr>
        <w:t xml:space="preserve"> </w:t>
      </w:r>
      <w:r w:rsidR="00AA23CC" w:rsidRPr="0011255C">
        <w:rPr>
          <w:rFonts w:ascii="Calibri" w:hAnsi="Calibri"/>
          <w:sz w:val="22"/>
          <w:szCs w:val="22"/>
          <w:vertAlign w:val="superscript"/>
        </w:rPr>
        <w:t>2</w:t>
      </w:r>
    </w:p>
    <w:p w14:paraId="08837950" w14:textId="77777777" w:rsidR="00AA23CC" w:rsidRPr="007F63BB" w:rsidRDefault="00AA23CC" w:rsidP="007F63BB">
      <w:pPr>
        <w:rPr>
          <w:rFonts w:ascii="Calibri" w:hAnsi="Calibri"/>
          <w:sz w:val="22"/>
          <w:szCs w:val="22"/>
        </w:rPr>
      </w:pPr>
    </w:p>
    <w:p w14:paraId="1830E94E" w14:textId="235EE10B" w:rsidR="00257A76" w:rsidRDefault="00AA23CC" w:rsidP="007F63BB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r w:rsidR="007F63BB" w:rsidRPr="007F63BB">
        <w:rPr>
          <w:rFonts w:ascii="Calibri" w:hAnsi="Calibri"/>
          <w:sz w:val="22"/>
          <w:szCs w:val="22"/>
        </w:rPr>
        <w:t>Comfrey also contains pyrrolizidine alkaloid, the content of which depends on the source of plant material and storage conditions.</w:t>
      </w:r>
      <w:r w:rsidR="0011255C">
        <w:rPr>
          <w:rFonts w:ascii="Calibri" w:hAnsi="Calibri"/>
          <w:sz w:val="22"/>
          <w:szCs w:val="22"/>
        </w:rPr>
        <w:t>”</w:t>
      </w:r>
      <w:r w:rsidRPr="00AA23CC">
        <w:rPr>
          <w:rFonts w:ascii="Calibri" w:hAnsi="Calibri"/>
          <w:sz w:val="22"/>
          <w:szCs w:val="22"/>
          <w:vertAlign w:val="superscript"/>
        </w:rPr>
        <w:t xml:space="preserve"> </w:t>
      </w:r>
      <w:r w:rsidRPr="0011255C">
        <w:rPr>
          <w:rFonts w:ascii="Calibri" w:hAnsi="Calibri"/>
          <w:sz w:val="22"/>
          <w:szCs w:val="22"/>
          <w:vertAlign w:val="superscript"/>
        </w:rPr>
        <w:t>2</w:t>
      </w:r>
    </w:p>
    <w:p w14:paraId="50F2B155" w14:textId="77777777" w:rsidR="00F40CC0" w:rsidRPr="00AB7E81" w:rsidRDefault="00F40CC0" w:rsidP="007F63BB">
      <w:pPr>
        <w:rPr>
          <w:rFonts w:ascii="Calibri" w:hAnsi="Calibri"/>
          <w:sz w:val="22"/>
          <w:szCs w:val="22"/>
        </w:rPr>
      </w:pPr>
    </w:p>
    <w:p w14:paraId="224FE2E0" w14:textId="25CF0980" w:rsidR="00604FD8" w:rsidRPr="00D04D3E" w:rsidRDefault="00581B5D" w:rsidP="00604FD8">
      <w:pPr>
        <w:rPr>
          <w:rFonts w:ascii="Calibri" w:eastAsia="Times New Roman" w:hAnsi="Calibri"/>
          <w:sz w:val="22"/>
          <w:szCs w:val="22"/>
        </w:rPr>
      </w:pPr>
      <w:r w:rsidRPr="009D2BD5">
        <w:rPr>
          <w:rFonts w:ascii="Calibri" w:hAnsi="Calibri"/>
          <w:b/>
          <w:sz w:val="22"/>
          <w:szCs w:val="22"/>
        </w:rPr>
        <w:t>Harvest</w:t>
      </w:r>
      <w:r w:rsidRPr="00D04D3E">
        <w:rPr>
          <w:rFonts w:ascii="Calibri" w:hAnsi="Calibri"/>
          <w:sz w:val="22"/>
          <w:szCs w:val="22"/>
        </w:rPr>
        <w:t>:</w:t>
      </w:r>
      <w:r w:rsidR="004A0E7C" w:rsidRPr="00D04D3E">
        <w:rPr>
          <w:rFonts w:ascii="Calibri" w:hAnsi="Calibri"/>
          <w:sz w:val="22"/>
          <w:szCs w:val="22"/>
        </w:rPr>
        <w:t xml:space="preserve"> </w:t>
      </w:r>
    </w:p>
    <w:p w14:paraId="48859959" w14:textId="77777777" w:rsidR="001F031A" w:rsidRPr="001F031A" w:rsidRDefault="001F031A" w:rsidP="001F031A">
      <w:pPr>
        <w:pStyle w:val="ListParagraph"/>
        <w:numPr>
          <w:ilvl w:val="0"/>
          <w:numId w:val="20"/>
        </w:numPr>
        <w:rPr>
          <w:rFonts w:ascii="Calibri" w:eastAsia="Times New Roman" w:hAnsi="Calibri"/>
          <w:sz w:val="22"/>
          <w:szCs w:val="22"/>
        </w:rPr>
      </w:pPr>
      <w:r w:rsidRPr="001F031A">
        <w:rPr>
          <w:rFonts w:ascii="Calibri" w:eastAsia="Times New Roman" w:hAnsi="Calibri"/>
          <w:b/>
          <w:sz w:val="22"/>
          <w:szCs w:val="22"/>
        </w:rPr>
        <w:t>Leaves and buds:</w:t>
      </w:r>
      <w:r w:rsidRPr="001F031A">
        <w:rPr>
          <w:rFonts w:ascii="Calibri" w:eastAsia="Times New Roman" w:hAnsi="Calibri"/>
          <w:sz w:val="22"/>
          <w:szCs w:val="22"/>
        </w:rPr>
        <w:t xml:space="preserve"> “</w:t>
      </w:r>
      <w:r w:rsidR="00604FD8" w:rsidRPr="001F031A">
        <w:rPr>
          <w:rFonts w:ascii="Calibri" w:eastAsia="Times New Roman" w:hAnsi="Calibri"/>
          <w:sz w:val="22"/>
          <w:szCs w:val="22"/>
        </w:rPr>
        <w:t>best harvested when the flowers just start to bud</w:t>
      </w:r>
      <w:r w:rsidRPr="001F031A">
        <w:rPr>
          <w:rFonts w:ascii="Calibri" w:eastAsia="Times New Roman" w:hAnsi="Calibri"/>
          <w:sz w:val="22"/>
          <w:szCs w:val="22"/>
        </w:rPr>
        <w:t>”</w:t>
      </w:r>
      <w:r w:rsidRPr="001F031A">
        <w:rPr>
          <w:rFonts w:ascii="Calibri" w:eastAsia="Times New Roman" w:hAnsi="Calibri"/>
          <w:sz w:val="22"/>
          <w:szCs w:val="22"/>
          <w:vertAlign w:val="superscript"/>
        </w:rPr>
        <w:t>6</w:t>
      </w:r>
      <w:r w:rsidRPr="001F031A">
        <w:rPr>
          <w:rFonts w:ascii="Calibri" w:eastAsia="Times New Roman" w:hAnsi="Calibri"/>
          <w:sz w:val="22"/>
          <w:szCs w:val="22"/>
        </w:rPr>
        <w:t xml:space="preserve">  </w:t>
      </w:r>
    </w:p>
    <w:p w14:paraId="2427FCD2" w14:textId="4DEC7EB8" w:rsidR="00604FD8" w:rsidRPr="001F031A" w:rsidRDefault="001F031A" w:rsidP="001F031A">
      <w:pPr>
        <w:pStyle w:val="ListParagraph"/>
        <w:numPr>
          <w:ilvl w:val="1"/>
          <w:numId w:val="20"/>
        </w:numPr>
        <w:rPr>
          <w:rFonts w:ascii="Calibri" w:eastAsia="Times New Roman" w:hAnsi="Calibri" w:cs="Times New Roman"/>
          <w:sz w:val="22"/>
          <w:szCs w:val="22"/>
        </w:rPr>
      </w:pPr>
      <w:r w:rsidRPr="001F031A">
        <w:rPr>
          <w:rFonts w:ascii="Calibri" w:eastAsia="Times New Roman" w:hAnsi="Calibri"/>
          <w:sz w:val="22"/>
          <w:szCs w:val="22"/>
        </w:rPr>
        <w:t>Note: “</w:t>
      </w:r>
      <w:r w:rsidR="00604FD8" w:rsidRPr="001F031A">
        <w:rPr>
          <w:rFonts w:ascii="Calibri" w:eastAsia="Times New Roman" w:hAnsi="Calibri"/>
          <w:sz w:val="22"/>
          <w:szCs w:val="22"/>
        </w:rPr>
        <w:t xml:space="preserve">Early spring harvests </w:t>
      </w:r>
      <w:r w:rsidR="00604FD8" w:rsidRPr="001F031A">
        <w:rPr>
          <w:rFonts w:ascii="Calibri" w:eastAsia="Times New Roman" w:hAnsi="Calibri"/>
          <w:b/>
          <w:sz w:val="22"/>
          <w:szCs w:val="22"/>
        </w:rPr>
        <w:t>reveal the highest alkaloid conten</w:t>
      </w:r>
      <w:r w:rsidR="00604FD8" w:rsidRPr="001F031A">
        <w:rPr>
          <w:rFonts w:ascii="Calibri" w:eastAsia="Times New Roman" w:hAnsi="Calibri"/>
          <w:sz w:val="22"/>
          <w:szCs w:val="22"/>
        </w:rPr>
        <w:t>t and leaves harvested later in the season having much smaller amounts.</w:t>
      </w:r>
      <w:r w:rsidRPr="001F031A">
        <w:rPr>
          <w:rFonts w:ascii="Calibri" w:eastAsia="Times New Roman" w:hAnsi="Calibri"/>
          <w:sz w:val="22"/>
          <w:szCs w:val="22"/>
        </w:rPr>
        <w:t>”</w:t>
      </w:r>
      <w:r w:rsidRPr="001F031A">
        <w:rPr>
          <w:rFonts w:ascii="Calibri" w:eastAsia="Times New Roman" w:hAnsi="Calibri"/>
          <w:sz w:val="22"/>
          <w:szCs w:val="22"/>
          <w:vertAlign w:val="superscript"/>
        </w:rPr>
        <w:t xml:space="preserve"> </w:t>
      </w:r>
      <w:r w:rsidRPr="001F031A">
        <w:rPr>
          <w:rFonts w:ascii="Calibri" w:eastAsia="Times New Roman" w:hAnsi="Calibri"/>
          <w:sz w:val="22"/>
          <w:szCs w:val="22"/>
          <w:vertAlign w:val="superscript"/>
        </w:rPr>
        <w:t>6</w:t>
      </w:r>
    </w:p>
    <w:p w14:paraId="0BA73A9C" w14:textId="13FD8A4D" w:rsidR="001F031A" w:rsidRPr="001F031A" w:rsidRDefault="001F031A" w:rsidP="001F031A">
      <w:pPr>
        <w:pStyle w:val="ListParagraph"/>
        <w:numPr>
          <w:ilvl w:val="0"/>
          <w:numId w:val="20"/>
        </w:numPr>
        <w:rPr>
          <w:rFonts w:ascii="Calibri" w:eastAsia="Times New Roman" w:hAnsi="Calibri" w:cs="Times New Roman"/>
          <w:sz w:val="22"/>
          <w:szCs w:val="22"/>
        </w:rPr>
      </w:pPr>
      <w:r w:rsidRPr="0012789E">
        <w:rPr>
          <w:rFonts w:ascii="Calibri" w:eastAsia="Times New Roman" w:hAnsi="Calibri"/>
          <w:b/>
          <w:sz w:val="22"/>
          <w:szCs w:val="22"/>
        </w:rPr>
        <w:t>Roots</w:t>
      </w:r>
      <w:r>
        <w:rPr>
          <w:rFonts w:ascii="Calibri" w:eastAsia="Times New Roman" w:hAnsi="Calibri"/>
          <w:sz w:val="22"/>
          <w:szCs w:val="22"/>
        </w:rPr>
        <w:t xml:space="preserve">: </w:t>
      </w:r>
      <w:r w:rsidR="0012789E">
        <w:rPr>
          <w:rFonts w:ascii="Calibri" w:eastAsia="Times New Roman" w:hAnsi="Calibri"/>
          <w:sz w:val="22"/>
          <w:szCs w:val="22"/>
        </w:rPr>
        <w:t>May be harvested in the spring or fall.</w:t>
      </w:r>
      <w:r w:rsidR="0012789E" w:rsidRPr="0012789E">
        <w:rPr>
          <w:rFonts w:ascii="Calibri" w:eastAsia="Times New Roman" w:hAnsi="Calibri"/>
          <w:sz w:val="22"/>
          <w:szCs w:val="22"/>
          <w:vertAlign w:val="superscript"/>
        </w:rPr>
        <w:t>6</w:t>
      </w:r>
    </w:p>
    <w:p w14:paraId="123C0C37" w14:textId="4C33AB55" w:rsidR="00F40CC0" w:rsidRPr="009D2BD5" w:rsidRDefault="00F40CC0">
      <w:pPr>
        <w:rPr>
          <w:rFonts w:ascii="Calibri" w:hAnsi="Calibri"/>
          <w:sz w:val="22"/>
          <w:szCs w:val="22"/>
        </w:rPr>
      </w:pPr>
    </w:p>
    <w:p w14:paraId="7E89DF96" w14:textId="77777777" w:rsidR="00F40CC0" w:rsidRDefault="00581B5D" w:rsidP="00F40CC0">
      <w:pPr>
        <w:rPr>
          <w:rFonts w:ascii="Calibri" w:hAnsi="Calibri"/>
          <w:sz w:val="22"/>
          <w:szCs w:val="22"/>
        </w:rPr>
      </w:pPr>
      <w:r w:rsidRPr="00351C72">
        <w:rPr>
          <w:rFonts w:ascii="Calibri" w:hAnsi="Calibri"/>
          <w:b/>
          <w:sz w:val="22"/>
          <w:szCs w:val="22"/>
        </w:rPr>
        <w:t>Contra-indications:</w:t>
      </w:r>
      <w:r w:rsidR="009E59A7" w:rsidRPr="009D2BD5">
        <w:rPr>
          <w:rFonts w:ascii="Calibri" w:hAnsi="Calibri"/>
          <w:sz w:val="22"/>
          <w:szCs w:val="22"/>
        </w:rPr>
        <w:t xml:space="preserve"> </w:t>
      </w:r>
    </w:p>
    <w:p w14:paraId="52FB6B50" w14:textId="009E5362" w:rsidR="00476D94" w:rsidRDefault="004955A3" w:rsidP="00F40CC0">
      <w:pPr>
        <w:pStyle w:val="ListParagraph"/>
        <w:numPr>
          <w:ilvl w:val="0"/>
          <w:numId w:val="1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 not use on broken skin.  The </w:t>
      </w:r>
      <w:r w:rsidR="00845B97">
        <w:rPr>
          <w:rFonts w:ascii="Calibri" w:hAnsi="Calibri"/>
          <w:sz w:val="22"/>
          <w:szCs w:val="22"/>
        </w:rPr>
        <w:t>“high protein content of the plant is a ripe breeding ground for bacteria.”</w:t>
      </w:r>
      <w:r w:rsidRPr="004955A3">
        <w:rPr>
          <w:rFonts w:ascii="Calibri" w:hAnsi="Calibri"/>
          <w:sz w:val="22"/>
          <w:szCs w:val="22"/>
          <w:vertAlign w:val="superscript"/>
        </w:rPr>
        <w:t>5</w:t>
      </w:r>
    </w:p>
    <w:p w14:paraId="5C1946C6" w14:textId="200A9049" w:rsidR="00F40CC0" w:rsidRPr="00F40CC0" w:rsidRDefault="00CC69D1" w:rsidP="00F40CC0">
      <w:pPr>
        <w:pStyle w:val="ListParagraph"/>
        <w:numPr>
          <w:ilvl w:val="0"/>
          <w:numId w:val="13"/>
        </w:numPr>
        <w:rPr>
          <w:rFonts w:ascii="Calibri" w:hAnsi="Calibri"/>
          <w:sz w:val="22"/>
          <w:szCs w:val="22"/>
        </w:rPr>
      </w:pPr>
      <w:r w:rsidRPr="00F40CC0">
        <w:rPr>
          <w:rFonts w:ascii="Calibri" w:hAnsi="Calibri"/>
          <w:sz w:val="22"/>
          <w:szCs w:val="22"/>
        </w:rPr>
        <w:t>Internal use must be approached caut</w:t>
      </w:r>
      <w:r w:rsidR="00F40CC0" w:rsidRPr="00F40CC0">
        <w:rPr>
          <w:rFonts w:ascii="Calibri" w:hAnsi="Calibri"/>
          <w:sz w:val="22"/>
          <w:szCs w:val="22"/>
        </w:rPr>
        <w:t xml:space="preserve">iously and for a limited time.  </w:t>
      </w:r>
      <w:r w:rsidR="00FC3EEA">
        <w:rPr>
          <w:rFonts w:ascii="Calibri" w:hAnsi="Calibri"/>
          <w:sz w:val="22"/>
          <w:szCs w:val="22"/>
        </w:rPr>
        <w:t>E.g. Talk to an experienced herbalist.</w:t>
      </w:r>
    </w:p>
    <w:p w14:paraId="54620200" w14:textId="50BD0587" w:rsidR="00F40CC0" w:rsidRPr="00F40CC0" w:rsidRDefault="00F40CC0" w:rsidP="00F40CC0">
      <w:pPr>
        <w:pStyle w:val="ListParagraph"/>
        <w:numPr>
          <w:ilvl w:val="0"/>
          <w:numId w:val="13"/>
        </w:numPr>
        <w:rPr>
          <w:rFonts w:ascii="Calibri" w:hAnsi="Calibri"/>
          <w:sz w:val="22"/>
          <w:szCs w:val="22"/>
        </w:rPr>
      </w:pPr>
      <w:r w:rsidRPr="00F40CC0">
        <w:rPr>
          <w:rFonts w:ascii="Calibri" w:hAnsi="Calibri"/>
          <w:sz w:val="22"/>
          <w:szCs w:val="22"/>
        </w:rPr>
        <w:t>Should not be used during pregnancy and lactation.</w:t>
      </w:r>
      <w:r w:rsidRPr="00F40CC0">
        <w:rPr>
          <w:rFonts w:ascii="Calibri" w:hAnsi="Calibri"/>
          <w:sz w:val="22"/>
          <w:szCs w:val="22"/>
          <w:vertAlign w:val="superscript"/>
        </w:rPr>
        <w:t>2</w:t>
      </w:r>
    </w:p>
    <w:p w14:paraId="2F6814CD" w14:textId="77777777" w:rsidR="008D1DA9" w:rsidRPr="009D2BD5" w:rsidRDefault="008D1DA9">
      <w:pPr>
        <w:rPr>
          <w:rFonts w:ascii="Calibri" w:hAnsi="Calibri"/>
          <w:sz w:val="22"/>
          <w:szCs w:val="22"/>
        </w:rPr>
      </w:pPr>
    </w:p>
    <w:p w14:paraId="4B904794" w14:textId="24AD4EA8" w:rsidR="001F1655" w:rsidRPr="00337738" w:rsidRDefault="00351C72" w:rsidP="00F40CC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Interesting Notes</w:t>
      </w:r>
      <w:r w:rsidR="0078108A" w:rsidRPr="009D2BD5">
        <w:rPr>
          <w:rFonts w:ascii="Calibri" w:hAnsi="Calibri"/>
          <w:sz w:val="22"/>
          <w:szCs w:val="22"/>
        </w:rPr>
        <w:t>:</w:t>
      </w:r>
    </w:p>
    <w:p w14:paraId="7059759F" w14:textId="77777777" w:rsidR="00351C72" w:rsidRDefault="00351C72">
      <w:pPr>
        <w:rPr>
          <w:rFonts w:ascii="Calibri" w:hAnsi="Calibri"/>
          <w:sz w:val="22"/>
          <w:szCs w:val="22"/>
        </w:rPr>
      </w:pPr>
    </w:p>
    <w:p w14:paraId="09C792AF" w14:textId="4EB55B96" w:rsidR="00FC1404" w:rsidRDefault="00FC1404" w:rsidP="00EA4FEE">
      <w:p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2002 article published in the journal </w:t>
      </w:r>
      <w:r>
        <w:rPr>
          <w:rFonts w:ascii="Calibri" w:hAnsi="Calibri"/>
          <w:i/>
          <w:sz w:val="22"/>
          <w:szCs w:val="22"/>
        </w:rPr>
        <w:t>Trends</w:t>
      </w:r>
      <w:r w:rsidRPr="00FC1404">
        <w:rPr>
          <w:rFonts w:ascii="Calibri" w:hAnsi="Calibri"/>
          <w:i/>
          <w:sz w:val="22"/>
          <w:szCs w:val="22"/>
        </w:rPr>
        <w:t xml:space="preserve"> in Pharmacological Sciences</w:t>
      </w:r>
      <w:r>
        <w:rPr>
          <w:rFonts w:ascii="Calibri" w:hAnsi="Calibri"/>
          <w:sz w:val="22"/>
          <w:szCs w:val="22"/>
        </w:rPr>
        <w:t xml:space="preserve"> </w:t>
      </w:r>
      <w:r w:rsidR="00EA4FEE">
        <w:rPr>
          <w:rFonts w:ascii="Calibri" w:hAnsi="Calibri"/>
          <w:sz w:val="22"/>
          <w:szCs w:val="22"/>
        </w:rPr>
        <w:t xml:space="preserve">makes the following points in questioning whether </w:t>
      </w:r>
      <w:r w:rsidR="00EA4FEE">
        <w:rPr>
          <w:rFonts w:ascii="Calibri" w:hAnsi="Calibri"/>
          <w:sz w:val="22"/>
          <w:szCs w:val="22"/>
        </w:rPr>
        <w:t xml:space="preserve">comfrey </w:t>
      </w:r>
      <w:r w:rsidR="00EA4FEE">
        <w:rPr>
          <w:rFonts w:ascii="Calibri" w:hAnsi="Calibri"/>
          <w:sz w:val="22"/>
          <w:szCs w:val="22"/>
        </w:rPr>
        <w:t>is actually</w:t>
      </w:r>
      <w:bookmarkStart w:id="0" w:name="_GoBack"/>
      <w:bookmarkEnd w:id="0"/>
      <w:r w:rsidR="00EA4FEE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toxic</w:t>
      </w:r>
      <w:r w:rsidR="00EA4FEE">
        <w:rPr>
          <w:rFonts w:ascii="Calibri" w:hAnsi="Calibri"/>
          <w:sz w:val="22"/>
          <w:szCs w:val="22"/>
        </w:rPr>
        <w:t xml:space="preserve"> to humans due to its</w:t>
      </w:r>
      <w:r>
        <w:rPr>
          <w:rFonts w:ascii="Calibri" w:hAnsi="Calibri"/>
          <w:sz w:val="22"/>
          <w:szCs w:val="22"/>
        </w:rPr>
        <w:t xml:space="preserve"> </w:t>
      </w:r>
      <w:r w:rsidR="005F4F48">
        <w:rPr>
          <w:rFonts w:ascii="Calibri" w:hAnsi="Calibri"/>
          <w:sz w:val="22"/>
          <w:szCs w:val="22"/>
        </w:rPr>
        <w:t>pyrrolizidine alkaloid content (PA)</w:t>
      </w:r>
      <w:r>
        <w:rPr>
          <w:rFonts w:ascii="Calibri" w:hAnsi="Calibri"/>
          <w:sz w:val="22"/>
          <w:szCs w:val="22"/>
        </w:rPr>
        <w:t>:</w:t>
      </w:r>
    </w:p>
    <w:p w14:paraId="67EF6CCE" w14:textId="64F28293" w:rsidR="00FC1404" w:rsidRPr="005F4F48" w:rsidRDefault="00262514" w:rsidP="00EA4FE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76" w:lineRule="auto"/>
        <w:rPr>
          <w:rFonts w:ascii="Calibri" w:hAnsi="Calibri" w:cs="Times"/>
          <w:sz w:val="22"/>
          <w:szCs w:val="22"/>
        </w:rPr>
      </w:pPr>
      <w:r>
        <w:rPr>
          <w:rFonts w:ascii="Calibri" w:hAnsi="Calibri" w:cs="Times"/>
          <w:sz w:val="22"/>
          <w:szCs w:val="22"/>
        </w:rPr>
        <w:t>“</w:t>
      </w:r>
      <w:r w:rsidR="00FC1404" w:rsidRPr="005F4F48">
        <w:rPr>
          <w:rFonts w:ascii="Calibri" w:hAnsi="Calibri" w:cs="Times"/>
          <w:sz w:val="22"/>
          <w:szCs w:val="22"/>
        </w:rPr>
        <w:t xml:space="preserve">The conclusion that comfrey is not safe for internal use in humans is primarily based on studies in which high levels of purified PAs were administered to rodents. </w:t>
      </w:r>
      <w:r w:rsidR="00FC1404" w:rsidRPr="005F4F48">
        <w:rPr>
          <w:rFonts w:ascii="Calibri" w:hAnsi="Calibri" w:cs="Times"/>
          <w:b/>
          <w:sz w:val="22"/>
          <w:szCs w:val="22"/>
        </w:rPr>
        <w:t>Systematic toxicity testing or clinical</w:t>
      </w:r>
      <w:r w:rsidR="005F4F48" w:rsidRPr="005F4F48">
        <w:rPr>
          <w:rFonts w:ascii="Calibri" w:hAnsi="Calibri" w:cs="Times"/>
          <w:b/>
          <w:sz w:val="22"/>
          <w:szCs w:val="22"/>
        </w:rPr>
        <w:t xml:space="preserve"> trials have not been performed.</w:t>
      </w:r>
      <w:r w:rsidRPr="00262514">
        <w:rPr>
          <w:rFonts w:ascii="Calibri" w:hAnsi="Calibri" w:cs="Times"/>
          <w:sz w:val="22"/>
          <w:szCs w:val="22"/>
        </w:rPr>
        <w:t>”</w:t>
      </w:r>
      <w:r w:rsidR="005F4F48" w:rsidRPr="005F4F48">
        <w:rPr>
          <w:rFonts w:ascii="Calibri" w:hAnsi="Calibri" w:cs="Times"/>
          <w:b/>
          <w:sz w:val="22"/>
          <w:szCs w:val="22"/>
        </w:rPr>
        <w:t xml:space="preserve"> </w:t>
      </w:r>
      <w:r w:rsidR="005F4F48" w:rsidRPr="005F4F48">
        <w:rPr>
          <w:rFonts w:ascii="Calibri" w:hAnsi="Calibri" w:cs="Times"/>
          <w:sz w:val="22"/>
          <w:szCs w:val="22"/>
        </w:rPr>
        <w:t>[boldface added]</w:t>
      </w:r>
    </w:p>
    <w:p w14:paraId="6C3AFE0C" w14:textId="608D9E93" w:rsidR="00FC1404" w:rsidRPr="00262514" w:rsidRDefault="00262514" w:rsidP="00EA4FEE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40" w:line="276" w:lineRule="auto"/>
        <w:rPr>
          <w:rFonts w:ascii="Times" w:hAnsi="Times" w:cs="Times"/>
        </w:rPr>
      </w:pPr>
      <w:r w:rsidRPr="00262514">
        <w:rPr>
          <w:rFonts w:ascii="Calibri" w:hAnsi="Calibri" w:cs="Times"/>
          <w:sz w:val="22"/>
          <w:szCs w:val="22"/>
        </w:rPr>
        <w:t>“</w:t>
      </w:r>
      <w:r w:rsidR="00FC1404" w:rsidRPr="005F4F48">
        <w:rPr>
          <w:rFonts w:ascii="Calibri" w:hAnsi="Calibri" w:cs="Times"/>
          <w:b/>
          <w:sz w:val="22"/>
          <w:szCs w:val="22"/>
        </w:rPr>
        <w:t>Research to date has often been flawed by the use of inappropriate animal models and faulty experimental design.</w:t>
      </w:r>
      <w:r w:rsidR="00FC1404" w:rsidRPr="005F4F48">
        <w:rPr>
          <w:rFonts w:ascii="Calibri" w:hAnsi="Calibri" w:cs="Times"/>
          <w:sz w:val="22"/>
          <w:szCs w:val="22"/>
        </w:rPr>
        <w:t xml:space="preserve"> Correct botanical identification and analysis of the plant material for PA content and profile is essential. In addition, animal species vary widely in their susceptibility to</w:t>
      </w:r>
      <w:r w:rsidR="00FC1404" w:rsidRPr="005F4F48">
        <w:rPr>
          <w:rFonts w:ascii="MS Mincho" w:eastAsia="MS Mincho" w:hAnsi="MS Mincho" w:cs="MS Mincho"/>
          <w:sz w:val="22"/>
          <w:szCs w:val="22"/>
        </w:rPr>
        <w:t> </w:t>
      </w:r>
      <w:r w:rsidR="00FC1404" w:rsidRPr="005F4F48">
        <w:rPr>
          <w:rFonts w:ascii="Calibri" w:hAnsi="Calibri" w:cs="Times"/>
          <w:sz w:val="22"/>
          <w:szCs w:val="22"/>
        </w:rPr>
        <w:t>PA toxicity, and the toxic response is dependent on the specific PA</w:t>
      </w:r>
      <w:r>
        <w:rPr>
          <w:rFonts w:ascii="Calibri" w:hAnsi="Calibri" w:cs="Times"/>
          <w:sz w:val="22"/>
          <w:szCs w:val="22"/>
        </w:rPr>
        <w:t>.</w:t>
      </w:r>
      <w:r>
        <w:rPr>
          <w:rFonts w:ascii="MS Mincho" w:eastAsia="MS Mincho" w:hAnsi="MS Mincho" w:cs="MS Mincho"/>
          <w:sz w:val="22"/>
          <w:szCs w:val="22"/>
        </w:rPr>
        <w:t>”</w:t>
      </w:r>
      <w:r w:rsidR="005F4F48" w:rsidRPr="005F4F48">
        <w:rPr>
          <w:rFonts w:ascii="Calibri" w:hAnsi="Calibri" w:cs="Times"/>
          <w:sz w:val="22"/>
          <w:szCs w:val="22"/>
        </w:rPr>
        <w:t xml:space="preserve"> </w:t>
      </w:r>
      <w:r w:rsidR="005F4F48" w:rsidRPr="005F4F48">
        <w:rPr>
          <w:rFonts w:ascii="Calibri" w:hAnsi="Calibri" w:cs="Times"/>
          <w:sz w:val="22"/>
          <w:szCs w:val="22"/>
        </w:rPr>
        <w:t>[boldface added]</w:t>
      </w:r>
    </w:p>
    <w:p w14:paraId="11A4D125" w14:textId="77777777" w:rsidR="00262514" w:rsidRDefault="00262514" w:rsidP="00EA4FEE">
      <w:pPr>
        <w:pStyle w:val="ListParagraph"/>
        <w:numPr>
          <w:ilvl w:val="0"/>
          <w:numId w:val="21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Regarding animal models:</w:t>
      </w:r>
    </w:p>
    <w:p w14:paraId="0E66FCBB" w14:textId="49BFD32F" w:rsidR="00262514" w:rsidRPr="00262514" w:rsidRDefault="00262514" w:rsidP="00EA4FEE">
      <w:pPr>
        <w:pStyle w:val="ListParagraph"/>
        <w:numPr>
          <w:ilvl w:val="1"/>
          <w:numId w:val="21"/>
        </w:numPr>
        <w:spacing w:line="276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“</w:t>
      </w:r>
      <w:r w:rsidRPr="00262514">
        <w:rPr>
          <w:rFonts w:ascii="Calibri" w:hAnsi="Calibri"/>
          <w:sz w:val="22"/>
          <w:szCs w:val="22"/>
        </w:rPr>
        <w:t>Despite their sensitivity to PAs, pigs readily accept comfrey and show no adverse effects, even when comfrey represents 40% of their diet.</w:t>
      </w:r>
      <w:r>
        <w:rPr>
          <w:rFonts w:ascii="Calibri" w:hAnsi="Calibri"/>
          <w:sz w:val="22"/>
          <w:szCs w:val="22"/>
        </w:rPr>
        <w:t>”</w:t>
      </w:r>
      <w:r w:rsidRPr="00262514">
        <w:rPr>
          <w:rFonts w:ascii="Calibri" w:hAnsi="Calibri"/>
          <w:sz w:val="22"/>
          <w:szCs w:val="22"/>
        </w:rPr>
        <w:t xml:space="preserve"> </w:t>
      </w:r>
    </w:p>
    <w:p w14:paraId="1FFA3F58" w14:textId="4F8B85F9" w:rsidR="00262514" w:rsidRPr="00262514" w:rsidRDefault="00262514" w:rsidP="00EA4FEE">
      <w:pPr>
        <w:pStyle w:val="ListParagraph"/>
        <w:numPr>
          <w:ilvl w:val="1"/>
          <w:numId w:val="21"/>
        </w:numPr>
        <w:spacing w:line="276" w:lineRule="auto"/>
        <w:rPr>
          <w:rFonts w:ascii="Calibri" w:hAnsi="Calibri"/>
          <w:sz w:val="22"/>
          <w:szCs w:val="22"/>
        </w:rPr>
      </w:pPr>
      <w:r w:rsidRPr="00262514">
        <w:rPr>
          <w:rFonts w:ascii="Calibri" w:hAnsi="Calibri"/>
          <w:sz w:val="22"/>
          <w:szCs w:val="22"/>
        </w:rPr>
        <w:t>“</w:t>
      </w:r>
      <w:r w:rsidRPr="00262514">
        <w:rPr>
          <w:rFonts w:ascii="Calibri" w:hAnsi="Calibri"/>
          <w:sz w:val="22"/>
          <w:szCs w:val="22"/>
        </w:rPr>
        <w:t>Chickens, another sensitive species, also show no ill effects when fed comfrey.</w:t>
      </w:r>
      <w:r w:rsidRPr="00262514">
        <w:rPr>
          <w:rFonts w:ascii="Calibri" w:hAnsi="Calibri"/>
          <w:sz w:val="22"/>
          <w:szCs w:val="22"/>
        </w:rPr>
        <w:t>”</w:t>
      </w:r>
      <w:r w:rsidRPr="00262514">
        <w:rPr>
          <w:rFonts w:ascii="Calibri" w:hAnsi="Calibri"/>
          <w:sz w:val="22"/>
          <w:szCs w:val="22"/>
        </w:rPr>
        <w:t xml:space="preserve"> </w:t>
      </w:r>
    </w:p>
    <w:p w14:paraId="5E5CC94A" w14:textId="3E663FC5" w:rsidR="00262514" w:rsidRPr="00262514" w:rsidRDefault="00262514" w:rsidP="00EA4FEE">
      <w:pPr>
        <w:pStyle w:val="ListParagraph"/>
        <w:numPr>
          <w:ilvl w:val="1"/>
          <w:numId w:val="21"/>
        </w:numPr>
        <w:spacing w:line="276" w:lineRule="auto"/>
        <w:rPr>
          <w:rFonts w:ascii="Calibri" w:hAnsi="Calibri"/>
          <w:sz w:val="22"/>
          <w:szCs w:val="22"/>
        </w:rPr>
      </w:pPr>
      <w:r w:rsidRPr="00262514">
        <w:rPr>
          <w:rFonts w:ascii="Calibri" w:hAnsi="Calibri"/>
          <w:sz w:val="22"/>
          <w:szCs w:val="22"/>
        </w:rPr>
        <w:t>“</w:t>
      </w:r>
      <w:r w:rsidRPr="00262514">
        <w:rPr>
          <w:rFonts w:ascii="Calibri" w:hAnsi="Calibri"/>
          <w:sz w:val="22"/>
          <w:szCs w:val="22"/>
        </w:rPr>
        <w:t>By contrast, rats appear to be sensitive to the PAs in comfrey.</w:t>
      </w:r>
      <w:r w:rsidRPr="00262514">
        <w:rPr>
          <w:rFonts w:ascii="Calibri" w:hAnsi="Calibri"/>
          <w:sz w:val="22"/>
          <w:szCs w:val="22"/>
        </w:rPr>
        <w:t>”</w:t>
      </w:r>
    </w:p>
    <w:p w14:paraId="173A4398" w14:textId="65A6F639" w:rsidR="00FC1404" w:rsidRPr="00262514" w:rsidRDefault="00262514" w:rsidP="00EA4FEE">
      <w:pPr>
        <w:pStyle w:val="ListParagraph"/>
        <w:numPr>
          <w:ilvl w:val="1"/>
          <w:numId w:val="21"/>
        </w:numPr>
        <w:spacing w:line="276" w:lineRule="auto"/>
        <w:rPr>
          <w:rFonts w:ascii="Calibri" w:hAnsi="Calibri"/>
          <w:sz w:val="22"/>
          <w:szCs w:val="22"/>
        </w:rPr>
      </w:pPr>
      <w:r w:rsidRPr="00262514">
        <w:rPr>
          <w:rFonts w:ascii="Calibri" w:hAnsi="Calibri"/>
          <w:sz w:val="22"/>
          <w:szCs w:val="22"/>
        </w:rPr>
        <w:t>“</w:t>
      </w:r>
      <w:r w:rsidRPr="00262514">
        <w:rPr>
          <w:rFonts w:ascii="Calibri" w:hAnsi="Calibri"/>
          <w:sz w:val="22"/>
          <w:szCs w:val="22"/>
        </w:rPr>
        <w:t>Rats might not be an appropriate human model because their hepatic response to PAs seems to differ from the human response</w:t>
      </w:r>
      <w:r w:rsidRPr="00262514">
        <w:rPr>
          <w:rFonts w:ascii="Calibri" w:hAnsi="Calibri"/>
          <w:sz w:val="22"/>
          <w:szCs w:val="22"/>
        </w:rPr>
        <w:t>”</w:t>
      </w:r>
    </w:p>
    <w:p w14:paraId="373EA497" w14:textId="77777777" w:rsidR="00B6464A" w:rsidRDefault="00B6464A">
      <w:pPr>
        <w:rPr>
          <w:rFonts w:ascii="Calibri" w:hAnsi="Calibri"/>
          <w:sz w:val="22"/>
          <w:szCs w:val="22"/>
        </w:rPr>
      </w:pPr>
    </w:p>
    <w:p w14:paraId="33023918" w14:textId="26638F42" w:rsidR="00351C72" w:rsidRPr="009F54C0" w:rsidRDefault="009F54C0">
      <w:pPr>
        <w:rPr>
          <w:rFonts w:ascii="Calibri" w:hAnsi="Calibri"/>
          <w:b/>
          <w:sz w:val="22"/>
          <w:szCs w:val="22"/>
        </w:rPr>
      </w:pPr>
      <w:r w:rsidRPr="009F54C0">
        <w:rPr>
          <w:rFonts w:ascii="Calibri" w:hAnsi="Calibri"/>
          <w:b/>
          <w:sz w:val="22"/>
          <w:szCs w:val="22"/>
        </w:rPr>
        <w:t>References</w:t>
      </w:r>
    </w:p>
    <w:p w14:paraId="1F0F3B53" w14:textId="77777777" w:rsidR="009F54C0" w:rsidRDefault="009F54C0">
      <w:pPr>
        <w:rPr>
          <w:rFonts w:ascii="Calibri" w:hAnsi="Calibri"/>
          <w:sz w:val="22"/>
          <w:szCs w:val="22"/>
        </w:rPr>
      </w:pPr>
    </w:p>
    <w:p w14:paraId="61D568C5" w14:textId="3F67AF4F" w:rsidR="006D1514" w:rsidRDefault="006D1514">
      <w:pPr>
        <w:rPr>
          <w:rFonts w:ascii="Calibri" w:hAnsi="Calibri"/>
          <w:sz w:val="22"/>
          <w:szCs w:val="22"/>
        </w:rPr>
      </w:pPr>
      <w:r w:rsidRPr="006D1514">
        <w:rPr>
          <w:rFonts w:ascii="Calibri" w:hAnsi="Calibri"/>
          <w:sz w:val="22"/>
          <w:szCs w:val="22"/>
          <w:vertAlign w:val="superscript"/>
        </w:rPr>
        <w:t>1</w:t>
      </w:r>
      <w:r>
        <w:rPr>
          <w:rFonts w:ascii="Calibri" w:hAnsi="Calibri"/>
          <w:sz w:val="22"/>
          <w:szCs w:val="22"/>
        </w:rPr>
        <w:t xml:space="preserve"> </w:t>
      </w:r>
      <w:r w:rsidRPr="006D1514">
        <w:rPr>
          <w:rFonts w:ascii="Calibri" w:hAnsi="Calibri"/>
          <w:sz w:val="22"/>
          <w:szCs w:val="22"/>
        </w:rPr>
        <w:t>Symphytum officinale</w:t>
      </w:r>
      <w:r>
        <w:rPr>
          <w:rFonts w:ascii="Calibri" w:hAnsi="Calibri"/>
          <w:sz w:val="22"/>
          <w:szCs w:val="22"/>
        </w:rPr>
        <w:t xml:space="preserve">. </w:t>
      </w:r>
      <w:hyperlink r:id="rId8" w:history="1">
        <w:r w:rsidR="00262514" w:rsidRPr="000377CF">
          <w:rPr>
            <w:rStyle w:val="Hyperlink"/>
            <w:rFonts w:ascii="Calibri" w:hAnsi="Calibri"/>
            <w:sz w:val="22"/>
            <w:szCs w:val="22"/>
          </w:rPr>
          <w:t>https://en.wikipedia.org/wiki/Symphytum_officinale</w:t>
        </w:r>
      </w:hyperlink>
    </w:p>
    <w:p w14:paraId="44D8B4D5" w14:textId="77777777" w:rsidR="00262514" w:rsidRPr="009D2BD5" w:rsidRDefault="00262514">
      <w:pPr>
        <w:rPr>
          <w:rFonts w:ascii="Calibri" w:hAnsi="Calibri"/>
          <w:sz w:val="22"/>
          <w:szCs w:val="22"/>
        </w:rPr>
      </w:pPr>
    </w:p>
    <w:p w14:paraId="443F5D24" w14:textId="77777777" w:rsidR="00441601" w:rsidRDefault="0011255C" w:rsidP="00441601">
      <w:pPr>
        <w:rPr>
          <w:rFonts w:eastAsia="Times New Roman"/>
        </w:rPr>
      </w:pPr>
      <w:r w:rsidRPr="0011255C">
        <w:rPr>
          <w:rFonts w:ascii="Calibri" w:hAnsi="Calibri"/>
          <w:sz w:val="22"/>
          <w:szCs w:val="22"/>
          <w:vertAlign w:val="superscript"/>
        </w:rPr>
        <w:t>2</w:t>
      </w:r>
      <w:r>
        <w:rPr>
          <w:rFonts w:ascii="Calibri" w:hAnsi="Calibri"/>
          <w:sz w:val="22"/>
          <w:szCs w:val="22"/>
        </w:rPr>
        <w:t xml:space="preserve"> </w:t>
      </w:r>
      <w:r w:rsidR="00441601" w:rsidRPr="00441601">
        <w:rPr>
          <w:rFonts w:ascii="Calibri" w:eastAsia="Times New Roman" w:hAnsi="Calibri"/>
          <w:sz w:val="22"/>
          <w:szCs w:val="22"/>
        </w:rPr>
        <w:t xml:space="preserve">Edwards, Sarah E., et al. "Comfrey." </w:t>
      </w:r>
      <w:r w:rsidR="00441601" w:rsidRPr="00441601">
        <w:rPr>
          <w:rFonts w:ascii="Calibri" w:eastAsia="Times New Roman" w:hAnsi="Calibri"/>
          <w:i/>
          <w:iCs/>
          <w:sz w:val="22"/>
          <w:szCs w:val="22"/>
        </w:rPr>
        <w:t>Phytopharmacy: An Evidence-Based Guide to Herbal Medical Products</w:t>
      </w:r>
      <w:r w:rsidR="00441601" w:rsidRPr="00441601">
        <w:rPr>
          <w:rFonts w:ascii="Calibri" w:eastAsia="Times New Roman" w:hAnsi="Calibri"/>
          <w:sz w:val="22"/>
          <w:szCs w:val="22"/>
        </w:rPr>
        <w:t xml:space="preserve"> (2015): 114-117.</w:t>
      </w:r>
    </w:p>
    <w:p w14:paraId="3D05B576" w14:textId="67D07C59" w:rsidR="009F54C0" w:rsidRDefault="009F54C0" w:rsidP="0011255C">
      <w:pPr>
        <w:rPr>
          <w:rFonts w:ascii="Calibri" w:hAnsi="Calibri"/>
          <w:sz w:val="22"/>
          <w:szCs w:val="22"/>
        </w:rPr>
      </w:pPr>
    </w:p>
    <w:p w14:paraId="6FD434C2" w14:textId="46E0D94B" w:rsidR="009F54C0" w:rsidRPr="009F54C0" w:rsidRDefault="009F54C0" w:rsidP="0011255C">
      <w:pPr>
        <w:rPr>
          <w:rFonts w:ascii="Calibri" w:hAnsi="Calibri"/>
          <w:sz w:val="22"/>
          <w:szCs w:val="22"/>
        </w:rPr>
      </w:pPr>
      <w:r w:rsidRPr="009F54C0">
        <w:rPr>
          <w:rFonts w:ascii="Calibri" w:eastAsia="Times New Roman" w:hAnsi="Calibri"/>
          <w:sz w:val="22"/>
          <w:szCs w:val="22"/>
          <w:vertAlign w:val="superscript"/>
        </w:rPr>
        <w:t>3</w:t>
      </w:r>
      <w:r w:rsidRPr="009F54C0">
        <w:rPr>
          <w:rFonts w:ascii="Calibri" w:eastAsia="Times New Roman" w:hAnsi="Calibri"/>
          <w:sz w:val="22"/>
          <w:szCs w:val="22"/>
        </w:rPr>
        <w:t xml:space="preserve"> Sakakura, Celso Eduardo, et al. "Influence of homeopathic treatment with comfrey on bone density around titanium implants. A digital subtraction radiography study in rats." Clinical oral implants research 19.6 (2008): 624-628.</w:t>
      </w:r>
    </w:p>
    <w:p w14:paraId="3AF8F5C8" w14:textId="77777777" w:rsidR="009F54C0" w:rsidRDefault="009F54C0" w:rsidP="0011255C">
      <w:pPr>
        <w:rPr>
          <w:rFonts w:ascii="Calibri" w:hAnsi="Calibri"/>
          <w:sz w:val="22"/>
          <w:szCs w:val="22"/>
        </w:rPr>
      </w:pPr>
    </w:p>
    <w:p w14:paraId="68AA0EE7" w14:textId="36FACE76" w:rsidR="00304CB6" w:rsidRDefault="00304CB6" w:rsidP="00304CB6">
      <w:pPr>
        <w:rPr>
          <w:rFonts w:ascii="Calibri" w:eastAsia="Times New Roman" w:hAnsi="Calibri"/>
          <w:sz w:val="22"/>
          <w:szCs w:val="22"/>
        </w:rPr>
      </w:pPr>
      <w:r w:rsidRPr="00304CB6">
        <w:rPr>
          <w:rFonts w:ascii="Calibri" w:eastAsia="Times New Roman" w:hAnsi="Calibri"/>
          <w:sz w:val="22"/>
          <w:szCs w:val="22"/>
          <w:vertAlign w:val="superscript"/>
        </w:rPr>
        <w:t>4</w:t>
      </w:r>
      <w:r w:rsidRPr="00304CB6">
        <w:rPr>
          <w:rFonts w:ascii="Calibri" w:eastAsia="Times New Roman" w:hAnsi="Calibri"/>
          <w:sz w:val="22"/>
          <w:szCs w:val="22"/>
        </w:rPr>
        <w:t xml:space="preserve"> Rode, Dorena. "Comfrey toxicity revisited." </w:t>
      </w:r>
      <w:r w:rsidRPr="00304CB6">
        <w:rPr>
          <w:rFonts w:ascii="Calibri" w:eastAsia="Times New Roman" w:hAnsi="Calibri"/>
          <w:i/>
          <w:iCs/>
          <w:sz w:val="22"/>
          <w:szCs w:val="22"/>
        </w:rPr>
        <w:t>Trends in pharmacological sciences</w:t>
      </w:r>
      <w:r w:rsidRPr="00304CB6">
        <w:rPr>
          <w:rFonts w:ascii="Calibri" w:eastAsia="Times New Roman" w:hAnsi="Calibri"/>
          <w:sz w:val="22"/>
          <w:szCs w:val="22"/>
        </w:rPr>
        <w:t xml:space="preserve"> 23.11 (2002): 497-499.</w:t>
      </w:r>
    </w:p>
    <w:p w14:paraId="1702B05C" w14:textId="77777777" w:rsidR="004955A3" w:rsidRDefault="004955A3" w:rsidP="00304CB6">
      <w:pPr>
        <w:rPr>
          <w:rFonts w:ascii="Calibri" w:eastAsia="Times New Roman" w:hAnsi="Calibri"/>
          <w:sz w:val="22"/>
          <w:szCs w:val="22"/>
        </w:rPr>
      </w:pPr>
    </w:p>
    <w:p w14:paraId="5D3464CE" w14:textId="49ABF054" w:rsidR="004955A3" w:rsidRPr="00304CB6" w:rsidRDefault="004955A3" w:rsidP="00304CB6">
      <w:pPr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  <w:vertAlign w:val="superscript"/>
        </w:rPr>
        <w:t xml:space="preserve">5 </w:t>
      </w:r>
      <w:r>
        <w:rPr>
          <w:rFonts w:ascii="Calibri" w:eastAsia="Times New Roman" w:hAnsi="Calibri"/>
          <w:sz w:val="22"/>
          <w:szCs w:val="22"/>
        </w:rPr>
        <w:t xml:space="preserve">Berger, Judith.  </w:t>
      </w:r>
      <w:r w:rsidRPr="004955A3">
        <w:rPr>
          <w:rFonts w:ascii="Calibri" w:eastAsia="Times New Roman" w:hAnsi="Calibri"/>
          <w:sz w:val="22"/>
          <w:szCs w:val="22"/>
          <w:u w:val="single"/>
        </w:rPr>
        <w:t>Herbal Rituals</w:t>
      </w:r>
      <w:r>
        <w:rPr>
          <w:rFonts w:ascii="Calibri" w:eastAsia="Times New Roman" w:hAnsi="Calibri"/>
          <w:sz w:val="22"/>
          <w:szCs w:val="22"/>
        </w:rPr>
        <w:t xml:space="preserve">. </w:t>
      </w:r>
      <w:r>
        <w:rPr>
          <w:rFonts w:ascii="Calibri" w:eastAsia="Times New Roman" w:hAnsi="Calibri"/>
          <w:sz w:val="22"/>
          <w:szCs w:val="22"/>
        </w:rPr>
        <w:t>St. Martin’s Griffin.  First Edition 1999. 205-215</w:t>
      </w:r>
    </w:p>
    <w:p w14:paraId="2DE6C7F0" w14:textId="77777777" w:rsidR="00304CB6" w:rsidRDefault="00304CB6" w:rsidP="0011255C">
      <w:pPr>
        <w:rPr>
          <w:rFonts w:ascii="Calibri" w:hAnsi="Calibri"/>
          <w:sz w:val="22"/>
          <w:szCs w:val="22"/>
        </w:rPr>
      </w:pPr>
    </w:p>
    <w:p w14:paraId="12AC46E6" w14:textId="5967F193" w:rsidR="001F031A" w:rsidRDefault="001F031A" w:rsidP="0011255C">
      <w:pPr>
        <w:rPr>
          <w:rFonts w:ascii="Calibri" w:hAnsi="Calibri"/>
          <w:sz w:val="22"/>
          <w:szCs w:val="22"/>
        </w:rPr>
      </w:pPr>
      <w:r w:rsidRPr="001F031A">
        <w:rPr>
          <w:rFonts w:ascii="Calibri" w:hAnsi="Calibri"/>
          <w:sz w:val="22"/>
          <w:szCs w:val="22"/>
          <w:vertAlign w:val="superscript"/>
        </w:rPr>
        <w:t>6</w:t>
      </w:r>
      <w:r>
        <w:rPr>
          <w:rFonts w:ascii="Calibri" w:hAnsi="Calibri"/>
          <w:sz w:val="22"/>
          <w:szCs w:val="22"/>
        </w:rPr>
        <w:t xml:space="preserve"> Comrey Leaf.  </w:t>
      </w:r>
      <w:hyperlink r:id="rId9" w:history="1">
        <w:r w:rsidRPr="000377CF">
          <w:rPr>
            <w:rStyle w:val="Hyperlink"/>
            <w:rFonts w:ascii="Calibri" w:hAnsi="Calibri"/>
            <w:sz w:val="22"/>
            <w:szCs w:val="22"/>
          </w:rPr>
          <w:t>https://www.mountainroseherbs.com/products/comfrey-leaf/profile</w:t>
        </w:r>
      </w:hyperlink>
    </w:p>
    <w:p w14:paraId="207E0EBD" w14:textId="77777777" w:rsidR="00FC1404" w:rsidRDefault="00FC1404" w:rsidP="0011255C">
      <w:pPr>
        <w:rPr>
          <w:rFonts w:ascii="Calibri" w:hAnsi="Calibri"/>
          <w:sz w:val="22"/>
          <w:szCs w:val="22"/>
        </w:rPr>
      </w:pPr>
    </w:p>
    <w:p w14:paraId="20417238" w14:textId="77777777" w:rsidR="00FC1404" w:rsidRDefault="00FC1404" w:rsidP="00FC1404">
      <w:pPr>
        <w:rPr>
          <w:rFonts w:eastAsia="Times New Roman"/>
        </w:rPr>
      </w:pPr>
      <w:r w:rsidRPr="00FC1404">
        <w:rPr>
          <w:rFonts w:ascii="Calibri" w:hAnsi="Calibri"/>
          <w:sz w:val="22"/>
          <w:szCs w:val="22"/>
          <w:vertAlign w:val="superscript"/>
        </w:rPr>
        <w:t>7</w:t>
      </w:r>
      <w:r>
        <w:rPr>
          <w:rFonts w:ascii="Calibri" w:hAnsi="Calibri"/>
          <w:sz w:val="22"/>
          <w:szCs w:val="22"/>
        </w:rPr>
        <w:t xml:space="preserve"> </w:t>
      </w:r>
      <w:r w:rsidRPr="00FC1404">
        <w:rPr>
          <w:rFonts w:ascii="Calibri" w:eastAsia="Times New Roman" w:hAnsi="Calibri"/>
          <w:sz w:val="22"/>
          <w:szCs w:val="22"/>
        </w:rPr>
        <w:t xml:space="preserve">Rode, Dorena. "Comfrey toxicity revisited." </w:t>
      </w:r>
      <w:r w:rsidRPr="00FC1404">
        <w:rPr>
          <w:rFonts w:ascii="Calibri" w:eastAsia="Times New Roman" w:hAnsi="Calibri"/>
          <w:i/>
          <w:iCs/>
          <w:sz w:val="22"/>
          <w:szCs w:val="22"/>
        </w:rPr>
        <w:t>Trends in pharmacological sciences</w:t>
      </w:r>
      <w:r w:rsidRPr="00FC1404">
        <w:rPr>
          <w:rFonts w:ascii="Calibri" w:eastAsia="Times New Roman" w:hAnsi="Calibri"/>
          <w:sz w:val="22"/>
          <w:szCs w:val="22"/>
        </w:rPr>
        <w:t xml:space="preserve"> 23.11 (2002): 497-499</w:t>
      </w:r>
      <w:r>
        <w:rPr>
          <w:rFonts w:eastAsia="Times New Roman"/>
        </w:rPr>
        <w:t>.</w:t>
      </w:r>
    </w:p>
    <w:p w14:paraId="1F081C70" w14:textId="1537BBDF" w:rsidR="00FC1404" w:rsidRDefault="00FC1404" w:rsidP="0011255C">
      <w:pPr>
        <w:rPr>
          <w:rFonts w:ascii="Calibri" w:hAnsi="Calibri"/>
          <w:sz w:val="22"/>
          <w:szCs w:val="22"/>
        </w:rPr>
      </w:pPr>
    </w:p>
    <w:p w14:paraId="1D8594A7" w14:textId="0FB8D260" w:rsidR="005468E3" w:rsidRDefault="005468E3" w:rsidP="0011255C">
      <w:pPr>
        <w:rPr>
          <w:rFonts w:ascii="Calibri" w:hAnsi="Calibri"/>
          <w:sz w:val="22"/>
          <w:szCs w:val="22"/>
        </w:rPr>
      </w:pPr>
      <w:r w:rsidRPr="005468E3">
        <w:rPr>
          <w:rFonts w:ascii="Calibri" w:hAnsi="Calibri"/>
          <w:sz w:val="22"/>
          <w:szCs w:val="22"/>
          <w:vertAlign w:val="superscript"/>
        </w:rPr>
        <w:t>8</w:t>
      </w:r>
      <w:r>
        <w:rPr>
          <w:rFonts w:ascii="Calibri" w:hAnsi="Calibri"/>
          <w:sz w:val="22"/>
          <w:szCs w:val="22"/>
        </w:rPr>
        <w:t xml:space="preserve"> Alfrey, Paul.  </w:t>
      </w:r>
      <w:r w:rsidRPr="005468E3">
        <w:rPr>
          <w:rFonts w:ascii="Calibri" w:hAnsi="Calibri"/>
          <w:sz w:val="22"/>
          <w:szCs w:val="22"/>
        </w:rPr>
        <w:t>Comfre</w:t>
      </w:r>
      <w:r>
        <w:rPr>
          <w:rFonts w:ascii="Calibri" w:hAnsi="Calibri"/>
          <w:sz w:val="22"/>
          <w:szCs w:val="22"/>
        </w:rPr>
        <w:t xml:space="preserve">y: Its History, Uses &amp; Benefits. March 3, 2016. </w:t>
      </w:r>
      <w:r w:rsidRPr="005468E3">
        <w:rPr>
          <w:rFonts w:ascii="Calibri" w:hAnsi="Calibri"/>
          <w:sz w:val="22"/>
          <w:szCs w:val="22"/>
        </w:rPr>
        <w:t>https://www.permaculture.co.uk/articles/comfrey-its-history-uses-benefits</w:t>
      </w:r>
    </w:p>
    <w:p w14:paraId="73B9627B" w14:textId="77777777" w:rsidR="001F031A" w:rsidRPr="0011255C" w:rsidRDefault="001F031A" w:rsidP="0011255C">
      <w:pPr>
        <w:rPr>
          <w:rFonts w:ascii="Calibri" w:hAnsi="Calibri"/>
          <w:sz w:val="22"/>
          <w:szCs w:val="22"/>
        </w:rPr>
      </w:pPr>
    </w:p>
    <w:p w14:paraId="1744D114" w14:textId="276339C7" w:rsidR="00441F14" w:rsidRPr="00E65208" w:rsidRDefault="00FB5547">
      <w:pPr>
        <w:rPr>
          <w:rFonts w:ascii="Calibri" w:hAnsi="Calibri"/>
          <w:b/>
          <w:sz w:val="22"/>
          <w:szCs w:val="22"/>
        </w:rPr>
      </w:pPr>
      <w:r w:rsidRPr="00E65208">
        <w:rPr>
          <w:rFonts w:ascii="Calibri" w:hAnsi="Calibri"/>
          <w:b/>
          <w:sz w:val="22"/>
          <w:szCs w:val="22"/>
        </w:rPr>
        <w:t>Image</w:t>
      </w:r>
      <w:r w:rsidR="00B6464A">
        <w:rPr>
          <w:rFonts w:ascii="Calibri" w:hAnsi="Calibri"/>
          <w:b/>
          <w:sz w:val="22"/>
          <w:szCs w:val="22"/>
        </w:rPr>
        <w:t>s</w:t>
      </w:r>
    </w:p>
    <w:p w14:paraId="0806693A" w14:textId="77777777" w:rsidR="00E65208" w:rsidRDefault="00E65208">
      <w:pPr>
        <w:rPr>
          <w:rFonts w:ascii="Calibri" w:hAnsi="Calibri"/>
          <w:sz w:val="22"/>
          <w:szCs w:val="22"/>
        </w:rPr>
      </w:pPr>
    </w:p>
    <w:p w14:paraId="43D9828E" w14:textId="5038956A" w:rsidR="00475736" w:rsidRDefault="00475736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Page 1: </w:t>
      </w:r>
      <w:r w:rsidRPr="00475736">
        <w:rPr>
          <w:rFonts w:ascii="Calibri" w:hAnsi="Calibri"/>
          <w:sz w:val="22"/>
          <w:szCs w:val="22"/>
        </w:rPr>
        <w:t>http://www.comfreycentral.com/</w:t>
      </w:r>
    </w:p>
    <w:p w14:paraId="51B7BA90" w14:textId="2FC2162D" w:rsidR="00F93FE6" w:rsidRDefault="00AD4790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Page </w:t>
      </w:r>
      <w:r w:rsidR="00475736">
        <w:rPr>
          <w:rFonts w:ascii="Calibri" w:hAnsi="Calibri"/>
          <w:sz w:val="22"/>
          <w:szCs w:val="22"/>
        </w:rPr>
        <w:t>2</w:t>
      </w:r>
      <w:r w:rsidR="00E65208">
        <w:rPr>
          <w:rFonts w:ascii="Calibri" w:hAnsi="Calibri"/>
          <w:sz w:val="22"/>
          <w:szCs w:val="22"/>
        </w:rPr>
        <w:t xml:space="preserve">: </w:t>
      </w:r>
      <w:r w:rsidR="00292139" w:rsidRPr="00292139">
        <w:rPr>
          <w:rFonts w:ascii="Calibri" w:hAnsi="Calibri"/>
          <w:sz w:val="22"/>
          <w:szCs w:val="22"/>
        </w:rPr>
        <w:t>http://www.comfrey-central.com/images/flanigan2.jpg</w:t>
      </w:r>
    </w:p>
    <w:p w14:paraId="1B92A54B" w14:textId="65E9147D" w:rsidR="00655A33" w:rsidRPr="009D2BD5" w:rsidRDefault="00655A33">
      <w:pPr>
        <w:rPr>
          <w:rFonts w:ascii="Calibri" w:hAnsi="Calibri"/>
          <w:sz w:val="22"/>
          <w:szCs w:val="22"/>
        </w:rPr>
      </w:pPr>
    </w:p>
    <w:sectPr w:rsidR="00655A33" w:rsidRPr="009D2BD5" w:rsidSect="00E06B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AC759B" w14:textId="77777777" w:rsidR="001E5E78" w:rsidRDefault="001E5E78" w:rsidP="007E55AE">
      <w:r>
        <w:separator/>
      </w:r>
    </w:p>
  </w:endnote>
  <w:endnote w:type="continuationSeparator" w:id="0">
    <w:p w14:paraId="122E0D25" w14:textId="77777777" w:rsidR="001E5E78" w:rsidRDefault="001E5E78" w:rsidP="007E5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41937" w14:textId="77777777" w:rsidR="00670FD9" w:rsidRDefault="00670FD9" w:rsidP="003F3A3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1AE230" w14:textId="77777777" w:rsidR="00670FD9" w:rsidRDefault="00670FD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281B4A" w14:textId="77777777" w:rsidR="00670FD9" w:rsidRPr="00670FD9" w:rsidRDefault="00670FD9" w:rsidP="003F3A32">
    <w:pPr>
      <w:pStyle w:val="Footer"/>
      <w:framePr w:wrap="none" w:vAnchor="text" w:hAnchor="margin" w:xAlign="center" w:y="1"/>
      <w:rPr>
        <w:rStyle w:val="PageNumber"/>
        <w:rFonts w:ascii="Calibri" w:hAnsi="Calibri"/>
        <w:sz w:val="22"/>
        <w:szCs w:val="22"/>
      </w:rPr>
    </w:pPr>
    <w:r w:rsidRPr="00670FD9">
      <w:rPr>
        <w:rStyle w:val="PageNumber"/>
        <w:rFonts w:ascii="Calibri" w:hAnsi="Calibri"/>
        <w:sz w:val="22"/>
        <w:szCs w:val="22"/>
      </w:rPr>
      <w:fldChar w:fldCharType="begin"/>
    </w:r>
    <w:r w:rsidRPr="00670FD9">
      <w:rPr>
        <w:rStyle w:val="PageNumber"/>
        <w:rFonts w:ascii="Calibri" w:hAnsi="Calibri"/>
        <w:sz w:val="22"/>
        <w:szCs w:val="22"/>
      </w:rPr>
      <w:instrText xml:space="preserve">PAGE  </w:instrText>
    </w:r>
    <w:r w:rsidRPr="00670FD9">
      <w:rPr>
        <w:rStyle w:val="PageNumber"/>
        <w:rFonts w:ascii="Calibri" w:hAnsi="Calibri"/>
        <w:sz w:val="22"/>
        <w:szCs w:val="22"/>
      </w:rPr>
      <w:fldChar w:fldCharType="separate"/>
    </w:r>
    <w:r w:rsidR="001E5E78">
      <w:rPr>
        <w:rStyle w:val="PageNumber"/>
        <w:rFonts w:ascii="Calibri" w:hAnsi="Calibri"/>
        <w:noProof/>
        <w:sz w:val="22"/>
        <w:szCs w:val="22"/>
      </w:rPr>
      <w:t>1</w:t>
    </w:r>
    <w:r w:rsidRPr="00670FD9">
      <w:rPr>
        <w:rStyle w:val="PageNumber"/>
        <w:rFonts w:ascii="Calibri" w:hAnsi="Calibri"/>
        <w:sz w:val="22"/>
        <w:szCs w:val="22"/>
      </w:rPr>
      <w:fldChar w:fldCharType="end"/>
    </w:r>
  </w:p>
  <w:p w14:paraId="406038EB" w14:textId="7E3B6B7A" w:rsidR="007E55AE" w:rsidRPr="007E55AE" w:rsidRDefault="007E55AE">
    <w:pPr>
      <w:pStyle w:val="Footer"/>
      <w:rPr>
        <w:rFonts w:ascii="Calibri" w:hAnsi="Calibri"/>
        <w:sz w:val="20"/>
        <w:szCs w:val="20"/>
      </w:rPr>
    </w:pPr>
    <w:r w:rsidRPr="007E55AE">
      <w:rPr>
        <w:rFonts w:ascii="Calibri" w:hAnsi="Calibri"/>
        <w:sz w:val="20"/>
        <w:szCs w:val="20"/>
      </w:rPr>
      <w:t>Raman Prasad, Draft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5FFEF8" w14:textId="77777777" w:rsidR="00670FD9" w:rsidRDefault="00670F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EBC40" w14:textId="77777777" w:rsidR="001E5E78" w:rsidRDefault="001E5E78" w:rsidP="007E55AE">
      <w:r>
        <w:separator/>
      </w:r>
    </w:p>
  </w:footnote>
  <w:footnote w:type="continuationSeparator" w:id="0">
    <w:p w14:paraId="08D00509" w14:textId="77777777" w:rsidR="001E5E78" w:rsidRDefault="001E5E78" w:rsidP="007E55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7FD57" w14:textId="77777777" w:rsidR="00670FD9" w:rsidRDefault="00670FD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487CD" w14:textId="77777777" w:rsidR="00670FD9" w:rsidRDefault="00670FD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4C649D" w14:textId="77777777" w:rsidR="00670FD9" w:rsidRDefault="00670F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EE5"/>
    <w:multiLevelType w:val="hybridMultilevel"/>
    <w:tmpl w:val="944831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B946D96"/>
    <w:multiLevelType w:val="hybridMultilevel"/>
    <w:tmpl w:val="7FAA1C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F4F0800"/>
    <w:multiLevelType w:val="hybridMultilevel"/>
    <w:tmpl w:val="807EF3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F50E48"/>
    <w:multiLevelType w:val="hybridMultilevel"/>
    <w:tmpl w:val="29BE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381F35"/>
    <w:multiLevelType w:val="hybridMultilevel"/>
    <w:tmpl w:val="4738B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B7974EF"/>
    <w:multiLevelType w:val="hybridMultilevel"/>
    <w:tmpl w:val="A52E48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375EB6"/>
    <w:multiLevelType w:val="hybridMultilevel"/>
    <w:tmpl w:val="A28079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251E03"/>
    <w:multiLevelType w:val="hybridMultilevel"/>
    <w:tmpl w:val="830AC0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FF38CE"/>
    <w:multiLevelType w:val="hybridMultilevel"/>
    <w:tmpl w:val="F6606A0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>
    <w:nsid w:val="39F47A0D"/>
    <w:multiLevelType w:val="hybridMultilevel"/>
    <w:tmpl w:val="52A4B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B659F"/>
    <w:multiLevelType w:val="hybridMultilevel"/>
    <w:tmpl w:val="9454F3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D5406B8"/>
    <w:multiLevelType w:val="hybridMultilevel"/>
    <w:tmpl w:val="EA7EA3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26336C"/>
    <w:multiLevelType w:val="hybridMultilevel"/>
    <w:tmpl w:val="11C04B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4214F56"/>
    <w:multiLevelType w:val="hybridMultilevel"/>
    <w:tmpl w:val="A96AD1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D71B56"/>
    <w:multiLevelType w:val="hybridMultilevel"/>
    <w:tmpl w:val="D2127F9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619276BF"/>
    <w:multiLevelType w:val="hybridMultilevel"/>
    <w:tmpl w:val="AEAA497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68C76B1B"/>
    <w:multiLevelType w:val="hybridMultilevel"/>
    <w:tmpl w:val="F87AFB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06E05EF"/>
    <w:multiLevelType w:val="hybridMultilevel"/>
    <w:tmpl w:val="B8FC39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4786C84"/>
    <w:multiLevelType w:val="hybridMultilevel"/>
    <w:tmpl w:val="9F88A8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6AF6C6F"/>
    <w:multiLevelType w:val="hybridMultilevel"/>
    <w:tmpl w:val="D29A0A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9A50EC6"/>
    <w:multiLevelType w:val="hybridMultilevel"/>
    <w:tmpl w:val="0728FD1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13"/>
  </w:num>
  <w:num w:numId="6">
    <w:abstractNumId w:val="0"/>
  </w:num>
  <w:num w:numId="7">
    <w:abstractNumId w:val="15"/>
  </w:num>
  <w:num w:numId="8">
    <w:abstractNumId w:val="8"/>
  </w:num>
  <w:num w:numId="9">
    <w:abstractNumId w:val="14"/>
  </w:num>
  <w:num w:numId="10">
    <w:abstractNumId w:val="17"/>
  </w:num>
  <w:num w:numId="11">
    <w:abstractNumId w:val="12"/>
  </w:num>
  <w:num w:numId="12">
    <w:abstractNumId w:val="19"/>
  </w:num>
  <w:num w:numId="13">
    <w:abstractNumId w:val="11"/>
  </w:num>
  <w:num w:numId="14">
    <w:abstractNumId w:val="9"/>
  </w:num>
  <w:num w:numId="15">
    <w:abstractNumId w:val="1"/>
  </w:num>
  <w:num w:numId="16">
    <w:abstractNumId w:val="10"/>
  </w:num>
  <w:num w:numId="17">
    <w:abstractNumId w:val="18"/>
  </w:num>
  <w:num w:numId="18">
    <w:abstractNumId w:val="5"/>
  </w:num>
  <w:num w:numId="19">
    <w:abstractNumId w:val="20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07C"/>
    <w:rsid w:val="000040B5"/>
    <w:rsid w:val="00027FF0"/>
    <w:rsid w:val="000402AC"/>
    <w:rsid w:val="0004272D"/>
    <w:rsid w:val="00047E41"/>
    <w:rsid w:val="00050C9A"/>
    <w:rsid w:val="00052ED1"/>
    <w:rsid w:val="0006007C"/>
    <w:rsid w:val="00061843"/>
    <w:rsid w:val="00062D75"/>
    <w:rsid w:val="00086B80"/>
    <w:rsid w:val="0011255C"/>
    <w:rsid w:val="0011415B"/>
    <w:rsid w:val="0012789E"/>
    <w:rsid w:val="00133362"/>
    <w:rsid w:val="00171B63"/>
    <w:rsid w:val="00187DC3"/>
    <w:rsid w:val="001922BA"/>
    <w:rsid w:val="00196999"/>
    <w:rsid w:val="001A1555"/>
    <w:rsid w:val="001A7C6B"/>
    <w:rsid w:val="001B68BA"/>
    <w:rsid w:val="001B6CEE"/>
    <w:rsid w:val="001D22EB"/>
    <w:rsid w:val="001D2750"/>
    <w:rsid w:val="001D31D2"/>
    <w:rsid w:val="001E198B"/>
    <w:rsid w:val="001E5E78"/>
    <w:rsid w:val="001F031A"/>
    <w:rsid w:val="001F1655"/>
    <w:rsid w:val="00223271"/>
    <w:rsid w:val="00231D48"/>
    <w:rsid w:val="00257A76"/>
    <w:rsid w:val="00262514"/>
    <w:rsid w:val="00273D48"/>
    <w:rsid w:val="00292139"/>
    <w:rsid w:val="00300B9A"/>
    <w:rsid w:val="00304CB6"/>
    <w:rsid w:val="003054F0"/>
    <w:rsid w:val="00312AF1"/>
    <w:rsid w:val="00316733"/>
    <w:rsid w:val="003171B1"/>
    <w:rsid w:val="00337738"/>
    <w:rsid w:val="0034763D"/>
    <w:rsid w:val="00351C72"/>
    <w:rsid w:val="003624DF"/>
    <w:rsid w:val="00362BFD"/>
    <w:rsid w:val="00366DC8"/>
    <w:rsid w:val="0037084D"/>
    <w:rsid w:val="003A06FC"/>
    <w:rsid w:val="003C0C25"/>
    <w:rsid w:val="003C56BB"/>
    <w:rsid w:val="003E1FE6"/>
    <w:rsid w:val="003E3C45"/>
    <w:rsid w:val="003F0B72"/>
    <w:rsid w:val="003F13F1"/>
    <w:rsid w:val="003F41DB"/>
    <w:rsid w:val="00414ECF"/>
    <w:rsid w:val="004233D6"/>
    <w:rsid w:val="00426BBA"/>
    <w:rsid w:val="00441601"/>
    <w:rsid w:val="00441F14"/>
    <w:rsid w:val="00450B46"/>
    <w:rsid w:val="00472206"/>
    <w:rsid w:val="004755AA"/>
    <w:rsid w:val="00475736"/>
    <w:rsid w:val="00476D94"/>
    <w:rsid w:val="00477F19"/>
    <w:rsid w:val="004955A3"/>
    <w:rsid w:val="004A0E7C"/>
    <w:rsid w:val="004A11AE"/>
    <w:rsid w:val="004C1415"/>
    <w:rsid w:val="004F28DE"/>
    <w:rsid w:val="0051247D"/>
    <w:rsid w:val="00513706"/>
    <w:rsid w:val="00533676"/>
    <w:rsid w:val="005356A1"/>
    <w:rsid w:val="00542BBD"/>
    <w:rsid w:val="005468E3"/>
    <w:rsid w:val="00552FE8"/>
    <w:rsid w:val="00573AF4"/>
    <w:rsid w:val="00574D9C"/>
    <w:rsid w:val="00581B5D"/>
    <w:rsid w:val="0058586F"/>
    <w:rsid w:val="005948DD"/>
    <w:rsid w:val="005A4067"/>
    <w:rsid w:val="005B3502"/>
    <w:rsid w:val="005C1962"/>
    <w:rsid w:val="005D56D6"/>
    <w:rsid w:val="005F0658"/>
    <w:rsid w:val="005F0969"/>
    <w:rsid w:val="005F3848"/>
    <w:rsid w:val="005F4F48"/>
    <w:rsid w:val="0060368B"/>
    <w:rsid w:val="00604FD8"/>
    <w:rsid w:val="0061556F"/>
    <w:rsid w:val="006165AD"/>
    <w:rsid w:val="00625F44"/>
    <w:rsid w:val="0064320D"/>
    <w:rsid w:val="00652758"/>
    <w:rsid w:val="00655A33"/>
    <w:rsid w:val="006701E0"/>
    <w:rsid w:val="00670FD9"/>
    <w:rsid w:val="00686791"/>
    <w:rsid w:val="006B0063"/>
    <w:rsid w:val="006B1A16"/>
    <w:rsid w:val="006B7703"/>
    <w:rsid w:val="006C2A95"/>
    <w:rsid w:val="006D0830"/>
    <w:rsid w:val="006D1514"/>
    <w:rsid w:val="006D3DA0"/>
    <w:rsid w:val="006D4845"/>
    <w:rsid w:val="006D69E2"/>
    <w:rsid w:val="006F4931"/>
    <w:rsid w:val="00721306"/>
    <w:rsid w:val="00724761"/>
    <w:rsid w:val="007302DC"/>
    <w:rsid w:val="00737686"/>
    <w:rsid w:val="0078108A"/>
    <w:rsid w:val="007A0F79"/>
    <w:rsid w:val="007A1A55"/>
    <w:rsid w:val="007A3400"/>
    <w:rsid w:val="007A7704"/>
    <w:rsid w:val="007B0EA1"/>
    <w:rsid w:val="007C221E"/>
    <w:rsid w:val="007E16C4"/>
    <w:rsid w:val="007E55AE"/>
    <w:rsid w:val="007F592B"/>
    <w:rsid w:val="007F63BB"/>
    <w:rsid w:val="00800759"/>
    <w:rsid w:val="00805535"/>
    <w:rsid w:val="00816307"/>
    <w:rsid w:val="0081777E"/>
    <w:rsid w:val="0083309F"/>
    <w:rsid w:val="00835722"/>
    <w:rsid w:val="00837F31"/>
    <w:rsid w:val="008411F2"/>
    <w:rsid w:val="008447BF"/>
    <w:rsid w:val="00845B97"/>
    <w:rsid w:val="00866BF8"/>
    <w:rsid w:val="00881ADE"/>
    <w:rsid w:val="00883491"/>
    <w:rsid w:val="008A0DAA"/>
    <w:rsid w:val="008B6F48"/>
    <w:rsid w:val="008C4786"/>
    <w:rsid w:val="008C687C"/>
    <w:rsid w:val="008D1DA9"/>
    <w:rsid w:val="008D2EB2"/>
    <w:rsid w:val="008E198F"/>
    <w:rsid w:val="008F3948"/>
    <w:rsid w:val="008F5963"/>
    <w:rsid w:val="00912F3D"/>
    <w:rsid w:val="009168D9"/>
    <w:rsid w:val="009267A1"/>
    <w:rsid w:val="00926E45"/>
    <w:rsid w:val="0094350D"/>
    <w:rsid w:val="009522E5"/>
    <w:rsid w:val="00980386"/>
    <w:rsid w:val="009900E0"/>
    <w:rsid w:val="009A1D45"/>
    <w:rsid w:val="009B3BF6"/>
    <w:rsid w:val="009C0960"/>
    <w:rsid w:val="009D2BD5"/>
    <w:rsid w:val="009E59A7"/>
    <w:rsid w:val="009F2A5F"/>
    <w:rsid w:val="009F54C0"/>
    <w:rsid w:val="009F5E66"/>
    <w:rsid w:val="00A05F5A"/>
    <w:rsid w:val="00A1445C"/>
    <w:rsid w:val="00A2387C"/>
    <w:rsid w:val="00A261A5"/>
    <w:rsid w:val="00A41F4A"/>
    <w:rsid w:val="00A63AED"/>
    <w:rsid w:val="00A64275"/>
    <w:rsid w:val="00A831B0"/>
    <w:rsid w:val="00A95153"/>
    <w:rsid w:val="00AA1FF8"/>
    <w:rsid w:val="00AA23CC"/>
    <w:rsid w:val="00AB2520"/>
    <w:rsid w:val="00AB7E81"/>
    <w:rsid w:val="00AC4D04"/>
    <w:rsid w:val="00AC7363"/>
    <w:rsid w:val="00AD4790"/>
    <w:rsid w:val="00AF0930"/>
    <w:rsid w:val="00AF352C"/>
    <w:rsid w:val="00B04F17"/>
    <w:rsid w:val="00B23791"/>
    <w:rsid w:val="00B33519"/>
    <w:rsid w:val="00B34009"/>
    <w:rsid w:val="00B40F7F"/>
    <w:rsid w:val="00B6464A"/>
    <w:rsid w:val="00B65C3C"/>
    <w:rsid w:val="00B72668"/>
    <w:rsid w:val="00B74634"/>
    <w:rsid w:val="00B968B6"/>
    <w:rsid w:val="00BA6742"/>
    <w:rsid w:val="00BB01BA"/>
    <w:rsid w:val="00BB0795"/>
    <w:rsid w:val="00BE238C"/>
    <w:rsid w:val="00C07726"/>
    <w:rsid w:val="00C155F1"/>
    <w:rsid w:val="00C2133D"/>
    <w:rsid w:val="00C30581"/>
    <w:rsid w:val="00C308E7"/>
    <w:rsid w:val="00C37E23"/>
    <w:rsid w:val="00C4352C"/>
    <w:rsid w:val="00C45495"/>
    <w:rsid w:val="00C47C22"/>
    <w:rsid w:val="00C557FA"/>
    <w:rsid w:val="00C67A49"/>
    <w:rsid w:val="00C75ACE"/>
    <w:rsid w:val="00C77738"/>
    <w:rsid w:val="00C92B5B"/>
    <w:rsid w:val="00C96F5D"/>
    <w:rsid w:val="00CA6975"/>
    <w:rsid w:val="00CC1426"/>
    <w:rsid w:val="00CC2F4B"/>
    <w:rsid w:val="00CC321A"/>
    <w:rsid w:val="00CC69D1"/>
    <w:rsid w:val="00CE09AE"/>
    <w:rsid w:val="00CE498F"/>
    <w:rsid w:val="00CF11B6"/>
    <w:rsid w:val="00D04D3E"/>
    <w:rsid w:val="00D150AF"/>
    <w:rsid w:val="00D269B1"/>
    <w:rsid w:val="00D26D7F"/>
    <w:rsid w:val="00D43C12"/>
    <w:rsid w:val="00D52730"/>
    <w:rsid w:val="00D571D9"/>
    <w:rsid w:val="00D62943"/>
    <w:rsid w:val="00D74A78"/>
    <w:rsid w:val="00D85D56"/>
    <w:rsid w:val="00D942A1"/>
    <w:rsid w:val="00DB0C92"/>
    <w:rsid w:val="00DB37AA"/>
    <w:rsid w:val="00DB4D34"/>
    <w:rsid w:val="00DD565C"/>
    <w:rsid w:val="00DE7A7C"/>
    <w:rsid w:val="00E06B5F"/>
    <w:rsid w:val="00E21CB8"/>
    <w:rsid w:val="00E22B68"/>
    <w:rsid w:val="00E27221"/>
    <w:rsid w:val="00E40980"/>
    <w:rsid w:val="00E558EB"/>
    <w:rsid w:val="00E65208"/>
    <w:rsid w:val="00E73658"/>
    <w:rsid w:val="00E82012"/>
    <w:rsid w:val="00EA17F4"/>
    <w:rsid w:val="00EA4FEE"/>
    <w:rsid w:val="00EC6034"/>
    <w:rsid w:val="00ED4C86"/>
    <w:rsid w:val="00EE49A9"/>
    <w:rsid w:val="00EE659B"/>
    <w:rsid w:val="00EF4A7B"/>
    <w:rsid w:val="00EF6451"/>
    <w:rsid w:val="00F12DC0"/>
    <w:rsid w:val="00F17A67"/>
    <w:rsid w:val="00F23121"/>
    <w:rsid w:val="00F330DC"/>
    <w:rsid w:val="00F3609A"/>
    <w:rsid w:val="00F40CC0"/>
    <w:rsid w:val="00F93FE6"/>
    <w:rsid w:val="00F9765C"/>
    <w:rsid w:val="00FA598D"/>
    <w:rsid w:val="00FB3868"/>
    <w:rsid w:val="00FB5547"/>
    <w:rsid w:val="00FC0A30"/>
    <w:rsid w:val="00FC1404"/>
    <w:rsid w:val="00FC3EEA"/>
    <w:rsid w:val="00FD090F"/>
    <w:rsid w:val="00FD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C0A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140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CB8"/>
    <w:pPr>
      <w:ind w:left="720"/>
      <w:contextualSpacing/>
    </w:pPr>
    <w:rPr>
      <w:rFonts w:ascii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8411F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C67A4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2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208"/>
    <w:rPr>
      <w:rFonts w:ascii="Lucida Grande" w:hAnsi="Lucida Grande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646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55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55AE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E55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55AE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67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1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yperlink" Target="https://en.wikipedia.org/wiki/Symphytum_officinale" TargetMode="External"/><Relationship Id="rId9" Type="http://schemas.openxmlformats.org/officeDocument/2006/relationships/hyperlink" Target="https://www.mountainroseherbs.com/products/comfrey-leaf/profil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885</Words>
  <Characters>5048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Radcliffe Institute, Harvard University</Company>
  <LinksUpToDate>false</LinksUpToDate>
  <CharactersWithSpaces>5922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Prasad</dc:creator>
  <cp:keywords/>
  <dc:description/>
  <cp:lastModifiedBy>Raman Prasad</cp:lastModifiedBy>
  <cp:revision>69</cp:revision>
  <cp:lastPrinted>2016-06-11T11:18:00Z</cp:lastPrinted>
  <dcterms:created xsi:type="dcterms:W3CDTF">2016-06-11T10:52:00Z</dcterms:created>
  <dcterms:modified xsi:type="dcterms:W3CDTF">2016-09-14T02:31:00Z</dcterms:modified>
</cp:coreProperties>
</file>