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00647E" w14:textId="5DF79BEE" w:rsidR="00422465" w:rsidRDefault="00254A93">
      <w:pPr>
        <w:jc w:val="center"/>
      </w:pPr>
      <w:r>
        <w:rPr>
          <w:b/>
          <w:sz w:val="20"/>
          <w:szCs w:val="20"/>
        </w:rPr>
        <w:t>Shepherd’s Purse</w:t>
      </w:r>
    </w:p>
    <w:p w14:paraId="061BEE7F" w14:textId="176F009A" w:rsidR="00422465" w:rsidRDefault="00447F39">
      <w:pPr>
        <w:jc w:val="center"/>
      </w:pPr>
      <w:r>
        <w:rPr>
          <w:noProof/>
          <w:lang w:eastAsia="en-US"/>
        </w:rPr>
        <w:drawing>
          <wp:anchor distT="0" distB="0" distL="114300" distR="114300" simplePos="0" relativeHeight="251658240" behindDoc="0" locked="0" layoutInCell="1" allowOverlap="1" wp14:anchorId="07B34D36" wp14:editId="1876C57A">
            <wp:simplePos x="0" y="0"/>
            <wp:positionH relativeFrom="column">
              <wp:posOffset>2971800</wp:posOffset>
            </wp:positionH>
            <wp:positionV relativeFrom="paragraph">
              <wp:posOffset>175260</wp:posOffset>
            </wp:positionV>
            <wp:extent cx="2961640" cy="4563745"/>
            <wp:effectExtent l="0" t="0" r="10160" b="8255"/>
            <wp:wrapSquare wrapText="bothSides"/>
            <wp:docPr id="2" name="image01.jpg" descr="shepherds-purse.jpg"/>
            <wp:cNvGraphicFramePr/>
            <a:graphic xmlns:a="http://schemas.openxmlformats.org/drawingml/2006/main">
              <a:graphicData uri="http://schemas.openxmlformats.org/drawingml/2006/picture">
                <pic:pic xmlns:pic="http://schemas.openxmlformats.org/drawingml/2006/picture">
                  <pic:nvPicPr>
                    <pic:cNvPr id="0" name="image01.jpg" descr="shepherds-purse.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61640" cy="4563745"/>
                    </a:xfrm>
                    <a:prstGeom prst="rect">
                      <a:avLst/>
                    </a:prstGeom>
                    <a:ln/>
                  </pic:spPr>
                </pic:pic>
              </a:graphicData>
            </a:graphic>
            <wp14:sizeRelH relativeFrom="page">
              <wp14:pctWidth>0</wp14:pctWidth>
            </wp14:sizeRelH>
            <wp14:sizeRelV relativeFrom="page">
              <wp14:pctHeight>0</wp14:pctHeight>
            </wp14:sizeRelV>
          </wp:anchor>
        </w:drawing>
      </w:r>
    </w:p>
    <w:p w14:paraId="789944DE" w14:textId="227FAF26" w:rsidR="00422465" w:rsidRDefault="00254A93">
      <w:r>
        <w:rPr>
          <w:b/>
          <w:sz w:val="20"/>
          <w:szCs w:val="20"/>
        </w:rPr>
        <w:t>Name:</w:t>
      </w:r>
      <w:r>
        <w:rPr>
          <w:sz w:val="20"/>
          <w:szCs w:val="20"/>
        </w:rPr>
        <w:t xml:space="preserve"> Shepherd’s Purse, </w:t>
      </w:r>
      <w:proofErr w:type="spellStart"/>
      <w:r>
        <w:rPr>
          <w:i/>
          <w:sz w:val="20"/>
          <w:szCs w:val="20"/>
          <w:highlight w:val="white"/>
        </w:rPr>
        <w:t>Capsella</w:t>
      </w:r>
      <w:proofErr w:type="spellEnd"/>
      <w:r>
        <w:rPr>
          <w:i/>
          <w:sz w:val="20"/>
          <w:szCs w:val="20"/>
          <w:highlight w:val="white"/>
        </w:rPr>
        <w:t xml:space="preserve"> bursa-</w:t>
      </w:r>
      <w:proofErr w:type="spellStart"/>
      <w:r>
        <w:rPr>
          <w:i/>
          <w:sz w:val="20"/>
          <w:szCs w:val="20"/>
          <w:highlight w:val="white"/>
        </w:rPr>
        <w:t>pastoris</w:t>
      </w:r>
      <w:proofErr w:type="spellEnd"/>
      <w:r>
        <w:rPr>
          <w:i/>
          <w:sz w:val="20"/>
          <w:szCs w:val="20"/>
          <w:highlight w:val="white"/>
        </w:rPr>
        <w:t xml:space="preserve">. </w:t>
      </w:r>
      <w:r>
        <w:rPr>
          <w:sz w:val="20"/>
          <w:szCs w:val="20"/>
          <w:highlight w:val="white"/>
        </w:rPr>
        <w:t xml:space="preserve">Also referred to as </w:t>
      </w:r>
      <w:r>
        <w:rPr>
          <w:sz w:val="20"/>
          <w:szCs w:val="20"/>
        </w:rPr>
        <w:t>Shepherd's Bag, Shepherd's Scrip, Shepherd's Sprout, Lady's Purse, Witches' Pouches, Rattle Pouches,</w:t>
      </w:r>
      <w:r>
        <w:rPr>
          <w:sz w:val="20"/>
          <w:szCs w:val="20"/>
          <w:highlight w:val="white"/>
        </w:rPr>
        <w:t xml:space="preserve"> </w:t>
      </w:r>
      <w:proofErr w:type="spellStart"/>
      <w:r>
        <w:rPr>
          <w:sz w:val="20"/>
          <w:szCs w:val="20"/>
          <w:highlight w:val="white"/>
        </w:rPr>
        <w:t>Pickpurse</w:t>
      </w:r>
      <w:proofErr w:type="spellEnd"/>
      <w:r>
        <w:rPr>
          <w:sz w:val="20"/>
          <w:szCs w:val="20"/>
          <w:highlight w:val="white"/>
        </w:rPr>
        <w:t xml:space="preserve">, </w:t>
      </w:r>
      <w:proofErr w:type="spellStart"/>
      <w:r>
        <w:rPr>
          <w:sz w:val="20"/>
          <w:szCs w:val="20"/>
          <w:highlight w:val="white"/>
        </w:rPr>
        <w:t>Casewort</w:t>
      </w:r>
      <w:proofErr w:type="spellEnd"/>
      <w:r>
        <w:rPr>
          <w:sz w:val="20"/>
          <w:szCs w:val="20"/>
          <w:highlight w:val="white"/>
        </w:rPr>
        <w:t xml:space="preserve">, </w:t>
      </w:r>
      <w:r>
        <w:rPr>
          <w:sz w:val="20"/>
          <w:szCs w:val="20"/>
        </w:rPr>
        <w:t xml:space="preserve">Case-weed, Pick-Pocket, Pick-Purse, </w:t>
      </w:r>
      <w:proofErr w:type="spellStart"/>
      <w:r>
        <w:rPr>
          <w:sz w:val="20"/>
          <w:szCs w:val="20"/>
        </w:rPr>
        <w:t>Blindweed</w:t>
      </w:r>
      <w:proofErr w:type="spellEnd"/>
      <w:r>
        <w:rPr>
          <w:sz w:val="20"/>
          <w:szCs w:val="20"/>
        </w:rPr>
        <w:t xml:space="preserve">, Pepper-and-Salt, Poor Man's </w:t>
      </w:r>
      <w:proofErr w:type="spellStart"/>
      <w:r>
        <w:rPr>
          <w:sz w:val="20"/>
          <w:szCs w:val="20"/>
        </w:rPr>
        <w:t>Parmacettie</w:t>
      </w:r>
      <w:proofErr w:type="spellEnd"/>
      <w:r>
        <w:rPr>
          <w:sz w:val="20"/>
          <w:szCs w:val="20"/>
        </w:rPr>
        <w:t xml:space="preserve">, Sanguinary, Mother's Heart, </w:t>
      </w:r>
      <w:proofErr w:type="spellStart"/>
      <w:r>
        <w:rPr>
          <w:sz w:val="20"/>
          <w:szCs w:val="20"/>
        </w:rPr>
        <w:t>Clappedepouch</w:t>
      </w:r>
      <w:proofErr w:type="spellEnd"/>
      <w:r>
        <w:rPr>
          <w:sz w:val="20"/>
          <w:szCs w:val="20"/>
        </w:rPr>
        <w:t xml:space="preserve"> (</w:t>
      </w:r>
      <w:r>
        <w:rPr>
          <w:i/>
          <w:sz w:val="20"/>
          <w:szCs w:val="20"/>
        </w:rPr>
        <w:t>Irish</w:t>
      </w:r>
      <w:r>
        <w:rPr>
          <w:sz w:val="20"/>
          <w:szCs w:val="20"/>
        </w:rPr>
        <w:t xml:space="preserve">), Bourse de </w:t>
      </w:r>
      <w:proofErr w:type="spellStart"/>
      <w:r>
        <w:rPr>
          <w:sz w:val="20"/>
          <w:szCs w:val="20"/>
        </w:rPr>
        <w:t>pasteur</w:t>
      </w:r>
      <w:proofErr w:type="spellEnd"/>
      <w:r>
        <w:rPr>
          <w:sz w:val="20"/>
          <w:szCs w:val="20"/>
        </w:rPr>
        <w:t xml:space="preserve"> (</w:t>
      </w:r>
      <w:r>
        <w:rPr>
          <w:i/>
          <w:sz w:val="20"/>
          <w:szCs w:val="20"/>
        </w:rPr>
        <w:t>French</w:t>
      </w:r>
      <w:r>
        <w:rPr>
          <w:sz w:val="20"/>
          <w:szCs w:val="20"/>
        </w:rPr>
        <w:t xml:space="preserve">) and </w:t>
      </w:r>
      <w:proofErr w:type="spellStart"/>
      <w:r>
        <w:rPr>
          <w:sz w:val="20"/>
          <w:szCs w:val="20"/>
        </w:rPr>
        <w:t>Hirtentasche</w:t>
      </w:r>
      <w:proofErr w:type="spellEnd"/>
      <w:r>
        <w:rPr>
          <w:sz w:val="20"/>
          <w:szCs w:val="20"/>
        </w:rPr>
        <w:t xml:space="preserve"> (</w:t>
      </w:r>
      <w:r>
        <w:rPr>
          <w:i/>
          <w:sz w:val="20"/>
          <w:szCs w:val="20"/>
        </w:rPr>
        <w:t>German</w:t>
      </w:r>
      <w:r>
        <w:rPr>
          <w:sz w:val="20"/>
          <w:szCs w:val="20"/>
        </w:rPr>
        <w:t>).</w:t>
      </w:r>
    </w:p>
    <w:p w14:paraId="2AF3E479" w14:textId="77777777" w:rsidR="00422465" w:rsidRDefault="00254A93">
      <w:r>
        <w:rPr>
          <w:color w:val="252525"/>
          <w:sz w:val="20"/>
          <w:szCs w:val="20"/>
          <w:highlight w:val="white"/>
        </w:rPr>
        <w:t xml:space="preserve">Family: </w:t>
      </w:r>
      <w:proofErr w:type="spellStart"/>
      <w:r>
        <w:rPr>
          <w:color w:val="252525"/>
          <w:sz w:val="20"/>
          <w:szCs w:val="20"/>
          <w:highlight w:val="white"/>
        </w:rPr>
        <w:t>Brassicaceae</w:t>
      </w:r>
      <w:proofErr w:type="spellEnd"/>
    </w:p>
    <w:p w14:paraId="6990B81E" w14:textId="77777777" w:rsidR="00422465" w:rsidRDefault="00422465"/>
    <w:p w14:paraId="6FF43FA5" w14:textId="77777777" w:rsidR="00422465" w:rsidRDefault="00254A93">
      <w:r>
        <w:rPr>
          <w:b/>
          <w:sz w:val="20"/>
          <w:szCs w:val="20"/>
        </w:rPr>
        <w:t>Parts Used:</w:t>
      </w:r>
      <w:r>
        <w:rPr>
          <w:sz w:val="20"/>
          <w:szCs w:val="20"/>
        </w:rPr>
        <w:t xml:space="preserve"> Whole plant - The whole plant is used, can be dried and usually used as an infusion, tincture, tea and even juice.</w:t>
      </w:r>
    </w:p>
    <w:p w14:paraId="083A9A9A" w14:textId="77777777" w:rsidR="00422465" w:rsidRDefault="00422465"/>
    <w:p w14:paraId="4B49AA96" w14:textId="77777777" w:rsidR="00422465" w:rsidRDefault="00254A93">
      <w:r>
        <w:rPr>
          <w:b/>
          <w:sz w:val="20"/>
          <w:szCs w:val="20"/>
        </w:rPr>
        <w:t xml:space="preserve">Native To: </w:t>
      </w:r>
      <w:r>
        <w:rPr>
          <w:sz w:val="20"/>
          <w:szCs w:val="20"/>
        </w:rPr>
        <w:t xml:space="preserve">A native of Europe and thought to be found where Europeans settled. Found globally in areas such as North America, Europe, North Africa and some parts of Asia (such as China). </w:t>
      </w:r>
    </w:p>
    <w:p w14:paraId="64220F83" w14:textId="77777777" w:rsidR="00422465" w:rsidRDefault="00254A93">
      <w:r>
        <w:rPr>
          <w:b/>
          <w:sz w:val="20"/>
          <w:szCs w:val="20"/>
        </w:rPr>
        <w:br/>
        <w:t xml:space="preserve">Uses: </w:t>
      </w:r>
      <w:r>
        <w:rPr>
          <w:sz w:val="20"/>
          <w:szCs w:val="20"/>
        </w:rPr>
        <w:t>Medicinal, food source and ceremonial.</w:t>
      </w:r>
    </w:p>
    <w:p w14:paraId="09B9F853" w14:textId="77777777" w:rsidR="00422465" w:rsidRDefault="00254A93">
      <w:pPr>
        <w:numPr>
          <w:ilvl w:val="0"/>
          <w:numId w:val="1"/>
        </w:numPr>
        <w:ind w:hanging="360"/>
        <w:contextualSpacing/>
        <w:rPr>
          <w:sz w:val="20"/>
          <w:szCs w:val="20"/>
          <w:highlight w:val="white"/>
        </w:rPr>
      </w:pPr>
      <w:proofErr w:type="gramStart"/>
      <w:r>
        <w:rPr>
          <w:sz w:val="20"/>
          <w:szCs w:val="20"/>
          <w:highlight w:val="white"/>
        </w:rPr>
        <w:t>Stops hemorrhaging (</w:t>
      </w:r>
      <w:proofErr w:type="spellStart"/>
      <w:r>
        <w:rPr>
          <w:sz w:val="20"/>
          <w:szCs w:val="20"/>
          <w:highlight w:val="white"/>
        </w:rPr>
        <w:t>tyramine</w:t>
      </w:r>
      <w:proofErr w:type="spellEnd"/>
      <w:r>
        <w:rPr>
          <w:sz w:val="20"/>
          <w:szCs w:val="20"/>
          <w:highlight w:val="white"/>
        </w:rPr>
        <w:t xml:space="preserve"> and other amines in plant are thought to provide this action) - internal and external bleeding.</w:t>
      </w:r>
      <w:proofErr w:type="gramEnd"/>
      <w:r>
        <w:rPr>
          <w:sz w:val="20"/>
          <w:szCs w:val="20"/>
          <w:highlight w:val="white"/>
        </w:rPr>
        <w:t xml:space="preserve"> “A tea made from the dried herb is considered to be a sovereign remedy against of all kinds hemorrhages– the stomach, the lungs, the uterus and more especially the kidneys.”</w:t>
      </w:r>
    </w:p>
    <w:p w14:paraId="3E783290" w14:textId="77777777" w:rsidR="00422465" w:rsidRDefault="00254A93">
      <w:pPr>
        <w:numPr>
          <w:ilvl w:val="0"/>
          <w:numId w:val="1"/>
        </w:numPr>
        <w:ind w:hanging="360"/>
        <w:contextualSpacing/>
        <w:rPr>
          <w:sz w:val="20"/>
          <w:szCs w:val="20"/>
          <w:highlight w:val="white"/>
        </w:rPr>
      </w:pPr>
      <w:r>
        <w:rPr>
          <w:sz w:val="20"/>
          <w:szCs w:val="20"/>
          <w:highlight w:val="white"/>
        </w:rPr>
        <w:t>The plant is thought to contain a protein that is similar to oxytocin in that it can produce uterine contractions - helpful during childbirth but also post-birth to help reduce bleeding and return uterus to its original size.</w:t>
      </w:r>
    </w:p>
    <w:p w14:paraId="243890D0" w14:textId="77777777" w:rsidR="00422465" w:rsidRDefault="00254A93">
      <w:pPr>
        <w:numPr>
          <w:ilvl w:val="0"/>
          <w:numId w:val="1"/>
        </w:numPr>
        <w:ind w:hanging="360"/>
        <w:contextualSpacing/>
        <w:rPr>
          <w:sz w:val="20"/>
          <w:szCs w:val="20"/>
          <w:highlight w:val="white"/>
        </w:rPr>
      </w:pPr>
      <w:r>
        <w:rPr>
          <w:sz w:val="20"/>
          <w:szCs w:val="20"/>
          <w:highlight w:val="white"/>
        </w:rPr>
        <w:t>May help hemorrhoids.</w:t>
      </w:r>
    </w:p>
    <w:p w14:paraId="29182E84" w14:textId="77777777" w:rsidR="00422465" w:rsidRDefault="00254A93">
      <w:pPr>
        <w:numPr>
          <w:ilvl w:val="0"/>
          <w:numId w:val="1"/>
        </w:numPr>
        <w:ind w:hanging="360"/>
        <w:contextualSpacing/>
        <w:rPr>
          <w:sz w:val="20"/>
          <w:szCs w:val="20"/>
          <w:highlight w:val="white"/>
        </w:rPr>
      </w:pPr>
      <w:r>
        <w:rPr>
          <w:sz w:val="20"/>
          <w:szCs w:val="20"/>
          <w:highlight w:val="white"/>
        </w:rPr>
        <w:t>Bladder prolapse. May be helpful with bladder infections.</w:t>
      </w:r>
    </w:p>
    <w:p w14:paraId="1FBD4536" w14:textId="77777777" w:rsidR="00422465" w:rsidRDefault="00254A93">
      <w:pPr>
        <w:numPr>
          <w:ilvl w:val="0"/>
          <w:numId w:val="1"/>
        </w:numPr>
        <w:ind w:hanging="360"/>
        <w:contextualSpacing/>
        <w:rPr>
          <w:sz w:val="20"/>
          <w:szCs w:val="20"/>
          <w:highlight w:val="white"/>
        </w:rPr>
      </w:pPr>
      <w:r>
        <w:rPr>
          <w:sz w:val="20"/>
          <w:szCs w:val="20"/>
          <w:highlight w:val="white"/>
        </w:rPr>
        <w:t>Can resolve blood in urine.</w:t>
      </w:r>
    </w:p>
    <w:p w14:paraId="3B14F87E" w14:textId="77777777" w:rsidR="00422465" w:rsidRDefault="00254A93">
      <w:pPr>
        <w:numPr>
          <w:ilvl w:val="0"/>
          <w:numId w:val="1"/>
        </w:numPr>
        <w:ind w:hanging="360"/>
        <w:contextualSpacing/>
        <w:rPr>
          <w:sz w:val="20"/>
          <w:szCs w:val="20"/>
          <w:highlight w:val="white"/>
        </w:rPr>
      </w:pPr>
      <w:r>
        <w:rPr>
          <w:sz w:val="20"/>
          <w:szCs w:val="20"/>
          <w:highlight w:val="white"/>
        </w:rPr>
        <w:t>“A vasodilator, and also hastens coagulation and constrict[s] blood vessels.”</w:t>
      </w:r>
    </w:p>
    <w:p w14:paraId="2E8DC561" w14:textId="77777777" w:rsidR="00422465" w:rsidRDefault="00254A93">
      <w:pPr>
        <w:numPr>
          <w:ilvl w:val="0"/>
          <w:numId w:val="1"/>
        </w:numPr>
        <w:ind w:hanging="360"/>
        <w:contextualSpacing/>
        <w:rPr>
          <w:sz w:val="20"/>
          <w:szCs w:val="20"/>
          <w:highlight w:val="white"/>
        </w:rPr>
      </w:pPr>
      <w:r>
        <w:rPr>
          <w:sz w:val="20"/>
          <w:szCs w:val="20"/>
          <w:highlight w:val="white"/>
        </w:rPr>
        <w:t>Can be applied to skin to stop nosebleeds, cuts and superficial burns.</w:t>
      </w:r>
    </w:p>
    <w:p w14:paraId="0FD9D848" w14:textId="77777777" w:rsidR="00422465" w:rsidRDefault="00254A93">
      <w:pPr>
        <w:numPr>
          <w:ilvl w:val="0"/>
          <w:numId w:val="1"/>
        </w:numPr>
        <w:spacing w:line="240" w:lineRule="auto"/>
        <w:ind w:hanging="360"/>
        <w:contextualSpacing/>
        <w:rPr>
          <w:sz w:val="20"/>
          <w:szCs w:val="20"/>
          <w:highlight w:val="white"/>
        </w:rPr>
      </w:pPr>
      <w:r>
        <w:rPr>
          <w:sz w:val="20"/>
          <w:szCs w:val="20"/>
          <w:highlight w:val="white"/>
        </w:rPr>
        <w:t>Can help with fluid loss and aid in conditions resulting in diarrhea.</w:t>
      </w:r>
    </w:p>
    <w:p w14:paraId="334B04EB" w14:textId="77777777" w:rsidR="00422465" w:rsidRDefault="00254A93">
      <w:pPr>
        <w:numPr>
          <w:ilvl w:val="0"/>
          <w:numId w:val="1"/>
        </w:numPr>
        <w:spacing w:after="220" w:line="240" w:lineRule="auto"/>
        <w:ind w:hanging="360"/>
        <w:contextualSpacing/>
        <w:rPr>
          <w:sz w:val="20"/>
          <w:szCs w:val="20"/>
          <w:highlight w:val="white"/>
        </w:rPr>
      </w:pPr>
      <w:r>
        <w:rPr>
          <w:sz w:val="20"/>
          <w:szCs w:val="20"/>
          <w:highlight w:val="white"/>
        </w:rPr>
        <w:t xml:space="preserve">Premenstrual problems, long periods, and menstrual </w:t>
      </w:r>
      <w:hyperlink r:id="rId9">
        <w:r>
          <w:rPr>
            <w:sz w:val="20"/>
            <w:szCs w:val="20"/>
            <w:highlight w:val="white"/>
          </w:rPr>
          <w:t>cramps</w:t>
        </w:r>
      </w:hyperlink>
      <w:r>
        <w:rPr>
          <w:sz w:val="20"/>
          <w:szCs w:val="20"/>
          <w:highlight w:val="white"/>
        </w:rPr>
        <w:t>. Can be used to aid with heavy menstrual periods, especially those influenced by fibroids and endometriosis.</w:t>
      </w:r>
    </w:p>
    <w:p w14:paraId="60087F24" w14:textId="77777777" w:rsidR="00422465" w:rsidRDefault="00254A93">
      <w:pPr>
        <w:numPr>
          <w:ilvl w:val="0"/>
          <w:numId w:val="1"/>
        </w:numPr>
        <w:spacing w:after="220" w:line="240" w:lineRule="auto"/>
        <w:ind w:hanging="360"/>
        <w:contextualSpacing/>
        <w:rPr>
          <w:sz w:val="20"/>
          <w:szCs w:val="20"/>
          <w:highlight w:val="white"/>
        </w:rPr>
      </w:pPr>
      <w:r>
        <w:rPr>
          <w:sz w:val="20"/>
          <w:szCs w:val="20"/>
          <w:highlight w:val="white"/>
        </w:rPr>
        <w:t>“Circulatory problems including mild</w:t>
      </w:r>
      <w:hyperlink r:id="rId10">
        <w:r>
          <w:rPr>
            <w:sz w:val="20"/>
            <w:szCs w:val="20"/>
            <w:highlight w:val="white"/>
          </w:rPr>
          <w:t xml:space="preserve"> </w:t>
        </w:r>
      </w:hyperlink>
      <w:hyperlink r:id="rId11">
        <w:r>
          <w:rPr>
            <w:sz w:val="20"/>
            <w:szCs w:val="20"/>
            <w:highlight w:val="white"/>
          </w:rPr>
          <w:t>heart failure</w:t>
        </w:r>
      </w:hyperlink>
      <w:r>
        <w:rPr>
          <w:sz w:val="20"/>
          <w:szCs w:val="20"/>
          <w:highlight w:val="white"/>
        </w:rPr>
        <w:t xml:space="preserve">, </w:t>
      </w:r>
      <w:hyperlink r:id="rId12">
        <w:r>
          <w:rPr>
            <w:sz w:val="20"/>
            <w:szCs w:val="20"/>
            <w:highlight w:val="white"/>
          </w:rPr>
          <w:t>low blood pressure</w:t>
        </w:r>
      </w:hyperlink>
      <w:r>
        <w:rPr>
          <w:sz w:val="20"/>
          <w:szCs w:val="20"/>
          <w:highlight w:val="white"/>
        </w:rPr>
        <w:t>, and nervous</w:t>
      </w:r>
      <w:hyperlink r:id="rId13">
        <w:r>
          <w:rPr>
            <w:sz w:val="20"/>
            <w:szCs w:val="20"/>
            <w:highlight w:val="white"/>
          </w:rPr>
          <w:t xml:space="preserve"> </w:t>
        </w:r>
      </w:hyperlink>
      <w:hyperlink r:id="rId14">
        <w:r>
          <w:rPr>
            <w:sz w:val="20"/>
            <w:szCs w:val="20"/>
            <w:highlight w:val="white"/>
          </w:rPr>
          <w:t>heart</w:t>
        </w:r>
      </w:hyperlink>
      <w:r>
        <w:rPr>
          <w:sz w:val="20"/>
          <w:szCs w:val="20"/>
          <w:highlight w:val="white"/>
        </w:rPr>
        <w:t xml:space="preserve"> complaints.”</w:t>
      </w:r>
    </w:p>
    <w:p w14:paraId="410264C4" w14:textId="77777777" w:rsidR="00422465" w:rsidRDefault="00254A93">
      <w:pPr>
        <w:numPr>
          <w:ilvl w:val="0"/>
          <w:numId w:val="1"/>
        </w:numPr>
        <w:spacing w:after="220" w:line="240" w:lineRule="auto"/>
        <w:ind w:hanging="360"/>
        <w:contextualSpacing/>
        <w:rPr>
          <w:sz w:val="20"/>
          <w:szCs w:val="20"/>
        </w:rPr>
      </w:pPr>
      <w:r>
        <w:rPr>
          <w:sz w:val="20"/>
          <w:szCs w:val="20"/>
          <w:highlight w:val="white"/>
        </w:rPr>
        <w:t xml:space="preserve">Ceremonially used in some </w:t>
      </w:r>
      <w:proofErr w:type="gramStart"/>
      <w:r>
        <w:rPr>
          <w:sz w:val="20"/>
          <w:szCs w:val="20"/>
          <w:highlight w:val="white"/>
        </w:rPr>
        <w:t xml:space="preserve">native </w:t>
      </w:r>
      <w:proofErr w:type="spellStart"/>
      <w:r>
        <w:rPr>
          <w:sz w:val="20"/>
          <w:szCs w:val="20"/>
          <w:highlight w:val="white"/>
        </w:rPr>
        <w:t>american</w:t>
      </w:r>
      <w:proofErr w:type="spellEnd"/>
      <w:proofErr w:type="gramEnd"/>
      <w:r>
        <w:rPr>
          <w:sz w:val="20"/>
          <w:szCs w:val="20"/>
          <w:highlight w:val="white"/>
        </w:rPr>
        <w:t xml:space="preserve"> birth practices. Fresh or dried shepherd’s purse is placed in bath water for births.</w:t>
      </w:r>
    </w:p>
    <w:p w14:paraId="13E08122" w14:textId="77777777" w:rsidR="00422465" w:rsidRDefault="00254A93">
      <w:pPr>
        <w:numPr>
          <w:ilvl w:val="0"/>
          <w:numId w:val="1"/>
        </w:numPr>
        <w:spacing w:after="220" w:line="240" w:lineRule="auto"/>
        <w:ind w:hanging="360"/>
        <w:contextualSpacing/>
        <w:rPr>
          <w:sz w:val="20"/>
          <w:szCs w:val="20"/>
        </w:rPr>
      </w:pPr>
      <w:r>
        <w:rPr>
          <w:sz w:val="20"/>
          <w:szCs w:val="20"/>
          <w:highlight w:val="white"/>
        </w:rPr>
        <w:t xml:space="preserve">“Remedy for cancer – it contains </w:t>
      </w:r>
      <w:proofErr w:type="spellStart"/>
      <w:r>
        <w:rPr>
          <w:sz w:val="20"/>
          <w:szCs w:val="20"/>
          <w:highlight w:val="white"/>
        </w:rPr>
        <w:t>fumaric</w:t>
      </w:r>
      <w:proofErr w:type="spellEnd"/>
      <w:r>
        <w:rPr>
          <w:sz w:val="20"/>
          <w:szCs w:val="20"/>
          <w:highlight w:val="white"/>
        </w:rPr>
        <w:t xml:space="preserve"> acid which has markedly reduced growth and viability of Ehrlich tumor in mice.”</w:t>
      </w:r>
    </w:p>
    <w:p w14:paraId="26C6A53C" w14:textId="77777777" w:rsidR="00422465" w:rsidRDefault="00254A93">
      <w:pPr>
        <w:numPr>
          <w:ilvl w:val="0"/>
          <w:numId w:val="1"/>
        </w:numPr>
        <w:spacing w:after="220" w:line="240" w:lineRule="auto"/>
        <w:ind w:hanging="360"/>
        <w:contextualSpacing/>
        <w:rPr>
          <w:sz w:val="20"/>
          <w:szCs w:val="20"/>
        </w:rPr>
      </w:pPr>
      <w:r>
        <w:rPr>
          <w:sz w:val="20"/>
          <w:szCs w:val="20"/>
          <w:highlight w:val="white"/>
        </w:rPr>
        <w:t>“The seed, when placed in water, attracts mosquitoes. It has a gummy substance that binds the insect's mouth to the seed. The seed also releases a substance toxic to the larvae. ½ kilo of seed is said to be able to kill 10 million larvae.”</w:t>
      </w:r>
    </w:p>
    <w:p w14:paraId="2DBDA4E6" w14:textId="77777777" w:rsidR="00422465" w:rsidRDefault="00254A93">
      <w:r>
        <w:rPr>
          <w:b/>
          <w:sz w:val="20"/>
          <w:szCs w:val="20"/>
        </w:rPr>
        <w:lastRenderedPageBreak/>
        <w:t xml:space="preserve">Actions: </w:t>
      </w:r>
      <w:hyperlink r:id="rId15">
        <w:r>
          <w:rPr>
            <w:sz w:val="20"/>
            <w:szCs w:val="20"/>
            <w:highlight w:val="white"/>
          </w:rPr>
          <w:t>Anti-cancer</w:t>
        </w:r>
      </w:hyperlink>
      <w:r>
        <w:rPr>
          <w:sz w:val="20"/>
          <w:szCs w:val="20"/>
        </w:rPr>
        <w:t xml:space="preserve">, </w:t>
      </w:r>
      <w:r>
        <w:rPr>
          <w:sz w:val="20"/>
          <w:szCs w:val="20"/>
          <w:highlight w:val="white"/>
        </w:rPr>
        <w:t>a</w:t>
      </w:r>
      <w:hyperlink r:id="rId16">
        <w:r>
          <w:rPr>
            <w:sz w:val="20"/>
            <w:szCs w:val="20"/>
            <w:highlight w:val="white"/>
          </w:rPr>
          <w:t>ntiscorbutic</w:t>
        </w:r>
      </w:hyperlink>
      <w:r>
        <w:rPr>
          <w:sz w:val="20"/>
          <w:szCs w:val="20"/>
        </w:rPr>
        <w:t xml:space="preserve">, </w:t>
      </w:r>
      <w:r>
        <w:rPr>
          <w:sz w:val="20"/>
          <w:szCs w:val="20"/>
          <w:highlight w:val="white"/>
        </w:rPr>
        <w:t>a</w:t>
      </w:r>
      <w:hyperlink r:id="rId17">
        <w:r>
          <w:rPr>
            <w:sz w:val="20"/>
            <w:szCs w:val="20"/>
            <w:highlight w:val="white"/>
          </w:rPr>
          <w:t>stringent</w:t>
        </w:r>
      </w:hyperlink>
      <w:r>
        <w:rPr>
          <w:sz w:val="20"/>
          <w:szCs w:val="20"/>
        </w:rPr>
        <w:t xml:space="preserve">, </w:t>
      </w:r>
      <w:r>
        <w:rPr>
          <w:sz w:val="20"/>
          <w:szCs w:val="20"/>
          <w:highlight w:val="white"/>
        </w:rPr>
        <w:t>d</w:t>
      </w:r>
      <w:hyperlink r:id="rId18">
        <w:r>
          <w:rPr>
            <w:sz w:val="20"/>
            <w:szCs w:val="20"/>
            <w:highlight w:val="white"/>
          </w:rPr>
          <w:t>iuretic</w:t>
        </w:r>
      </w:hyperlink>
      <w:r>
        <w:rPr>
          <w:sz w:val="20"/>
          <w:szCs w:val="20"/>
        </w:rPr>
        <w:t xml:space="preserve">, </w:t>
      </w:r>
      <w:proofErr w:type="spellStart"/>
      <w:r>
        <w:rPr>
          <w:sz w:val="20"/>
          <w:szCs w:val="20"/>
        </w:rPr>
        <w:t>e</w:t>
      </w:r>
      <w:hyperlink r:id="rId19">
        <w:r>
          <w:rPr>
            <w:sz w:val="20"/>
            <w:szCs w:val="20"/>
            <w:highlight w:val="white"/>
          </w:rPr>
          <w:t>mmenagogue</w:t>
        </w:r>
        <w:proofErr w:type="spellEnd"/>
      </w:hyperlink>
      <w:r>
        <w:rPr>
          <w:sz w:val="20"/>
          <w:szCs w:val="20"/>
        </w:rPr>
        <w:t>, f</w:t>
      </w:r>
      <w:hyperlink r:id="rId20">
        <w:r>
          <w:rPr>
            <w:sz w:val="20"/>
            <w:szCs w:val="20"/>
            <w:highlight w:val="white"/>
          </w:rPr>
          <w:t>ebrifuge</w:t>
        </w:r>
      </w:hyperlink>
      <w:r>
        <w:rPr>
          <w:sz w:val="20"/>
          <w:szCs w:val="20"/>
        </w:rPr>
        <w:t xml:space="preserve">, </w:t>
      </w:r>
      <w:proofErr w:type="spellStart"/>
      <w:r>
        <w:rPr>
          <w:sz w:val="20"/>
          <w:szCs w:val="20"/>
          <w:highlight w:val="white"/>
        </w:rPr>
        <w:t>haemostatic</w:t>
      </w:r>
      <w:proofErr w:type="spellEnd"/>
      <w:r>
        <w:rPr>
          <w:sz w:val="20"/>
          <w:szCs w:val="20"/>
          <w:highlight w:val="white"/>
        </w:rPr>
        <w:t xml:space="preserve">, </w:t>
      </w:r>
      <w:r>
        <w:rPr>
          <w:sz w:val="20"/>
          <w:szCs w:val="20"/>
        </w:rPr>
        <w:t>h</w:t>
      </w:r>
      <w:hyperlink r:id="rId21">
        <w:r>
          <w:rPr>
            <w:sz w:val="20"/>
            <w:szCs w:val="20"/>
            <w:highlight w:val="white"/>
          </w:rPr>
          <w:t>ypotensive</w:t>
        </w:r>
      </w:hyperlink>
      <w:r>
        <w:rPr>
          <w:sz w:val="20"/>
          <w:szCs w:val="20"/>
          <w:highlight w:val="white"/>
        </w:rPr>
        <w:t>, oxytocic, refrigerant, stimulant, s</w:t>
      </w:r>
      <w:hyperlink r:id="rId22">
        <w:r>
          <w:rPr>
            <w:sz w:val="20"/>
            <w:szCs w:val="20"/>
            <w:highlight w:val="white"/>
          </w:rPr>
          <w:t>typtic</w:t>
        </w:r>
      </w:hyperlink>
      <w:r>
        <w:rPr>
          <w:sz w:val="20"/>
          <w:szCs w:val="20"/>
        </w:rPr>
        <w:t xml:space="preserve">, </w:t>
      </w:r>
      <w:r>
        <w:rPr>
          <w:sz w:val="20"/>
          <w:szCs w:val="20"/>
          <w:highlight w:val="white"/>
        </w:rPr>
        <w:t xml:space="preserve">vasoconstrictor, vasodilator and vulnerary. </w:t>
      </w:r>
    </w:p>
    <w:p w14:paraId="5F6BC493" w14:textId="77777777" w:rsidR="00422465" w:rsidRDefault="00254A93">
      <w:r>
        <w:rPr>
          <w:sz w:val="20"/>
          <w:szCs w:val="20"/>
          <w:highlight w:val="white"/>
        </w:rPr>
        <w:t>“Anti-inflammatory, diuretic and contractile effects on smooth muscle.”</w:t>
      </w:r>
    </w:p>
    <w:p w14:paraId="44611E02" w14:textId="77777777" w:rsidR="00422465" w:rsidRDefault="00422465"/>
    <w:p w14:paraId="5CC90E10" w14:textId="77777777" w:rsidR="00422465" w:rsidRDefault="00254A93">
      <w:r>
        <w:rPr>
          <w:b/>
          <w:sz w:val="20"/>
          <w:szCs w:val="20"/>
        </w:rPr>
        <w:t>Constituents:</w:t>
      </w:r>
      <w:r>
        <w:rPr>
          <w:sz w:val="20"/>
          <w:szCs w:val="20"/>
        </w:rPr>
        <w:t xml:space="preserve"> </w:t>
      </w:r>
      <w:r>
        <w:rPr>
          <w:sz w:val="20"/>
          <w:szCs w:val="20"/>
          <w:highlight w:val="white"/>
        </w:rPr>
        <w:t xml:space="preserve">Choline, acetylcholine and </w:t>
      </w:r>
      <w:proofErr w:type="spellStart"/>
      <w:r>
        <w:rPr>
          <w:sz w:val="20"/>
          <w:szCs w:val="20"/>
          <w:highlight w:val="white"/>
        </w:rPr>
        <w:t>tyramine</w:t>
      </w:r>
      <w:proofErr w:type="spellEnd"/>
      <w:r>
        <w:rPr>
          <w:sz w:val="20"/>
          <w:szCs w:val="20"/>
          <w:highlight w:val="white"/>
        </w:rPr>
        <w:t xml:space="preserve">, </w:t>
      </w:r>
      <w:proofErr w:type="spellStart"/>
      <w:r>
        <w:rPr>
          <w:sz w:val="20"/>
          <w:szCs w:val="20"/>
          <w:highlight w:val="white"/>
        </w:rPr>
        <w:t>saponins</w:t>
      </w:r>
      <w:proofErr w:type="spellEnd"/>
      <w:r>
        <w:rPr>
          <w:sz w:val="20"/>
          <w:szCs w:val="20"/>
          <w:highlight w:val="white"/>
        </w:rPr>
        <w:t xml:space="preserve">, mustard oil, flavonoids. </w:t>
      </w:r>
      <w:proofErr w:type="spellStart"/>
      <w:proofErr w:type="gramStart"/>
      <w:r>
        <w:rPr>
          <w:sz w:val="20"/>
          <w:szCs w:val="20"/>
        </w:rPr>
        <w:t>Bursinic</w:t>
      </w:r>
      <w:proofErr w:type="spellEnd"/>
      <w:r>
        <w:rPr>
          <w:sz w:val="20"/>
          <w:szCs w:val="20"/>
        </w:rPr>
        <w:t xml:space="preserve"> acid (so named by French chemist </w:t>
      </w:r>
      <w:proofErr w:type="spellStart"/>
      <w:r>
        <w:rPr>
          <w:sz w:val="20"/>
          <w:szCs w:val="20"/>
        </w:rPr>
        <w:t>Bombelon</w:t>
      </w:r>
      <w:proofErr w:type="spellEnd"/>
      <w:r>
        <w:rPr>
          <w:sz w:val="20"/>
          <w:szCs w:val="20"/>
        </w:rPr>
        <w:t>).</w:t>
      </w:r>
      <w:proofErr w:type="gramEnd"/>
      <w:r>
        <w:rPr>
          <w:sz w:val="20"/>
          <w:szCs w:val="20"/>
        </w:rPr>
        <w:t xml:space="preserve"> </w:t>
      </w:r>
      <w:proofErr w:type="spellStart"/>
      <w:r>
        <w:rPr>
          <w:sz w:val="20"/>
          <w:szCs w:val="20"/>
        </w:rPr>
        <w:t>Bursinic</w:t>
      </w:r>
      <w:proofErr w:type="spellEnd"/>
      <w:r>
        <w:rPr>
          <w:sz w:val="20"/>
          <w:szCs w:val="20"/>
        </w:rPr>
        <w:t xml:space="preserve"> acid is an organic acid. </w:t>
      </w:r>
      <w:proofErr w:type="spellStart"/>
      <w:r>
        <w:rPr>
          <w:sz w:val="20"/>
          <w:szCs w:val="20"/>
        </w:rPr>
        <w:t>Bombelon</w:t>
      </w:r>
      <w:proofErr w:type="spellEnd"/>
      <w:r>
        <w:rPr>
          <w:sz w:val="20"/>
          <w:szCs w:val="20"/>
        </w:rPr>
        <w:t xml:space="preserve"> also noted an alkaloid and </w:t>
      </w:r>
      <w:proofErr w:type="spellStart"/>
      <w:r>
        <w:rPr>
          <w:sz w:val="20"/>
          <w:szCs w:val="20"/>
        </w:rPr>
        <w:t>tannate</w:t>
      </w:r>
      <w:proofErr w:type="spellEnd"/>
      <w:r>
        <w:rPr>
          <w:sz w:val="20"/>
          <w:szCs w:val="20"/>
        </w:rPr>
        <w:t xml:space="preserve"> resembling </w:t>
      </w:r>
      <w:proofErr w:type="spellStart"/>
      <w:r>
        <w:rPr>
          <w:sz w:val="20"/>
          <w:szCs w:val="20"/>
        </w:rPr>
        <w:t>sulphocyansinapine</w:t>
      </w:r>
      <w:proofErr w:type="spellEnd"/>
      <w:r>
        <w:rPr>
          <w:sz w:val="20"/>
          <w:szCs w:val="20"/>
        </w:rPr>
        <w:t xml:space="preserve">. “A peculiar </w:t>
      </w:r>
      <w:proofErr w:type="spellStart"/>
      <w:r>
        <w:rPr>
          <w:sz w:val="20"/>
          <w:szCs w:val="20"/>
        </w:rPr>
        <w:t>sulphuretted</w:t>
      </w:r>
      <w:proofErr w:type="spellEnd"/>
      <w:r>
        <w:rPr>
          <w:sz w:val="20"/>
          <w:szCs w:val="20"/>
        </w:rPr>
        <w:t xml:space="preserve"> volatile oil, closely similar to, if not identical with oil of mustard, as well as a fixed oil, have been determined and 6 per cent of a soft resin.”</w:t>
      </w:r>
    </w:p>
    <w:p w14:paraId="282D65C3" w14:textId="77777777" w:rsidR="00422465" w:rsidRDefault="00422465"/>
    <w:p w14:paraId="70A5BD88" w14:textId="77777777" w:rsidR="00422465" w:rsidRDefault="00254A93">
      <w:r>
        <w:rPr>
          <w:sz w:val="20"/>
          <w:szCs w:val="20"/>
        </w:rPr>
        <w:t>Leaves are rich in vitamins A, B and C. Leaves taste best if harvested before plant flowers.</w:t>
      </w:r>
    </w:p>
    <w:p w14:paraId="2165067D" w14:textId="77777777" w:rsidR="00422465" w:rsidRDefault="00422465"/>
    <w:p w14:paraId="3BB6BB75" w14:textId="77777777" w:rsidR="00422465" w:rsidRDefault="00254A93">
      <w:proofErr w:type="gramStart"/>
      <w:r>
        <w:rPr>
          <w:sz w:val="20"/>
          <w:szCs w:val="20"/>
        </w:rPr>
        <w:t>Seed pods</w:t>
      </w:r>
      <w:proofErr w:type="gramEnd"/>
      <w:r>
        <w:rPr>
          <w:sz w:val="20"/>
          <w:szCs w:val="20"/>
        </w:rPr>
        <w:t xml:space="preserve"> can be used as seasoning (peppery taste).</w:t>
      </w:r>
    </w:p>
    <w:p w14:paraId="6C424D5F" w14:textId="77777777" w:rsidR="00422465" w:rsidRDefault="00422465"/>
    <w:p w14:paraId="469F157F" w14:textId="77777777" w:rsidR="00422465" w:rsidRDefault="00254A93">
      <w:r>
        <w:rPr>
          <w:b/>
          <w:sz w:val="20"/>
          <w:szCs w:val="20"/>
        </w:rPr>
        <w:t xml:space="preserve">Tincture and Capsules (Dosage): </w:t>
      </w:r>
      <w:r>
        <w:rPr>
          <w:sz w:val="20"/>
          <w:szCs w:val="20"/>
          <w:highlight w:val="white"/>
        </w:rPr>
        <w:t xml:space="preserve">“Decoction, 2 fluid ounces 3 times daily between meals. </w:t>
      </w:r>
      <w:proofErr w:type="gramStart"/>
      <w:r>
        <w:rPr>
          <w:sz w:val="20"/>
          <w:szCs w:val="20"/>
          <w:highlight w:val="white"/>
        </w:rPr>
        <w:t>Fluid extract</w:t>
      </w:r>
      <w:proofErr w:type="gramEnd"/>
      <w:r>
        <w:rPr>
          <w:sz w:val="20"/>
          <w:szCs w:val="20"/>
          <w:highlight w:val="white"/>
        </w:rPr>
        <w:t xml:space="preserve">, 1 teaspoonful (1/8 of decoction). </w:t>
      </w:r>
      <w:proofErr w:type="gramStart"/>
      <w:r>
        <w:rPr>
          <w:sz w:val="20"/>
          <w:szCs w:val="20"/>
          <w:highlight w:val="white"/>
        </w:rPr>
        <w:t>Infusion, 1 cupful.</w:t>
      </w:r>
      <w:proofErr w:type="gramEnd"/>
      <w:r>
        <w:rPr>
          <w:sz w:val="20"/>
          <w:szCs w:val="20"/>
          <w:highlight w:val="white"/>
        </w:rPr>
        <w:t xml:space="preserve"> </w:t>
      </w:r>
      <w:proofErr w:type="gramStart"/>
      <w:r>
        <w:rPr>
          <w:sz w:val="20"/>
          <w:szCs w:val="20"/>
          <w:highlight w:val="white"/>
        </w:rPr>
        <w:t>Powder, 1-4 grams.</w:t>
      </w:r>
      <w:proofErr w:type="gramEnd"/>
      <w:r>
        <w:rPr>
          <w:sz w:val="20"/>
          <w:szCs w:val="20"/>
          <w:highlight w:val="white"/>
        </w:rPr>
        <w:t xml:space="preserve"> Tincture, ½ -1 fluid teaspoon (30-60 drops).”</w:t>
      </w:r>
    </w:p>
    <w:p w14:paraId="600876D6" w14:textId="77777777" w:rsidR="00422465" w:rsidRDefault="00422465"/>
    <w:p w14:paraId="3FC3D771" w14:textId="623BDE73" w:rsidR="00447F39" w:rsidRDefault="00254A93">
      <w:r>
        <w:rPr>
          <w:sz w:val="20"/>
          <w:szCs w:val="20"/>
          <w:highlight w:val="white"/>
        </w:rPr>
        <w:t>“Control bleeding after completing a miscarriage, should be 10-20 drops of the tincture, and 20-40 drops for postpartum hemorrhage.”</w:t>
      </w:r>
      <w:r w:rsidR="00D75E1D" w:rsidRPr="00D75E1D">
        <w:rPr>
          <w:sz w:val="20"/>
          <w:szCs w:val="20"/>
          <w:highlight w:val="white"/>
          <w:vertAlign w:val="superscript"/>
        </w:rPr>
        <w:t>1</w:t>
      </w:r>
    </w:p>
    <w:p w14:paraId="572CF2E0" w14:textId="77777777" w:rsidR="00447F39" w:rsidRDefault="00447F39"/>
    <w:p w14:paraId="726E59A2" w14:textId="4806AFF4" w:rsidR="00447F39" w:rsidRDefault="00447F39">
      <w:r>
        <w:rPr>
          <w:sz w:val="20"/>
          <w:szCs w:val="20"/>
          <w:highlight w:val="white"/>
        </w:rPr>
        <w:t>“For bleeding take half a teaspoon of [tincture] 3 times per day until the bleeding stops and then discontinue.”</w:t>
      </w:r>
      <w:r w:rsidR="00D75E1D" w:rsidRPr="00D75E1D">
        <w:rPr>
          <w:sz w:val="20"/>
          <w:szCs w:val="20"/>
          <w:vertAlign w:val="superscript"/>
        </w:rPr>
        <w:t xml:space="preserve"> 2</w:t>
      </w:r>
    </w:p>
    <w:p w14:paraId="0E718907" w14:textId="77777777" w:rsidR="00447F39" w:rsidRDefault="00447F39"/>
    <w:p w14:paraId="34A277AF" w14:textId="33D0C270" w:rsidR="00447F39" w:rsidRDefault="00447F39">
      <w:r>
        <w:rPr>
          <w:sz w:val="20"/>
          <w:szCs w:val="20"/>
          <w:highlight w:val="white"/>
        </w:rPr>
        <w:t>“For prolapse, 5 drops [of tincture] 3 times per day in a little water. Continue taking for a few days after everything has moved back into place.”</w:t>
      </w:r>
      <w:r w:rsidR="00D75E1D" w:rsidRPr="00D75E1D">
        <w:rPr>
          <w:sz w:val="20"/>
          <w:szCs w:val="20"/>
          <w:vertAlign w:val="superscript"/>
        </w:rPr>
        <w:t xml:space="preserve"> </w:t>
      </w:r>
      <w:r w:rsidR="00D75E1D" w:rsidRPr="00D75E1D">
        <w:rPr>
          <w:sz w:val="20"/>
          <w:szCs w:val="20"/>
          <w:vertAlign w:val="superscript"/>
        </w:rPr>
        <w:t>2</w:t>
      </w:r>
    </w:p>
    <w:p w14:paraId="57D63982" w14:textId="77777777" w:rsidR="00447F39" w:rsidRDefault="00447F39"/>
    <w:p w14:paraId="50690E43" w14:textId="77777777" w:rsidR="00447F39" w:rsidRDefault="00447F39">
      <w:r>
        <w:rPr>
          <w:b/>
          <w:sz w:val="20"/>
          <w:szCs w:val="20"/>
        </w:rPr>
        <w:t>Harvest:</w:t>
      </w:r>
      <w:r>
        <w:rPr>
          <w:sz w:val="20"/>
          <w:szCs w:val="20"/>
        </w:rPr>
        <w:t xml:space="preserve"> Best if harvested in summer for tincture. Can be harvested all year round.</w:t>
      </w:r>
    </w:p>
    <w:p w14:paraId="6954F89A" w14:textId="77777777" w:rsidR="00447F39" w:rsidRDefault="00447F39"/>
    <w:p w14:paraId="7BD22B18" w14:textId="5B8DD10F" w:rsidR="00447F39" w:rsidRDefault="00447F39">
      <w:r>
        <w:rPr>
          <w:b/>
          <w:sz w:val="20"/>
          <w:szCs w:val="20"/>
        </w:rPr>
        <w:t>Taste:</w:t>
      </w:r>
      <w:r>
        <w:rPr>
          <w:sz w:val="20"/>
          <w:szCs w:val="20"/>
        </w:rPr>
        <w:t xml:space="preserve"> Seeds taste peppery. In Japan shepherd’s purse is used to flavor rice.</w:t>
      </w:r>
      <w:r w:rsidR="00D75E1D" w:rsidRPr="00D75E1D">
        <w:rPr>
          <w:sz w:val="20"/>
          <w:szCs w:val="20"/>
          <w:vertAlign w:val="superscript"/>
        </w:rPr>
        <w:t xml:space="preserve"> </w:t>
      </w:r>
      <w:r w:rsidR="00D75E1D" w:rsidRPr="00D75E1D">
        <w:rPr>
          <w:sz w:val="20"/>
          <w:szCs w:val="20"/>
          <w:vertAlign w:val="superscript"/>
        </w:rPr>
        <w:t>2</w:t>
      </w:r>
    </w:p>
    <w:p w14:paraId="48CC4149" w14:textId="77777777" w:rsidR="00447F39" w:rsidRDefault="00447F39"/>
    <w:p w14:paraId="5EF17A3D" w14:textId="77777777" w:rsidR="00447F39" w:rsidRDefault="00447F39"/>
    <w:p w14:paraId="70EB6580" w14:textId="77777777" w:rsidR="00447F39" w:rsidRDefault="00447F39">
      <w:r>
        <w:rPr>
          <w:b/>
          <w:sz w:val="20"/>
          <w:szCs w:val="20"/>
        </w:rPr>
        <w:t xml:space="preserve">Flower Essence: </w:t>
      </w:r>
      <w:r>
        <w:rPr>
          <w:sz w:val="20"/>
          <w:szCs w:val="20"/>
        </w:rPr>
        <w:t>My research uncovered 2 very different flower essence descriptions for shepherd’s purse:</w:t>
      </w:r>
      <w:r>
        <w:rPr>
          <w:b/>
          <w:sz w:val="20"/>
          <w:szCs w:val="20"/>
        </w:rPr>
        <w:br/>
      </w:r>
    </w:p>
    <w:p w14:paraId="11A1DC8F" w14:textId="77777777" w:rsidR="00447F39" w:rsidRDefault="00447F39">
      <w:r>
        <w:rPr>
          <w:sz w:val="20"/>
          <w:szCs w:val="20"/>
          <w:highlight w:val="white"/>
        </w:rPr>
        <w:t>“Personal power - shepherd's purse is for the person who gives too much of themselves, especially their creative talents, to other people or to causes. Shepherd's purse teaches these souls to conserve the energy necessary for their soul journey. Maintaining a healthier expenditure of energy makes room for new creative talents to emerge that are of true benefit to the community.”</w:t>
      </w:r>
    </w:p>
    <w:p w14:paraId="09971393" w14:textId="77777777" w:rsidR="00447F39" w:rsidRDefault="00447F39"/>
    <w:p w14:paraId="03D695AB" w14:textId="77777777" w:rsidR="00447F39" w:rsidRDefault="00447F39">
      <w:r>
        <w:rPr>
          <w:sz w:val="20"/>
          <w:szCs w:val="20"/>
          <w:highlight w:val="white"/>
        </w:rPr>
        <w:t xml:space="preserve">“Fertility, supporting feminine cycles. Shepherd’s purse flower essence is related to the soul quality of fertility and feminine energy. It is useful for soothing the fear and negative emotions associated with various phases of the menstrual cycle.” </w:t>
      </w:r>
    </w:p>
    <w:p w14:paraId="5A387B7D" w14:textId="77777777" w:rsidR="00447F39" w:rsidRDefault="00447F39"/>
    <w:p w14:paraId="43E6575B" w14:textId="627F01DE" w:rsidR="00447F39" w:rsidRDefault="00447F39">
      <w:r>
        <w:rPr>
          <w:b/>
          <w:sz w:val="20"/>
          <w:szCs w:val="20"/>
        </w:rPr>
        <w:t xml:space="preserve">Combines: </w:t>
      </w:r>
      <w:r>
        <w:rPr>
          <w:sz w:val="20"/>
          <w:szCs w:val="20"/>
        </w:rPr>
        <w:t>Hawthorn and lime blossom (for high blood pressure). 5 parts hawthorn, 3 parts lime blossom and 2 parts shepherd’s purse.</w:t>
      </w:r>
      <w:r w:rsidR="00D75E1D" w:rsidRPr="00D75E1D">
        <w:rPr>
          <w:sz w:val="20"/>
          <w:szCs w:val="20"/>
          <w:vertAlign w:val="superscript"/>
        </w:rPr>
        <w:t xml:space="preserve"> </w:t>
      </w:r>
      <w:r w:rsidR="00D75E1D" w:rsidRPr="00D75E1D">
        <w:rPr>
          <w:sz w:val="20"/>
          <w:szCs w:val="20"/>
          <w:vertAlign w:val="superscript"/>
        </w:rPr>
        <w:t>2</w:t>
      </w:r>
    </w:p>
    <w:p w14:paraId="76B21BF1" w14:textId="77777777" w:rsidR="00447F39" w:rsidRDefault="00447F39"/>
    <w:p w14:paraId="29E6DD3F" w14:textId="77777777" w:rsidR="00447F39" w:rsidRDefault="00447F39">
      <w:proofErr w:type="gramStart"/>
      <w:r>
        <w:rPr>
          <w:sz w:val="20"/>
          <w:szCs w:val="20"/>
        </w:rPr>
        <w:t xml:space="preserve">Blue cohosh and </w:t>
      </w:r>
      <w:proofErr w:type="spellStart"/>
      <w:r>
        <w:rPr>
          <w:sz w:val="20"/>
          <w:szCs w:val="20"/>
        </w:rPr>
        <w:t>capsella</w:t>
      </w:r>
      <w:proofErr w:type="spellEnd"/>
      <w:r>
        <w:rPr>
          <w:sz w:val="20"/>
          <w:szCs w:val="20"/>
        </w:rPr>
        <w:t xml:space="preserve"> (postpartum bleeding).</w:t>
      </w:r>
      <w:proofErr w:type="gramEnd"/>
    </w:p>
    <w:p w14:paraId="18C2748F" w14:textId="77777777" w:rsidR="00447F39" w:rsidRDefault="00447F39"/>
    <w:p w14:paraId="76FE4E0A" w14:textId="77777777" w:rsidR="00447F39" w:rsidRDefault="00447F39"/>
    <w:p w14:paraId="1504C966" w14:textId="6B050294" w:rsidR="00447F39" w:rsidRDefault="00447F39">
      <w:r>
        <w:rPr>
          <w:b/>
          <w:sz w:val="20"/>
          <w:szCs w:val="20"/>
        </w:rPr>
        <w:t xml:space="preserve">Pulses: </w:t>
      </w:r>
      <w:r>
        <w:rPr>
          <w:sz w:val="20"/>
          <w:szCs w:val="20"/>
        </w:rPr>
        <w:t>“</w:t>
      </w:r>
      <w:r>
        <w:rPr>
          <w:color w:val="333333"/>
          <w:sz w:val="20"/>
          <w:szCs w:val="20"/>
          <w:highlight w:val="white"/>
        </w:rPr>
        <w:t xml:space="preserve">To check bleeding, shepherd’s Purse tincture works best in a pulse dosing pattern. That means you take it frequently in smaller doses. I usually recommend 1 </w:t>
      </w:r>
      <w:proofErr w:type="spellStart"/>
      <w:r>
        <w:rPr>
          <w:color w:val="333333"/>
          <w:sz w:val="20"/>
          <w:szCs w:val="20"/>
          <w:highlight w:val="white"/>
        </w:rPr>
        <w:t>dropperful</w:t>
      </w:r>
      <w:proofErr w:type="spellEnd"/>
      <w:r>
        <w:rPr>
          <w:color w:val="333333"/>
          <w:sz w:val="20"/>
          <w:szCs w:val="20"/>
          <w:highlight w:val="white"/>
        </w:rPr>
        <w:t xml:space="preserve"> (1mL or 30 drops of the tincture) every 10 minutes until bleeding slows or stops (usually within an hour). Then you can do it every hour or two to maintain the results if you still require it. For uterine bleeding from fibroids or a heavy period you may start with this pulse dosing pattern for an hour and then take 1 </w:t>
      </w:r>
      <w:proofErr w:type="spellStart"/>
      <w:r>
        <w:rPr>
          <w:color w:val="333333"/>
          <w:sz w:val="20"/>
          <w:szCs w:val="20"/>
          <w:highlight w:val="white"/>
        </w:rPr>
        <w:t>dropperful</w:t>
      </w:r>
      <w:proofErr w:type="spellEnd"/>
      <w:r>
        <w:rPr>
          <w:color w:val="333333"/>
          <w:sz w:val="20"/>
          <w:szCs w:val="20"/>
          <w:highlight w:val="white"/>
        </w:rPr>
        <w:t xml:space="preserve"> 4 times a day for the rest of your period.”</w:t>
      </w:r>
      <w:r w:rsidR="00D75E1D" w:rsidRPr="00D75E1D">
        <w:rPr>
          <w:color w:val="333333"/>
          <w:sz w:val="20"/>
          <w:szCs w:val="20"/>
          <w:vertAlign w:val="superscript"/>
        </w:rPr>
        <w:t>3</w:t>
      </w:r>
    </w:p>
    <w:p w14:paraId="73AF19F4" w14:textId="77777777" w:rsidR="00422465" w:rsidRDefault="00422465"/>
    <w:p w14:paraId="1F83A5EC" w14:textId="77777777" w:rsidR="00422465" w:rsidRDefault="00254A93">
      <w:r>
        <w:rPr>
          <w:b/>
          <w:sz w:val="20"/>
          <w:szCs w:val="20"/>
        </w:rPr>
        <w:t xml:space="preserve">Contra-indications: </w:t>
      </w:r>
    </w:p>
    <w:p w14:paraId="18810104" w14:textId="77777777" w:rsidR="00422465" w:rsidRDefault="00254A93">
      <w:r>
        <w:rPr>
          <w:sz w:val="20"/>
          <w:szCs w:val="20"/>
          <w:highlight w:val="white"/>
        </w:rPr>
        <w:t xml:space="preserve">Kidney Stones - “Shepherd's purse contains chemical compounds called oxalates, which can form </w:t>
      </w:r>
      <w:hyperlink r:id="rId23">
        <w:r>
          <w:rPr>
            <w:sz w:val="20"/>
            <w:szCs w:val="20"/>
            <w:highlight w:val="white"/>
          </w:rPr>
          <w:t>kidney</w:t>
        </w:r>
      </w:hyperlink>
      <w:r>
        <w:rPr>
          <w:sz w:val="20"/>
          <w:szCs w:val="20"/>
          <w:highlight w:val="white"/>
        </w:rPr>
        <w:t xml:space="preserve"> stones (nephrolithiasis)</w:t>
      </w:r>
      <w:proofErr w:type="gramStart"/>
      <w:r>
        <w:rPr>
          <w:sz w:val="20"/>
          <w:szCs w:val="20"/>
          <w:highlight w:val="white"/>
        </w:rPr>
        <w:t>..</w:t>
      </w:r>
      <w:proofErr w:type="gramEnd"/>
      <w:r>
        <w:rPr>
          <w:sz w:val="20"/>
          <w:szCs w:val="20"/>
          <w:highlight w:val="white"/>
        </w:rPr>
        <w:t xml:space="preserve"> If you have had </w:t>
      </w:r>
      <w:hyperlink r:id="rId24">
        <w:r>
          <w:rPr>
            <w:sz w:val="20"/>
            <w:szCs w:val="20"/>
            <w:highlight w:val="white"/>
          </w:rPr>
          <w:t>kidney stones</w:t>
        </w:r>
      </w:hyperlink>
      <w:r>
        <w:rPr>
          <w:sz w:val="20"/>
          <w:szCs w:val="20"/>
          <w:highlight w:val="white"/>
        </w:rPr>
        <w:t xml:space="preserve"> in the past, it’s best to avoid using shepherd's purse.”</w:t>
      </w:r>
    </w:p>
    <w:p w14:paraId="2810A55C" w14:textId="77777777" w:rsidR="00422465" w:rsidRDefault="00422465"/>
    <w:p w14:paraId="21A48906" w14:textId="77777777" w:rsidR="00422465" w:rsidRDefault="006F63A5">
      <w:hyperlink r:id="rId25">
        <w:r w:rsidR="00254A93">
          <w:rPr>
            <w:sz w:val="20"/>
            <w:szCs w:val="20"/>
            <w:highlight w:val="white"/>
          </w:rPr>
          <w:t>Thyroid</w:t>
        </w:r>
      </w:hyperlink>
      <w:r w:rsidR="00254A93">
        <w:rPr>
          <w:sz w:val="20"/>
          <w:szCs w:val="20"/>
          <w:highlight w:val="white"/>
        </w:rPr>
        <w:t xml:space="preserve"> Conditions - “Shepherd's purse might interfere with treatment for </w:t>
      </w:r>
      <w:hyperlink r:id="rId26">
        <w:r w:rsidR="00254A93">
          <w:rPr>
            <w:sz w:val="20"/>
            <w:szCs w:val="20"/>
            <w:highlight w:val="white"/>
          </w:rPr>
          <w:t>thyroid</w:t>
        </w:r>
      </w:hyperlink>
      <w:r w:rsidR="00254A93">
        <w:rPr>
          <w:sz w:val="20"/>
          <w:szCs w:val="20"/>
          <w:highlight w:val="white"/>
        </w:rPr>
        <w:t xml:space="preserve"> conditions.” </w:t>
      </w:r>
    </w:p>
    <w:p w14:paraId="40297369" w14:textId="77777777" w:rsidR="00422465" w:rsidRDefault="00422465"/>
    <w:p w14:paraId="113D60E2" w14:textId="77777777" w:rsidR="00422465" w:rsidRDefault="00254A93">
      <w:pPr>
        <w:rPr>
          <w:sz w:val="20"/>
          <w:szCs w:val="20"/>
        </w:rPr>
      </w:pPr>
      <w:r>
        <w:rPr>
          <w:sz w:val="20"/>
          <w:szCs w:val="20"/>
          <w:highlight w:val="white"/>
        </w:rPr>
        <w:t xml:space="preserve">Surgery - “Shepherd's purse can affect the central </w:t>
      </w:r>
      <w:hyperlink r:id="rId27">
        <w:r>
          <w:rPr>
            <w:sz w:val="20"/>
            <w:szCs w:val="20"/>
            <w:highlight w:val="white"/>
          </w:rPr>
          <w:t>nervous system</w:t>
        </w:r>
      </w:hyperlink>
      <w:r>
        <w:rPr>
          <w:sz w:val="20"/>
          <w:szCs w:val="20"/>
          <w:highlight w:val="white"/>
        </w:rPr>
        <w:t xml:space="preserve">. There is a concern that it might slow down the central nervous system’s activity too much when combined with anesthesia and other </w:t>
      </w:r>
      <w:hyperlink r:id="rId28">
        <w:r>
          <w:rPr>
            <w:sz w:val="20"/>
            <w:szCs w:val="20"/>
            <w:highlight w:val="white"/>
          </w:rPr>
          <w:t>medications</w:t>
        </w:r>
      </w:hyperlink>
      <w:r>
        <w:rPr>
          <w:sz w:val="20"/>
          <w:szCs w:val="20"/>
          <w:highlight w:val="white"/>
        </w:rPr>
        <w:t xml:space="preserve"> used during and after surgery. Stop using shepherd's purse at least 2 weeks before a scheduled surgery.”</w:t>
      </w:r>
    </w:p>
    <w:p w14:paraId="3D77883A" w14:textId="77777777" w:rsidR="00D75E1D" w:rsidRDefault="00D75E1D">
      <w:pPr>
        <w:rPr>
          <w:sz w:val="20"/>
          <w:szCs w:val="20"/>
        </w:rPr>
      </w:pPr>
    </w:p>
    <w:p w14:paraId="33DCA188" w14:textId="77777777" w:rsidR="00D75E1D" w:rsidRDefault="00D75E1D">
      <w:pPr>
        <w:rPr>
          <w:sz w:val="20"/>
          <w:szCs w:val="20"/>
        </w:rPr>
      </w:pPr>
      <w:bookmarkStart w:id="0" w:name="_GoBack"/>
      <w:bookmarkEnd w:id="0"/>
    </w:p>
    <w:p w14:paraId="322DB327" w14:textId="77777777" w:rsidR="00D75E1D" w:rsidRDefault="00D75E1D">
      <w:pPr>
        <w:rPr>
          <w:sz w:val="20"/>
          <w:szCs w:val="20"/>
        </w:rPr>
      </w:pPr>
    </w:p>
    <w:p w14:paraId="1E3EA35B" w14:textId="77777777" w:rsidR="00D75E1D" w:rsidRDefault="00D75E1D"/>
    <w:p w14:paraId="5EFA1D0C" w14:textId="1F828F45" w:rsidR="00422465" w:rsidRPr="006F63A5" w:rsidRDefault="00422465">
      <w:pPr>
        <w:jc w:val="center"/>
        <w:rPr>
          <w:sz w:val="20"/>
          <w:szCs w:val="20"/>
        </w:rPr>
      </w:pPr>
    </w:p>
    <w:p w14:paraId="034E5446" w14:textId="13DC9DD7" w:rsidR="00D75E1D" w:rsidRPr="006F63A5" w:rsidRDefault="00D75E1D" w:rsidP="00D75E1D">
      <w:pPr>
        <w:rPr>
          <w:sz w:val="20"/>
          <w:szCs w:val="20"/>
        </w:rPr>
      </w:pPr>
      <w:proofErr w:type="gramStart"/>
      <w:r w:rsidRPr="006F63A5">
        <w:rPr>
          <w:sz w:val="20"/>
          <w:szCs w:val="20"/>
          <w:vertAlign w:val="superscript"/>
        </w:rPr>
        <w:t xml:space="preserve">1  </w:t>
      </w:r>
      <w:r w:rsidRPr="006F63A5">
        <w:rPr>
          <w:sz w:val="20"/>
          <w:szCs w:val="20"/>
        </w:rPr>
        <w:t>http</w:t>
      </w:r>
      <w:proofErr w:type="gramEnd"/>
      <w:r w:rsidRPr="006F63A5">
        <w:rPr>
          <w:sz w:val="20"/>
          <w:szCs w:val="20"/>
        </w:rPr>
        <w:t>://www.herballegacy.com/Ray_Dosages.html</w:t>
      </w:r>
    </w:p>
    <w:p w14:paraId="6F03AED5" w14:textId="43034C72" w:rsidR="00D75E1D" w:rsidRPr="006F63A5" w:rsidRDefault="00D75E1D" w:rsidP="00D75E1D">
      <w:pPr>
        <w:rPr>
          <w:sz w:val="20"/>
          <w:szCs w:val="20"/>
        </w:rPr>
      </w:pPr>
      <w:proofErr w:type="gramStart"/>
      <w:r w:rsidRPr="006F63A5">
        <w:rPr>
          <w:sz w:val="20"/>
          <w:szCs w:val="20"/>
          <w:vertAlign w:val="superscript"/>
        </w:rPr>
        <w:t>2</w:t>
      </w:r>
      <w:r w:rsidRPr="006F63A5">
        <w:rPr>
          <w:sz w:val="20"/>
          <w:szCs w:val="20"/>
          <w:vertAlign w:val="superscript"/>
        </w:rPr>
        <w:t xml:space="preserve"> </w:t>
      </w:r>
      <w:r w:rsidRPr="006F63A5">
        <w:rPr>
          <w:sz w:val="20"/>
          <w:szCs w:val="20"/>
          <w:vertAlign w:val="superscript"/>
        </w:rPr>
        <w:t xml:space="preserve"> </w:t>
      </w:r>
      <w:proofErr w:type="spellStart"/>
      <w:r w:rsidRPr="006F63A5">
        <w:rPr>
          <w:sz w:val="20"/>
          <w:szCs w:val="20"/>
        </w:rPr>
        <w:t>Bruton</w:t>
      </w:r>
      <w:proofErr w:type="spellEnd"/>
      <w:proofErr w:type="gramEnd"/>
      <w:r w:rsidRPr="006F63A5">
        <w:rPr>
          <w:sz w:val="20"/>
          <w:szCs w:val="20"/>
        </w:rPr>
        <w:t>-Seal, Julie and Seal, Matthew. Backyard Medicine: Harvest and Make Your Own Herbal Remedies. New York, New York. 2009.</w:t>
      </w:r>
    </w:p>
    <w:p w14:paraId="36B40F85" w14:textId="24DB888A" w:rsidR="00D75E1D" w:rsidRPr="006F63A5" w:rsidRDefault="00D75E1D" w:rsidP="00D75E1D">
      <w:pPr>
        <w:rPr>
          <w:sz w:val="20"/>
          <w:szCs w:val="20"/>
        </w:rPr>
      </w:pPr>
      <w:r w:rsidRPr="006F63A5">
        <w:rPr>
          <w:sz w:val="20"/>
          <w:szCs w:val="20"/>
          <w:vertAlign w:val="superscript"/>
        </w:rPr>
        <w:t>3</w:t>
      </w:r>
      <w:r w:rsidRPr="006F63A5">
        <w:rPr>
          <w:sz w:val="20"/>
          <w:szCs w:val="20"/>
        </w:rPr>
        <w:t xml:space="preserve"> </w:t>
      </w:r>
      <w:r w:rsidRPr="006F63A5">
        <w:rPr>
          <w:sz w:val="20"/>
          <w:szCs w:val="20"/>
        </w:rPr>
        <w:t>https://theradiclereview.com/tag/shepherds-purse-tincture/</w:t>
      </w:r>
    </w:p>
    <w:p w14:paraId="75BDA1F5" w14:textId="77777777" w:rsidR="00D75E1D" w:rsidRDefault="00D75E1D" w:rsidP="00D75E1D"/>
    <w:sectPr w:rsidR="00D75E1D">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2307D" w14:textId="77777777" w:rsidR="00254A93" w:rsidRDefault="00254A93">
      <w:pPr>
        <w:spacing w:line="240" w:lineRule="auto"/>
      </w:pPr>
      <w:r>
        <w:separator/>
      </w:r>
    </w:p>
  </w:endnote>
  <w:endnote w:type="continuationSeparator" w:id="0">
    <w:p w14:paraId="1FF56B96" w14:textId="77777777" w:rsidR="00254A93" w:rsidRDefault="00254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 w:name="DengXian">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75BC3" w14:textId="77777777" w:rsidR="00422465" w:rsidRDefault="00254A93">
    <w:pPr>
      <w:jc w:val="right"/>
    </w:pPr>
    <w:r>
      <w:fldChar w:fldCharType="begin"/>
    </w:r>
    <w:r>
      <w:instrText>PAGE</w:instrText>
    </w:r>
    <w:r>
      <w:fldChar w:fldCharType="separate"/>
    </w:r>
    <w:r w:rsidR="006F63A5">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2579C" w14:textId="77777777" w:rsidR="00254A93" w:rsidRDefault="00254A93">
      <w:pPr>
        <w:spacing w:line="240" w:lineRule="auto"/>
      </w:pPr>
      <w:r>
        <w:separator/>
      </w:r>
    </w:p>
  </w:footnote>
  <w:footnote w:type="continuationSeparator" w:id="0">
    <w:p w14:paraId="3EBB8671" w14:textId="77777777" w:rsidR="00254A93" w:rsidRDefault="00254A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D6728" w14:textId="77777777" w:rsidR="00422465" w:rsidRDefault="00254A93">
    <w:pPr>
      <w:jc w:val="right"/>
    </w:pPr>
    <w:proofErr w:type="spellStart"/>
    <w:r>
      <w:rPr>
        <w:sz w:val="18"/>
        <w:szCs w:val="18"/>
      </w:rPr>
      <w:t>Marija</w:t>
    </w:r>
    <w:proofErr w:type="spellEnd"/>
    <w:r>
      <w:rPr>
        <w:sz w:val="18"/>
        <w:szCs w:val="18"/>
      </w:rPr>
      <w:t xml:space="preserve"> </w:t>
    </w:r>
    <w:proofErr w:type="spellStart"/>
    <w:r>
      <w:rPr>
        <w:sz w:val="18"/>
        <w:szCs w:val="18"/>
      </w:rPr>
      <w:t>Linjacki-Hamed</w:t>
    </w:r>
    <w:proofErr w:type="spellEnd"/>
    <w:r>
      <w:rPr>
        <w:sz w:val="18"/>
        <w:szCs w:val="18"/>
      </w:rPr>
      <w:t>, 06/15/16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5E56"/>
    <w:multiLevelType w:val="multilevel"/>
    <w:tmpl w:val="94AE5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465"/>
    <w:rsid w:val="000565EE"/>
    <w:rsid w:val="00254A93"/>
    <w:rsid w:val="00422465"/>
    <w:rsid w:val="00447F39"/>
    <w:rsid w:val="006F63A5"/>
    <w:rsid w:val="00D7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A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47F3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39"/>
    <w:rPr>
      <w:rFonts w:ascii="Lucida Grande" w:hAnsi="Lucida Grande" w:cs="Lucida Grande"/>
      <w:sz w:val="18"/>
      <w:szCs w:val="18"/>
    </w:rPr>
  </w:style>
  <w:style w:type="paragraph" w:styleId="EndnoteText">
    <w:name w:val="endnote text"/>
    <w:basedOn w:val="Normal"/>
    <w:link w:val="EndnoteTextChar"/>
    <w:uiPriority w:val="99"/>
    <w:unhideWhenUsed/>
    <w:rsid w:val="00447F39"/>
    <w:pPr>
      <w:spacing w:line="240" w:lineRule="auto"/>
    </w:pPr>
    <w:rPr>
      <w:sz w:val="24"/>
      <w:szCs w:val="24"/>
    </w:rPr>
  </w:style>
  <w:style w:type="character" w:customStyle="1" w:styleId="EndnoteTextChar">
    <w:name w:val="Endnote Text Char"/>
    <w:basedOn w:val="DefaultParagraphFont"/>
    <w:link w:val="EndnoteText"/>
    <w:uiPriority w:val="99"/>
    <w:rsid w:val="00447F39"/>
    <w:rPr>
      <w:sz w:val="24"/>
      <w:szCs w:val="24"/>
    </w:rPr>
  </w:style>
  <w:style w:type="paragraph" w:styleId="FootnoteText">
    <w:name w:val="footnote text"/>
    <w:basedOn w:val="Normal"/>
    <w:link w:val="FootnoteTextChar"/>
    <w:uiPriority w:val="99"/>
    <w:semiHidden/>
    <w:unhideWhenUsed/>
    <w:rsid w:val="00447F39"/>
    <w:pPr>
      <w:spacing w:line="240" w:lineRule="auto"/>
    </w:pPr>
    <w:rPr>
      <w:sz w:val="24"/>
      <w:szCs w:val="24"/>
    </w:rPr>
  </w:style>
  <w:style w:type="character" w:customStyle="1" w:styleId="FootnoteTextChar">
    <w:name w:val="Footnote Text Char"/>
    <w:basedOn w:val="DefaultParagraphFont"/>
    <w:link w:val="FootnoteText"/>
    <w:uiPriority w:val="99"/>
    <w:semiHidden/>
    <w:rsid w:val="00447F39"/>
    <w:rPr>
      <w:sz w:val="24"/>
      <w:szCs w:val="24"/>
    </w:rPr>
  </w:style>
  <w:style w:type="character" w:styleId="EndnoteReference">
    <w:name w:val="endnote reference"/>
    <w:basedOn w:val="DefaultParagraphFont"/>
    <w:uiPriority w:val="99"/>
    <w:unhideWhenUsed/>
    <w:rsid w:val="00447F39"/>
    <w:rPr>
      <w:vertAlign w:val="superscript"/>
    </w:rPr>
  </w:style>
  <w:style w:type="character" w:styleId="FootnoteReference">
    <w:name w:val="footnote reference"/>
    <w:basedOn w:val="DefaultParagraphFont"/>
    <w:uiPriority w:val="99"/>
    <w:semiHidden/>
    <w:unhideWhenUsed/>
    <w:rsid w:val="00447F3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47F3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39"/>
    <w:rPr>
      <w:rFonts w:ascii="Lucida Grande" w:hAnsi="Lucida Grande" w:cs="Lucida Grande"/>
      <w:sz w:val="18"/>
      <w:szCs w:val="18"/>
    </w:rPr>
  </w:style>
  <w:style w:type="paragraph" w:styleId="EndnoteText">
    <w:name w:val="endnote text"/>
    <w:basedOn w:val="Normal"/>
    <w:link w:val="EndnoteTextChar"/>
    <w:uiPriority w:val="99"/>
    <w:unhideWhenUsed/>
    <w:rsid w:val="00447F39"/>
    <w:pPr>
      <w:spacing w:line="240" w:lineRule="auto"/>
    </w:pPr>
    <w:rPr>
      <w:sz w:val="24"/>
      <w:szCs w:val="24"/>
    </w:rPr>
  </w:style>
  <w:style w:type="character" w:customStyle="1" w:styleId="EndnoteTextChar">
    <w:name w:val="Endnote Text Char"/>
    <w:basedOn w:val="DefaultParagraphFont"/>
    <w:link w:val="EndnoteText"/>
    <w:uiPriority w:val="99"/>
    <w:rsid w:val="00447F39"/>
    <w:rPr>
      <w:sz w:val="24"/>
      <w:szCs w:val="24"/>
    </w:rPr>
  </w:style>
  <w:style w:type="paragraph" w:styleId="FootnoteText">
    <w:name w:val="footnote text"/>
    <w:basedOn w:val="Normal"/>
    <w:link w:val="FootnoteTextChar"/>
    <w:uiPriority w:val="99"/>
    <w:semiHidden/>
    <w:unhideWhenUsed/>
    <w:rsid w:val="00447F39"/>
    <w:pPr>
      <w:spacing w:line="240" w:lineRule="auto"/>
    </w:pPr>
    <w:rPr>
      <w:sz w:val="24"/>
      <w:szCs w:val="24"/>
    </w:rPr>
  </w:style>
  <w:style w:type="character" w:customStyle="1" w:styleId="FootnoteTextChar">
    <w:name w:val="Footnote Text Char"/>
    <w:basedOn w:val="DefaultParagraphFont"/>
    <w:link w:val="FootnoteText"/>
    <w:uiPriority w:val="99"/>
    <w:semiHidden/>
    <w:rsid w:val="00447F39"/>
    <w:rPr>
      <w:sz w:val="24"/>
      <w:szCs w:val="24"/>
    </w:rPr>
  </w:style>
  <w:style w:type="character" w:styleId="EndnoteReference">
    <w:name w:val="endnote reference"/>
    <w:basedOn w:val="DefaultParagraphFont"/>
    <w:uiPriority w:val="99"/>
    <w:unhideWhenUsed/>
    <w:rsid w:val="00447F39"/>
    <w:rPr>
      <w:vertAlign w:val="superscript"/>
    </w:rPr>
  </w:style>
  <w:style w:type="character" w:styleId="FootnoteReference">
    <w:name w:val="footnote reference"/>
    <w:basedOn w:val="DefaultParagraphFont"/>
    <w:uiPriority w:val="99"/>
    <w:semiHidden/>
    <w:unhideWhenUsed/>
    <w:rsid w:val="00447F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ebmd.com/pain-management/muscle-spasms-cramps-charley-horse" TargetMode="External"/><Relationship Id="rId20" Type="http://schemas.openxmlformats.org/officeDocument/2006/relationships/hyperlink" Target="http://www.anniesremedy.com/chart.php?prop_ID=23" TargetMode="External"/><Relationship Id="rId21" Type="http://schemas.openxmlformats.org/officeDocument/2006/relationships/hyperlink" Target="http://www.anniesremedy.com/chart.php?prop_ID=29" TargetMode="External"/><Relationship Id="rId22" Type="http://schemas.openxmlformats.org/officeDocument/2006/relationships/hyperlink" Target="http://www.anniesremedy.com/chart.php?prop_ID=65" TargetMode="External"/><Relationship Id="rId23" Type="http://schemas.openxmlformats.org/officeDocument/2006/relationships/hyperlink" Target="http://www.webmd.com/urinary-incontinence-oab/picture-of-the-kidneys" TargetMode="External"/><Relationship Id="rId24" Type="http://schemas.openxmlformats.org/officeDocument/2006/relationships/hyperlink" Target="http://www.webmd.com/kidney-stones/ss/slideshow-kidney-stones-overview" TargetMode="External"/><Relationship Id="rId25" Type="http://schemas.openxmlformats.org/officeDocument/2006/relationships/hyperlink" Target="http://www.webmd.com/women/ss/slideshow-thyroid-symptoms-and-solutions" TargetMode="External"/><Relationship Id="rId26" Type="http://schemas.openxmlformats.org/officeDocument/2006/relationships/hyperlink" Target="http://www.webmd.com/women/rm-quiz-thyroid-problem" TargetMode="External"/><Relationship Id="rId27" Type="http://schemas.openxmlformats.org/officeDocument/2006/relationships/hyperlink" Target="http://www.webmd.com/brain/default.htm" TargetMode="External"/><Relationship Id="rId28" Type="http://schemas.openxmlformats.org/officeDocument/2006/relationships/hyperlink" Target="http://www.webmd.com/drugs/index-drugs.aspx"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ebmd.com/heart-disease/heart-failure/default.htm" TargetMode="External"/><Relationship Id="rId11" Type="http://schemas.openxmlformats.org/officeDocument/2006/relationships/hyperlink" Target="http://www.webmd.com/heart-disease/heart-failure/default.htm" TargetMode="External"/><Relationship Id="rId12" Type="http://schemas.openxmlformats.org/officeDocument/2006/relationships/hyperlink" Target="http://www.webmd.com/heart/understanding-low-blood-pressure-basics" TargetMode="External"/><Relationship Id="rId13" Type="http://schemas.openxmlformats.org/officeDocument/2006/relationships/hyperlink" Target="http://www.webmd.com/heart-disease/rm-quiz-know-heart" TargetMode="External"/><Relationship Id="rId14" Type="http://schemas.openxmlformats.org/officeDocument/2006/relationships/hyperlink" Target="http://www.webmd.com/heart-disease/rm-quiz-know-heart" TargetMode="External"/><Relationship Id="rId15" Type="http://schemas.openxmlformats.org/officeDocument/2006/relationships/hyperlink" Target="http://www.anniesremedy.com/chart.php?prop_ID=107" TargetMode="External"/><Relationship Id="rId16" Type="http://schemas.openxmlformats.org/officeDocument/2006/relationships/hyperlink" Target="http://www.anniesremedy.com/chart.php?prop_ID=61" TargetMode="External"/><Relationship Id="rId17" Type="http://schemas.openxmlformats.org/officeDocument/2006/relationships/hyperlink" Target="http://www.anniesremedy.com/chart.php?prop_ID=11" TargetMode="External"/><Relationship Id="rId18" Type="http://schemas.openxmlformats.org/officeDocument/2006/relationships/hyperlink" Target="http://www.anniesremedy.com/chart.php?prop_ID=20" TargetMode="External"/><Relationship Id="rId19" Type="http://schemas.openxmlformats.org/officeDocument/2006/relationships/hyperlink" Target="http://www.anniesremedy.com/chart.php?prop_ID=2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1177</Words>
  <Characters>6711</Characters>
  <Application>Microsoft Macintosh Word</Application>
  <DocSecurity>0</DocSecurity>
  <Lines>55</Lines>
  <Paragraphs>15</Paragraphs>
  <ScaleCrop>false</ScaleCrop>
  <Company>Radcliffe Institute, Harvard University</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5</cp:revision>
  <dcterms:created xsi:type="dcterms:W3CDTF">2016-10-08T01:58:00Z</dcterms:created>
  <dcterms:modified xsi:type="dcterms:W3CDTF">2016-10-15T21:12:00Z</dcterms:modified>
</cp:coreProperties>
</file>