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VIDIASans-bold.ttf" ContentType="application/x-font-ttf"/>
  <Override PartName="/word/fonts/NVIDIASans-boldItalic.ttf" ContentType="application/x-font-ttf"/>
  <Override PartName="/word/fonts/NVIDIASans-italic.ttf" ContentType="application/x-font-ttf"/>
  <Override PartName="/word/fonts/NVIDIA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ag1mcvke39du" w:id="0"/>
      <w:bookmarkEnd w:id="0"/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lm80i57pvvk" w:id="1"/>
      <w:bookmarkEnd w:id="1"/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3">
      <w:pPr>
        <w:pStyle w:val="Title"/>
        <w:jc w:val="left"/>
        <w:rPr>
          <w:b w:val="1"/>
          <w:bCs w:val="1"/>
        </w:rPr>
      </w:pPr>
      <w:bookmarkStart w:colFirst="0" w:colLast="0" w:name="_6b3vxshju34t" w:id="2"/>
      <w:bookmarkEnd w:id="2"/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>
          <w:b w:val="1"/>
          <w:bCs w:val="1"/>
        </w:rPr>
      </w:pPr>
      <w:bookmarkStart w:colFirst="0" w:colLast="0" w:name="_3undd8x5dtf5" w:id="3"/>
      <w:bookmarkEnd w:id="3"/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0"/>
          <w:color w:val="000000"/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0"/>
          <w:color w:val="000000"/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120"/>
        <w:rPr/>
      </w:pPr>
      <w:bookmarkStart w:colFirst="0" w:colLast="0" w:name="_rnx02umdntgj" w:id="4"/>
      <w:bookmarkEnd w:id="4"/>
      <w:r w:rsidDel="00000000" w:rsidR="00000000" w:rsidRPr="00000000">
        <w:rPr>
          <w:b w:val="1"/>
          <w:bCs w:val="1"/>
          <w:color w:val="00000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962900" cy="288607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6124" l="0" r="0" t="5885"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2886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color w:val="000000"/>
        </w:rPr>
        <w:t>Nemotron learns to review code</w:t>
      </w:r>
    </w:p>
    <w:p w:rsidR="00000000" w:rsidDel="00000000" w:rsidP="00000000" w:rsidRDefault="00000000" w:rsidRPr="00000000" w14:paraId="00000008">
      <w:pPr>
        <w:pStyle w:val="Heading1"/>
        <w:spacing w:after="120"/>
        <w:rPr/>
      </w:pPr>
      <w:bookmarkStart w:colFirst="0" w:colLast="0" w:name="_sacz599sikav" w:id="5"/>
      <w:bookmarkEnd w:id="5"/>
      <w:r>
        <w:rPr>
          <w:i w:val="0"/>
          <w:color w:val="000000"/>
        </w:rPr>
        <w:t>depthfirst  |  Early RL step 5 to final step 200</w:t>
      </w:r>
    </w:p>
    <w:p w:rsidR="00000000" w:rsidDel="00000000" w:rsidP="00000000" w:rsidRDefault="00000000" w:rsidRPr="00000000" w14:paraId="00000009">
      <w:pPr>
        <w:pStyle w:val="Heading1"/>
        <w:spacing w:after="120"/>
        <w:rPr>
          <w:sz w:val="28"/>
          <w:szCs w:val="28"/>
        </w:rPr>
      </w:pPr>
      <w:bookmarkStart w:colFirst="0" w:colLast="0" w:name="_l56wdzz8j977" w:id="6"/>
      <w:bookmarkEnd w:id="6"/>
      <w:r>
        <w:rPr>
          <w:i w:val="0"/>
          <w:color w:val="000000"/>
        </w:rPr>
        <w:t>Demo Overview</w:t>
      </w:r>
    </w:p>
    <w:p w:rsidR="00000000" w:rsidDel="00000000" w:rsidP="00000000" w:rsidRDefault="00000000" w:rsidRPr="00000000" w14:paraId="0000000A">
      <w:pPr>
        <w:spacing w:after="120"/>
        <w:rPr/>
      </w:pPr>
      <w:bookmarkStart w:colFirst="0" w:colLast="0" w:name="_98wpftam43jm" w:id="7"/>
      <w:bookmarkEnd w:id="7"/>
      <w:r>
        <w:rPr>
          <w:i w:val="0"/>
          <w:color w:val="000000"/>
        </w:rPr>
        <w:t>Final RL earned more credit for known software defects. Three trace pairs show two misses becoming matches and one equally successful run using fewer tokens. Early step 5 was already trained. The untouched-model comparison is pending.</w:t>
      </w:r>
    </w:p>
    <w:p w:rsidR="00000000" w:rsidDel="00000000" w:rsidP="00000000" w:rsidRDefault="00000000" w:rsidRPr="00000000" w14:paraId="0000000C">
      <w:pPr>
        <w:spacing w:after="120"/>
        <w:rPr/>
      </w:pPr>
      <w:r>
        <w:rPr>
          <w:i w:val="0"/>
          <w:color w:val="000000"/>
        </w:rPr>
        <w:t>Mean reward  0.169 → 0.263     Full credit  10/80 → 20/80</w:t>
        <w:br/>
        <w:t>20 held-out cases, four attempts per checkpoint. Reward is graded credit, not accuracy.</w:t>
      </w:r>
    </w:p>
    <w:p w:rsidR="00000000" w:rsidDel="00000000" w:rsidP="00000000" w:rsidRDefault="00000000" w:rsidRPr="00000000" w14:paraId="0000000D">
      <w:pPr>
        <w:pStyle w:val="Heading1"/>
        <w:spacing w:after="120"/>
        <w:rPr/>
      </w:pPr>
      <w:bookmarkStart w:colFirst="0" w:colLast="0" w:name="_9ord0uxyvlh4" w:id="8"/>
      <w:bookmarkEnd w:id="8"/>
      <w:r>
        <w:rPr>
          <w:i w:val="0"/>
          <w:color w:val="000000"/>
        </w:rPr>
        <w:t>Key Visuals</w:t>
      </w:r>
    </w:p>
    <w:p w:rsidR="00000000" w:rsidDel="00000000" w:rsidP="00000000" w:rsidRDefault="00000000" w:rsidRPr="00000000" w14:paraId="0000000E">
      <w:pPr>
        <w:spacing w:after="120"/>
        <w:rPr>
          <w:b w:val="0"/>
          <w:bCs w:val="0"/>
          <w:i w:val="1"/>
          <w:iCs w:val="1"/>
          <w:color w:val="ff9900"/>
          <w:sz w:val="24"/>
          <w:szCs w:val="24"/>
          <w:highlight w:val="white"/>
        </w:rPr>
      </w:pPr>
      <w:bookmarkStart w:colFirst="0" w:colLast="0" w:name="_q5svriucwwnn" w:id="9"/>
      <w:bookmarkEnd w:id="9"/>
      <w:r>
        <w:rPr>
          <w:i w:val="0"/>
          <w:color w:val="000000"/>
        </w:rPr>
      </w:r>
      <w:r>
        <w:rPr>
          <w:i w:val="0"/>
          <w:color w:val="000000"/>
        </w:rPr>
        <w:drawing>
          <wp:inline>
            <wp:extent cx="3840480" cy="19707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-rew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7077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pStyle w:val="Heading1"/>
        <w:spacing w:after="120"/>
        <w:rPr/>
      </w:pPr>
      <w:bookmarkStart w:colFirst="0" w:colLast="0" w:name="_qm4cqwpaccol" w:id="10"/>
      <w:bookmarkEnd w:id="10"/>
      <w:r>
        <w:rPr>
          <w:i w:val="0"/>
          <w:color w:val="000000"/>
        </w:rPr>
        <w:t>Key Points</w:t>
      </w:r>
    </w:p>
    <w:p w:rsidR="00000000" w:rsidDel="00000000" w:rsidP="00000000" w:rsidRDefault="00000000" w:rsidRPr="00000000" w14:paraId="00000010">
      <w:pPr>
        <w:spacing w:after="120"/>
        <w:rPr/>
      </w:pPr>
      <w:bookmarkStart w:colFirst="0" w:colLast="0" w:name="_21xzyj1jsyge" w:id="11"/>
      <w:bookmarkEnd w:id="11"/>
      <w:r>
        <w:rPr>
          <w:i w:val="0"/>
          <w:color w:val="000000"/>
        </w:rPr>
        <w:t>The 95% reward-change interval [−0.009, +0.213] includes zero. Cases with positive reward fell from 9/20 to 7/20. Incomplete attempts fell from 18 to 6, reported separately.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20"/>
        <w:ind w:left="720" w:hanging="360"/>
      </w:pPr>
      <w:r>
        <w:rPr>
          <w:i w:val="0"/>
          <w:color w:val="000000"/>
        </w:rPr>
        <w:t xml:space="preserve">Inspect both traces side by side. </w:t>
      </w:r>
      <w:hyperlink r:id="rId8">
        <w:r>
          <w:rPr>
            <w:color w:val="006D5B"/>
            <w:u w:val="single"/>
          </w:rPr>
          <w:t>Open the interactive demo</w:t>
        </w:r>
      </w:hyperlink>
    </w:p>
    <w:p w:rsidR="00000000" w:rsidDel="00000000" w:rsidP="00000000" w:rsidRDefault="00000000" w:rsidRPr="00000000" w14:paraId="00000014">
      <w:pPr>
        <w:pStyle w:val="Heading1"/>
        <w:pageBreakBefore/>
        <w:spacing w:after="120"/>
        <w:rPr/>
      </w:pPr>
      <w:bookmarkStart w:colFirst="0" w:colLast="0" w:name="_9ju02bg9bxf8" w:id="12"/>
      <w:bookmarkEnd w:id="12"/>
      <w:r>
        <w:rPr>
          <w:i w:val="0"/>
          <w:color w:val="000000"/>
        </w:rPr>
        <w:t>Demo Presentation Script</w:t>
      </w:r>
    </w:p>
    <w:p w:rsidR="00000000" w:rsidDel="00000000" w:rsidP="00000000" w:rsidRDefault="00000000" w:rsidRPr="00000000" w14:paraId="00000015">
      <w:pPr>
        <w:spacing w:after="120"/>
        <w:rPr>
          <w:b w:val="0"/>
          <w:bCs w:val="0"/>
          <w:i w:val="1"/>
          <w:iCs w:val="1"/>
          <w:color w:val="0000ff"/>
        </w:rPr>
      </w:pPr>
      <w:bookmarkStart w:colFirst="0" w:colLast="0" w:name="_oapnavhfu8x1" w:id="13"/>
      <w:bookmarkEnd w:id="13"/>
      <w:r>
        <w:rPr>
          <w:i w:val="0"/>
          <w:color w:val="000000"/>
        </w:rPr>
        <w:t>Three minutes. Start with the score and its limits, then open the three paired examples. Each comparison shows what both runs read and what each reported.</w:t>
      </w:r>
    </w:p>
    <w:tbl>
      <w:tblPr>
        <w:tblStyle w:val="Table1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2700"/>
        <w:gridCol w:w="4590"/>
        <w:tblGridChange w:id="0">
          <w:tblGrid>
            <w:gridCol w:w="2580"/>
            <w:gridCol w:w="270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On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Talking points</w:t>
            </w:r>
          </w:p>
        </w:tc>
      </w:tr>
      <w:tr>
        <w:trPr>
          <w:cantSplit w:val="0"/>
          <w:trHeight w:val="619.8322147651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A server contacts the wrong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Icon fetching example</w:t>
            </w:r>
            <w:r>
              <w:br/>
            </w:r>
            <w:hyperlink r:id="rId9">
              <w:r>
                <w:rPr>
                  <w:color w:val="006D5B"/>
                  <w:u w:val="single"/>
                </w:rPr>
                <w:t>View both runs</w:t>
              </w:r>
            </w:hyperlink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Early RL reported a different XML issue. Final RL identified the risky icon fetch, and the checker matched it to the known defect.</w:t>
            </w:r>
          </w:p>
        </w:tc>
      </w:tr>
      <w:tr>
        <w:trPr>
          <w:cantSplit w:val="0"/>
          <w:trHeight w:val="672.58389261744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A permission boundary is 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Access control example</w:t>
            </w:r>
            <w:r>
              <w:br/>
            </w:r>
            <w:hyperlink r:id="rId10">
              <w:r>
                <w:rPr>
                  <w:color w:val="006D5B"/>
                  <w:u w:val="single"/>
                </w:rPr>
                <w:t>View both runs</w:t>
              </w:r>
            </w:hyperlink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Final RL identifies the known permission problem after the selected early run missed it. This is a report match, not a demonstrated attack.</w:t>
            </w:r>
          </w:p>
        </w:tc>
      </w:tr>
      <w:tr>
        <w:trPr>
          <w:cantSplit w:val="0"/>
          <w:trHeight w:val="672.58389261744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The same issue with less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Token efficiency example</w:t>
            </w:r>
            <w:r>
              <w:br/>
            </w:r>
            <w:hyperlink r:id="rId11">
              <w:r>
                <w:rPr>
                  <w:color w:val="006D5B"/>
                  <w:u w:val="single"/>
                </w:rPr>
                <w:t>View both runs</w:t>
              </w:r>
            </w:hyperlink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before="100"/>
            </w:pPr>
            <w:r>
              <w:rPr>
                <w:sz w:val="18"/>
              </w:rPr>
              <w:t>Both runs match the same object-property defect. Illustrative detector cost falls from $0.020219 to $0.002572, about 87.3% lower.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120"/>
        <w:rPr/>
      </w:pPr>
      <w:bookmarkStart w:colFirst="0" w:colLast="0" w:name="_36ojv6i9nxgc" w:id="14"/>
      <w:bookmarkEnd w:id="14"/>
      <w:r>
        <w:rPr>
          <w:i w:val="0"/>
          <w:color w:val="000000"/>
        </w:rPr>
        <w:t>References and Background</w:t>
      </w:r>
    </w:p>
    <w:p w:rsidR="00000000" w:rsidDel="00000000" w:rsidP="00000000" w:rsidRDefault="00000000" w:rsidRPr="00000000" w14:paraId="00000028">
      <w:pPr>
        <w:spacing w:after="120"/>
        <w:rPr/>
      </w:pPr>
      <w:bookmarkStart w:colFirst="0" w:colLast="0" w:name="_j2jdkgx84lmx" w:id="15"/>
      <w:bookmarkEnd w:id="15"/>
      <w:r>
        <w:rPr>
          <w:i w:val="0"/>
          <w:color w:val="000000"/>
        </w:rPr>
        <w:t>Original trace exports and model weights</w:t>
      </w:r>
    </w:p>
    <w:p w:rsidR="00000000" w:rsidDel="00000000" w:rsidP="00000000" w:rsidRDefault="00000000" w:rsidRPr="00000000" w14:paraId="00000029">
      <w:pPr>
        <w:spacing w:after="120"/>
        <w:rPr/>
      </w:pPr>
      <w:r>
        <w:rPr>
          <w:i w:val="0"/>
          <w:color w:val="000000"/>
        </w:rPr>
      </w:r>
      <w:hyperlink r:id="rId8">
        <w:r>
          <w:rPr>
            <w:color w:val="006D5B"/>
            <w:u w:val="single"/>
          </w:rPr>
          <w:t>Interactive results and paired traces</w:t>
        </w:r>
      </w:hyperlink>
      <w:r>
        <w:rPr>
          <w:i w:val="0"/>
          <w:color w:val="000000"/>
        </w:rPr>
        <w:br/>
      </w:r>
      <w:hyperlink r:id="rId12">
        <w:r>
          <w:rPr>
            <w:color w:val="006D5B"/>
            <w:u w:val="single"/>
          </w:rPr>
          <w:t>JSON trace folder on GitHub</w:t>
        </w:r>
      </w:hyperlink>
      <w:r>
        <w:rPr>
          <w:i w:val="0"/>
          <w:color w:val="000000"/>
        </w:rPr>
        <w:br/>
      </w:r>
      <w:hyperlink r:id="rId13">
        <w:r>
          <w:rPr>
            <w:color w:val="006D5B"/>
            <w:u w:val="single"/>
          </w:rPr>
          <w:t>RL final adapter on Hugging Face</w:t>
        </w:r>
      </w:hyperlink>
      <w:r>
        <w:rPr>
          <w:i w:val="0"/>
          <w:color w:val="000000"/>
        </w:rPr>
        <w:br/>
      </w:r>
      <w:hyperlink r:id="rId14">
        <w:r>
          <w:rPr>
            <w:color w:val="006D5B"/>
            <w:u w:val="single"/>
          </w:rPr>
          <w:t>Results and questions on GitHub</w:t>
        </w:r>
      </w:hyperlink>
    </w:p>
    <w:p w:rsidR="00000000" w:rsidDel="00000000" w:rsidP="00000000" w:rsidRDefault="00000000" w:rsidRPr="00000000" w14:paraId="0000002A">
      <w:pPr>
        <w:pStyle w:val="Heading1"/>
        <w:pageBreakBefore/>
        <w:spacing w:after="120"/>
        <w:rPr/>
      </w:pPr>
      <w:bookmarkStart w:colFirst="0" w:colLast="0" w:name="_7kgk5uxv5xz5" w:id="16"/>
      <w:bookmarkEnd w:id="16"/>
      <w:r>
        <w:rPr>
          <w:i w:val="0"/>
          <w:color w:val="000000"/>
        </w:rPr>
        <w:t>Demo Details</w:t>
      </w:r>
    </w:p>
    <w:p w:rsidR="00000000" w:rsidDel="00000000" w:rsidP="00000000" w:rsidRDefault="00000000" w:rsidRPr="00000000" w14:paraId="0000002B">
      <w:pPr>
        <w:pStyle w:val="Heading2"/>
        <w:spacing w:after="120"/>
        <w:rPr/>
      </w:pPr>
      <w:bookmarkStart w:colFirst="0" w:colLast="0" w:name="_gvig2mowukpn" w:id="17"/>
      <w:bookmarkEnd w:id="17"/>
      <w:r>
        <w:rPr>
          <w:i w:val="0"/>
          <w:color w:val="000000"/>
        </w:rPr>
        <w:t>NVIDIA Technologies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120"/>
        <w:ind w:left="720" w:hanging="360"/>
        <w:rPr>
          <w:u w:val="none"/>
        </w:rPr>
      </w:pPr>
      <w:r>
        <w:rPr>
          <w:i w:val="0"/>
          <w:color w:val="000000"/>
        </w:rPr>
        <w:t>NVIDIA Nemotron 3.5 Lightning 30B A3B BF16 base model.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120"/>
        <w:ind w:left="720" w:hanging="360"/>
        <w:rPr>
          <w:u w:val="none"/>
        </w:rPr>
      </w:pPr>
      <w:r>
        <w:rPr>
          <w:i w:val="0"/>
          <w:color w:val="000000"/>
        </w:rPr>
        <w:t>Final step 200 RL policy, exported as a 3.59 GB LoRA adapter. It requires the base model. Download access is manually approved on Hugging Face; inference is untested.</w:t>
      </w:r>
    </w:p>
    <w:p w:rsidR="00000000" w:rsidDel="00000000" w:rsidP="00000000" w:rsidRDefault="00000000" w:rsidRPr="00000000" w14:paraId="0000002F">
      <w:pPr>
        <w:pStyle w:val="Heading2"/>
        <w:spacing w:after="120"/>
        <w:rPr/>
      </w:pPr>
      <w:bookmarkStart w:colFirst="0" w:colLast="0" w:name="_6t1ycszei5eb" w:id="18"/>
      <w:bookmarkEnd w:id="18"/>
      <w:r>
        <w:rPr>
          <w:i w:val="0"/>
          <w:color w:val="000000"/>
        </w:rPr>
        <w:t>Software and Services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20"/>
        <w:ind w:left="720" w:hanging="360"/>
        <w:rPr>
          <w:u w:val="none"/>
        </w:rPr>
      </w:pPr>
      <w:r>
        <w:rPr>
          <w:i w:val="0"/>
          <w:color w:val="000000"/>
        </w:rPr>
        <w:t>depthfirst source-review workflow; Tinker checkpoint export; Hugging Face model hosting. The interactive site uses the cloned Amelia UI source.</w:t>
      </w:r>
    </w:p>
    <w:p w:rsidR="00000000" w:rsidDel="00000000" w:rsidP="00000000" w:rsidRDefault="00000000" w:rsidRPr="00000000" w14:paraId="00000032">
      <w:pPr>
        <w:pStyle w:val="Heading2"/>
        <w:spacing w:after="120"/>
        <w:rPr/>
      </w:pPr>
      <w:bookmarkStart w:colFirst="0" w:colLast="0" w:name="_nbu21yzfkzxh" w:id="19"/>
      <w:bookmarkEnd w:id="19"/>
      <w:r>
        <w:rPr>
          <w:i w:val="0"/>
          <w:color w:val="000000"/>
        </w:rPr>
        <w:t>Target Audience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20"/>
        <w:ind w:left="720" w:hanging="360"/>
        <w:rPr>
          <w:u w:val="none"/>
        </w:rPr>
      </w:pPr>
      <w:r>
        <w:rPr>
          <w:i w:val="0"/>
          <w:color w:val="000000"/>
        </w:rPr>
        <w:t>Visitors interested in model training, software quality and how agent behavior changes. No security background is needed to follow the paired examples.</w:t>
      </w:r>
    </w:p>
    <w:p w:rsidR="00000000" w:rsidDel="00000000" w:rsidP="00000000" w:rsidRDefault="00000000" w:rsidRPr="00000000" w14:paraId="00000034">
      <w:pPr>
        <w:pStyle w:val="Heading1"/>
        <w:spacing w:after="120"/>
        <w:rPr/>
      </w:pPr>
      <w:bookmarkStart w:colFirst="0" w:colLast="0" w:name="_fp8f372yo1lw" w:id="20"/>
      <w:bookmarkEnd w:id="20"/>
      <w:r>
        <w:rPr>
          <w:i w:val="0"/>
          <w:color w:val="000000"/>
        </w:rPr>
        <w:t>Setup and Installation</w:t>
      </w:r>
    </w:p>
    <w:p w:rsidR="00000000" w:rsidDel="00000000" w:rsidP="00000000" w:rsidRDefault="00000000" w:rsidRPr="00000000" w14:paraId="00000035">
      <w:pPr>
        <w:spacing w:after="120"/>
        <w:rPr/>
      </w:pPr>
      <w:bookmarkStart w:colFirst="0" w:colLast="0" w:name="_ooz2oe2yaam" w:id="21"/>
      <w:bookmarkEnd w:id="21"/>
      <w:r>
        <w:rPr>
          <w:i w:val="0"/>
          <w:color w:val="000000"/>
        </w:rPr>
        <w:t>The booth demo displays recorded runs. Opening the site does not launch scanning, training or attacks.</w:t>
      </w:r>
    </w:p>
    <w:p w:rsidR="00000000" w:rsidDel="00000000" w:rsidP="00000000" w:rsidRDefault="00000000" w:rsidRPr="00000000" w14:paraId="00000037">
      <w:pPr>
        <w:pStyle w:val="Heading2"/>
        <w:spacing w:after="120"/>
        <w:rPr/>
      </w:pPr>
      <w:bookmarkStart w:colFirst="0" w:colLast="0" w:name="_77ndexoiamda" w:id="22"/>
      <w:bookmarkEnd w:id="22"/>
      <w:r>
        <w:rPr>
          <w:i w:val="0"/>
          <w:color w:val="000000"/>
        </w:rPr>
        <w:t>Required Equipment and Software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120"/>
        <w:ind w:left="720" w:hanging="360"/>
      </w:pPr>
      <w:r>
        <w:rPr>
          <w:i w:val="0"/>
          <w:color w:val="000000"/>
        </w:rPr>
        <w:t>A laptop or desktop, a current browser, and an internet connection.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120"/>
        <w:ind w:left="720" w:hanging="360"/>
      </w:pPr>
      <w:r>
        <w:rPr>
          <w:i w:val="0"/>
          <w:color w:val="000000"/>
        </w:rPr>
        <w:t>For an offline fallback, keep this PDF open and save the JSON trace exports locally.</w:t>
      </w:r>
    </w:p>
    <w:p w:rsidR="00000000" w:rsidDel="00000000" w:rsidP="00000000" w:rsidRDefault="00000000" w:rsidRPr="00000000" w14:paraId="0000003B">
      <w:pPr>
        <w:pStyle w:val="Heading2"/>
        <w:spacing w:after="120"/>
        <w:rPr/>
      </w:pPr>
      <w:bookmarkStart w:colFirst="0" w:colLast="0" w:name="_fuo4ujx3k0lf" w:id="23"/>
      <w:bookmarkEnd w:id="23"/>
      <w:r>
        <w:rPr>
          <w:i w:val="0"/>
          <w:color w:val="000000"/>
        </w:rPr>
        <w:t>Repo Location</w:t>
      </w:r>
    </w:p>
    <w:p w:rsidR="00000000" w:rsidDel="00000000" w:rsidP="00000000" w:rsidRDefault="00000000" w:rsidRPr="00000000" w14:paraId="0000003C">
      <w:pPr>
        <w:spacing w:after="120"/>
        <w:rPr/>
      </w:pPr>
      <w:r>
        <w:rPr>
          <w:i w:val="0"/>
          <w:color w:val="000000"/>
        </w:rPr>
      </w:r>
      <w:hyperlink r:id="rId15">
        <w:r>
          <w:rPr>
            <w:color w:val="006D5B"/>
            <w:u w:val="single"/>
          </w:rPr>
          <w:t>RL presentation branch on GitHub</w:t>
        </w:r>
      </w:hyperlink>
    </w:p>
    <w:p w:rsidR="00000000" w:rsidDel="00000000" w:rsidP="00000000" w:rsidRDefault="00000000" w:rsidRPr="00000000" w14:paraId="0000003E">
      <w:pPr>
        <w:pStyle w:val="Heading2"/>
        <w:spacing w:after="120"/>
        <w:rPr/>
      </w:pPr>
      <w:bookmarkStart w:colFirst="0" w:colLast="0" w:name="_2tsebnklbmpy" w:id="24"/>
      <w:bookmarkEnd w:id="24"/>
      <w:r>
        <w:rPr>
          <w:i w:val="0"/>
          <w:color w:val="000000"/>
        </w:rPr>
        <w:t>Installation</w:t>
      </w:r>
    </w:p>
    <w:p w:rsidR="00000000" w:rsidDel="00000000" w:rsidP="00000000" w:rsidRDefault="00000000" w:rsidRPr="00000000" w14:paraId="0000003F">
      <w:pPr>
        <w:spacing w:after="120"/>
        <w:rPr/>
      </w:pPr>
      <w:r>
        <w:rPr>
          <w:i w:val="0"/>
          <w:color w:val="000000"/>
        </w:rPr>
        <w:t>No installation is needed for the hosted presentation. Model serving is separate and has not been validated for this exported adapter.</w:t>
      </w:r>
    </w:p>
    <w:p w:rsidR="00000000" w:rsidDel="00000000" w:rsidP="00000000" w:rsidRDefault="00000000" w:rsidRPr="00000000" w14:paraId="00000041">
      <w:pPr>
        <w:pStyle w:val="Heading2"/>
        <w:spacing w:after="120"/>
        <w:rPr/>
      </w:pPr>
      <w:bookmarkStart w:colFirst="0" w:colLast="0" w:name="_ohcculf07347" w:id="25"/>
      <w:bookmarkEnd w:id="25"/>
      <w:r>
        <w:rPr>
          <w:i w:val="0"/>
          <w:color w:val="000000"/>
        </w:rPr>
        <w:t>Startup</w:t>
      </w:r>
    </w:p>
    <w:p w:rsidR="00000000" w:rsidDel="00000000" w:rsidP="00000000" w:rsidRDefault="00000000" w:rsidRPr="00000000" w14:paraId="00000042">
      <w:pPr>
        <w:spacing w:after="120"/>
        <w:rPr/>
      </w:pPr>
      <w:r>
        <w:rPr>
          <w:i w:val="0"/>
          <w:color w:val="000000"/>
        </w:rPr>
      </w:r>
      <w:hyperlink r:id="rId8">
        <w:r>
          <w:rPr>
            <w:color w:val="006D5B"/>
            <w:u w:val="single"/>
          </w:rPr>
          <w:t>Open the demo</w:t>
        </w:r>
      </w:hyperlink>
      <w:r>
        <w:rPr>
          <w:i w:val="0"/>
          <w:color w:val="000000"/>
        </w:rPr>
        <w:t>. Show the graph, read the uncertainty note, then open the three paired cases. Links to model weights and trace JSON remain available for follow-up.</w:t>
      </w:r>
    </w:p>
    <w:p w:rsidR="00000000" w:rsidDel="00000000" w:rsidP="00000000" w:rsidRDefault="00000000" w:rsidRPr="00000000" w14:paraId="00000044">
      <w:pPr>
        <w:pStyle w:val="Heading2"/>
        <w:spacing w:after="120"/>
        <w:rPr/>
      </w:pPr>
      <w:bookmarkStart w:colFirst="0" w:colLast="0" w:name="_vwpdxxo527az" w:id="26"/>
      <w:bookmarkEnd w:id="26"/>
      <w:r>
        <w:rPr>
          <w:i w:val="0"/>
          <w:color w:val="000000"/>
        </w:rPr>
        <w:t>Measurement Notes</w:t>
      </w:r>
    </w:p>
    <w:p w:rsidR="00000000" w:rsidDel="00000000" w:rsidP="00000000" w:rsidRDefault="00000000" w:rsidRPr="00000000" w14:paraId="00000045">
      <w:pPr>
        <w:spacing w:after="120"/>
        <w:rPr/>
      </w:pPr>
      <w:bookmarkStart w:colFirst="0" w:colLast="0" w:name="_oz1360d2foq" w:id="27"/>
      <w:bookmarkEnd w:id="27"/>
      <w:r>
        <w:rPr>
          <w:i w:val="0"/>
          <w:color w:val="000000"/>
        </w:rPr>
        <w:t>The cost illustration uses $0.039 per million input tokens and $0.18 per million output plus reasoning tokens, with no cache discount. It includes detector tokens only and excludes judges, training and infrastructure. It is not an invoice.</w:t>
      </w:r>
    </w:p>
    <w:p w:rsidR="00000000" w:rsidDel="00000000" w:rsidP="00000000" w:rsidRDefault="00000000" w:rsidRPr="00000000" w14:paraId="00000046">
      <w:pPr>
        <w:spacing w:after="120"/>
        <w:rPr/>
      </w:pPr>
      <w:r>
        <w:rPr>
          <w:i w:val="0"/>
          <w:color w:val="000000"/>
        </w:rPr>
      </w:r>
      <w:hyperlink r:id="rId16">
        <w:r>
          <w:rPr>
            <w:color w:val="006D5B"/>
            <w:u w:val="single"/>
          </w:rPr>
          <w:t>OpenRouter price scenario</w:t>
        </w:r>
      </w:hyperlink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NVID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VIDIA Sans" w:cs="NVIDIA Sans" w:eastAsia="NVIDIA Sans" w:hAnsi="NVIDIA San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0000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iCs w:val="1"/>
      <w:color w:val="000000"/>
      <w:highlight w:val="whit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ourier New" w:cs="Courier New" w:eastAsia="Courier New" w:hAnsi="Courier New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  <w:ind w:left="360"/>
    </w:pPr>
    <w:rPr>
      <w:b w:val="1"/>
      <w:bCs w:val="1"/>
      <w:color w:val="00000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NVIDIA Sans" w:cs="NVIDIA Sans" w:eastAsia="NVIDIA Sans" w:hAnsi="NVIDIA Sans"/>
      <w:b w:val="1"/>
      <w:bCs w:val="1"/>
      <w:i w:val="1"/>
      <w:iCs w:val="1"/>
      <w:color w:val="99999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yperlink" Target="https://probable-dollop-9mnynl6.pages.github.io/demos/rl-nvidia/" TargetMode="External"/><Relationship Id="rId9" Type="http://schemas.openxmlformats.org/officeDocument/2006/relationships/hyperlink" Target="https://probable-dollop-9mnynl6.pages.github.io/demos/rl-nvidia/#openfire" TargetMode="External"/><Relationship Id="rId10" Type="http://schemas.openxmlformats.org/officeDocument/2006/relationships/hyperlink" Target="https://probable-dollop-9mnynl6.pages.github.io/demos/rl-nvidia/#cosmos" TargetMode="External"/><Relationship Id="rId11" Type="http://schemas.openxmlformats.org/officeDocument/2006/relationships/hyperlink" Target="https://probable-dollop-9mnynl6.pages.github.io/demos/rl-nvidia/#setvalue" TargetMode="External"/><Relationship Id="rId12" Type="http://schemas.openxmlformats.org/officeDocument/2006/relationships/hyperlink" Target="https://github.com/patcherai/dfbench/tree/rl-nvidia-presentation/demos/rl-nvidia/traces/" TargetMode="External"/><Relationship Id="rId13" Type="http://schemas.openxmlformats.org/officeDocument/2006/relationships/hyperlink" Target="https://huggingface.co/depthfirstlabs/Nemotron-3.5-Lightning-RL-NVD-Final-Step-200" TargetMode="External"/><Relationship Id="rId14" Type="http://schemas.openxmlformats.org/officeDocument/2006/relationships/hyperlink" Target="https://github.com/patcherai/dfbench/blob/rl-nvidia-presentation/README.md" TargetMode="External"/><Relationship Id="rId15" Type="http://schemas.openxmlformats.org/officeDocument/2006/relationships/hyperlink" Target="https://github.com/patcherai/dfbench/tree/rl-nvidia-presentation/" TargetMode="External"/><Relationship Id="rId16" Type="http://schemas.openxmlformats.org/officeDocument/2006/relationships/hyperlink" Target="https://openrouter.ai/nvidia/nemotron-3.5-lightning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VIDIASans-regular.ttf"/><Relationship Id="rId2" Type="http://schemas.openxmlformats.org/officeDocument/2006/relationships/font" Target="fonts/NVIDIASans-bold.ttf"/><Relationship Id="rId3" Type="http://schemas.openxmlformats.org/officeDocument/2006/relationships/font" Target="fonts/NVIDIASans-italic.ttf"/><Relationship Id="rId4" Type="http://schemas.openxmlformats.org/officeDocument/2006/relationships/font" Target="fonts/NVIDI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