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Technical Specification</w:t>
      </w:r>
    </w:p>
    <w:p>
      <w:pPr>
        <w:spacing w:after="200"/>
        <w:jc w:val="center"/>
      </w:pPr>
      <w:r>
        <w:rPr>
          <w:rFonts w:ascii="Arial" w:cs="Arial" w:eastAsia="Arial" w:hAnsi="Arial"/>
          <w:color w:val="444444"/>
          <w:sz w:val="36"/>
          <w:szCs w:val="36"/>
        </w:rPr>
        <w:t xml:space="preserve">EU Research Project Management Application</w:t>
      </w:r>
    </w:p>
    <w:p>
      <w:pPr>
        <w:spacing w:after="600"/>
        <w:jc w:val="center"/>
      </w:pPr>
      <w:r>
        <w:rPr>
          <w:rFonts w:ascii="Arial" w:cs="Arial" w:eastAsia="Arial" w:hAnsi="Arial"/>
          <w:color w:val="666666"/>
          <w:sz w:val="26"/>
          <w:szCs w:val="26"/>
        </w:rPr>
        <w:t xml:space="preserve">vNicorn – AI Business Consulting</w:t>
      </w:r>
    </w:p>
    <w:p>
      <w:pPr>
        <w:spacing w:after="100"/>
        <w:jc w:val="center"/>
      </w:pPr>
      <w:r>
        <w:rPr>
          <w:rFonts w:ascii="Arial" w:cs="Arial" w:eastAsia="Arial" w:hAnsi="Arial"/>
          <w:color w:val="888888"/>
          <w:sz w:val="22"/>
          <w:szCs w:val="22"/>
        </w:rPr>
        <w:t xml:space="preserve">Version 1.0 – March 2026</w:t>
      </w:r>
    </w:p>
    <w:p>
      <w:pPr>
        <w:jc w:val="center"/>
      </w:pPr>
      <w:r>
        <w:rPr>
          <w:rFonts w:ascii="Arial" w:cs="Arial" w:eastAsia="Arial" w:hAnsi="Arial"/>
          <w:color w:val="888888"/>
          <w:sz w:val="22"/>
          <w:szCs w:val="22"/>
        </w:rPr>
        <w:t xml:space="preserve">DRAFT FOR REVIEW</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specifies the architecture, data model, and feature requirements for a project management application designed specifically for European research-funded projects. The tool addresses the unique needs of a university research lab managing multiple EU-funded projects across different programmes, cost models, and roles.</w:t>
      </w:r>
    </w:p>
    <w:p>
      <w:pPr>
        <w:spacing w:after="120"/>
      </w:pPr>
      <w:r>
        <w:rPr>
          <w:rFonts w:ascii="Arial" w:cs="Arial" w:eastAsia="Arial" w:hAnsi="Arial"/>
          <w:sz w:val="22"/>
          <w:szCs w:val="22"/>
        </w:rPr>
        <w:t xml:space="preserve">The application serves three primary user groups: the Principal Investigator and research team managing day-to-day project activities; the university central finance services requiring institutional reporting and compliance oversight; and external stakeholders including the European Commission and project partners.</w:t>
      </w:r>
    </w:p>
    <w:p>
      <w:pPr>
        <w:spacing w:after="120"/>
      </w:pPr>
      <w:r>
        <w:rPr>
          <w:rFonts w:ascii="Arial" w:cs="Arial" w:eastAsia="Arial" w:hAnsi="Arial"/>
          <w:sz w:val="22"/>
          <w:szCs w:val="22"/>
        </w:rPr>
        <w:t xml:space="preserve">Key differentiators from generic project management tools include dual-view financial reporting (EC and institutional), programme-aware template libraries with auto-population, person-month tracking with cross-project conflict detection, and comprehensive audit readiness features.</w:t>
      </w:r>
    </w:p>
    <w:p>
      <w:pPr>
        <w:pStyle w:val="Heading1"/>
      </w:pPr>
      <w:r>
        <w:t xml:space="preserve">2. System Architecture</w:t>
      </w:r>
    </w:p>
    <w:p>
      <w:pPr>
        <w:pStyle w:val="Heading2"/>
      </w:pPr>
      <w:r>
        <w:t xml:space="preserve">2.1 Technology Stack</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Python (FastAPI or Django) with PostgreSQL database. The relational model suits the complex entity relationships inherent in EU project structures.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React or Vue.js single-page application with role-based dashboards. Must support responsive design for use on both desktop and mobile devices.</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Integration with institutional SSO (SAML/OAuth2) plus local accounts for external partners.</w:t>
      </w:r>
    </w:p>
    <w:p>
      <w:pPr>
        <w:spacing w:after="120"/>
      </w:pPr>
      <w:r>
        <w:rPr>
          <w:rFonts w:ascii="Arial" w:cs="Arial" w:eastAsia="Arial" w:hAnsi="Arial"/>
          <w:b/>
          <w:bCs/>
          <w:sz w:val="22"/>
          <w:szCs w:val="22"/>
        </w:rPr>
        <w:t xml:space="preserve">File storage: </w:t>
      </w:r>
      <w:r>
        <w:rPr>
          <w:rFonts w:ascii="Arial" w:cs="Arial" w:eastAsia="Arial" w:hAnsi="Arial"/>
          <w:sz w:val="22"/>
          <w:szCs w:val="22"/>
        </w:rPr>
        <w:t xml:space="preserve">Document repository with version control, linking files to projects, deliverables, and expense records for audit traceability.</w:t>
      </w:r>
    </w:p>
    <w:p>
      <w:pPr>
        <w:pStyle w:val="Heading2"/>
      </w:pPr>
      <w:r>
        <w:t xml:space="preserve">2.2 Access Control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Access Scope</w:t>
            </w:r>
          </w:p>
        </w:tc>
        <w:tc>
          <w:tcPr>
            <w:tcW w:type="dxa" w:w="3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Permissions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Principal Investigator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 project data for their projects</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CRUD, budget approval, report submission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Team Member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Assigned projects and own timesheets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Timesheet entry, deliverable uploads, task updates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Central Finance PM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Financial data, PMs, budgets across all projects</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View financials, export reports, flag compliance issues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 Admin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HR and procurement data</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tracking, procurement approval workflow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External Partner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Their own partner data within shared projects</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View shared deliverables, submit partner financial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Administrator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system access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management, configuration, template management</w:t>
            </w:r>
          </w:p>
        </w:tc>
      </w:tr>
    </w:tbl>
    <w:p>
      <w:r>
        <w:br w:type="page"/>
      </w:r>
    </w:p>
    <w:p>
      <w:pPr>
        <w:pStyle w:val="Heading1"/>
      </w:pPr>
      <w:r>
        <w:t xml:space="preserve">3. Core Data Model</w:t>
      </w:r>
    </w:p>
    <w:p>
      <w:pPr>
        <w:pStyle w:val="Heading2"/>
      </w:pPr>
      <w:r>
        <w:t xml:space="preserve">3.1 Project Registry</w:t>
      </w:r>
    </w:p>
    <w:p>
      <w:pPr>
        <w:spacing w:after="120"/>
      </w:pPr>
      <w:r>
        <w:rPr>
          <w:rFonts w:ascii="Arial" w:cs="Arial" w:eastAsia="Arial" w:hAnsi="Arial"/>
          <w:sz w:val="22"/>
          <w:szCs w:val="22"/>
        </w:rPr>
        <w:t xml:space="preserve">The central entity of the system. Each project record captures all grant agreement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project_id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unique identifier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acronym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short name (e.g., ATLAS-AI)</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full_title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project title as in the grant agreement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grant_agreement_number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 grant agreement reference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programme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Horizon Europe, Digital Europe, Erasmus+, CEF, FCT,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call_identifier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call (e.g., HORIZON-CL4-2025-DATA-01)</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cost_model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Actual Costs, Lump Sum, Unit Costs, Mixed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Coordinator, Partner, Associated Partner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start_date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Project start date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end date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duration_months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Integer</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Total project duration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total_budget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eligible costs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eu_contribution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 funding amount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 co-financing rate (e.g., 100%, 70%)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reporting_periods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JSON</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Array of period start/end dates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Proposal, Negotiation, Active, Suspended, Closed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ec_project_officer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Name of assigned EC project officer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internal_cost_center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 internal account code</w:t>
            </w:r>
          </w:p>
        </w:tc>
      </w:tr>
    </w:tbl>
    <w:p>
      <w:pPr>
        <w:pStyle w:val="Heading2"/>
      </w:pPr>
      <w:r>
        <w:t xml:space="preserve">3.2 Consortium and Partners</w:t>
      </w:r>
    </w:p>
    <w:p>
      <w:pPr>
        <w:spacing w:after="120"/>
      </w:pPr>
      <w:r>
        <w:rPr>
          <w:rFonts w:ascii="Arial" w:cs="Arial" w:eastAsia="Arial" w:hAnsi="Arial"/>
          <w:sz w:val="22"/>
          <w:szCs w:val="22"/>
        </w:rPr>
        <w:t xml:space="preserve">Tracks all consortium members and their contractual obligations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partner_id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unique identifier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Participant Identification Code (EC registry)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legal_name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Official organization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 abbreviation used in project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country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Country of establishment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HES, REC, PRC, PUB, OTH (EC classification)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is_sme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SME status declaration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partner_budget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budget allocated to this partner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partner_eu_contribution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 funding for this partner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contact_person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contact name and email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bank_account_validated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Whether LEAR has validated bank 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accession_form_signed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partner signed the GA</w:t>
            </w:r>
          </w:p>
        </w:tc>
      </w:tr>
    </w:tbl>
    <w:p>
      <w:pPr>
        <w:pStyle w:val="Heading2"/>
      </w:pPr>
      <w:r>
        <w:t xml:space="preserve">3.3 Work Packages, Deliverables, and Milestones</w:t>
      </w:r>
    </w:p>
    <w:p>
      <w:pPr>
        <w:spacing w:after="120"/>
      </w:pPr>
      <w:r>
        <w:rPr>
          <w:rFonts w:ascii="Arial" w:cs="Arial" w:eastAsia="Arial" w:hAnsi="Arial"/>
          <w:sz w:val="22"/>
          <w:szCs w:val="22"/>
        </w:rPr>
        <w:t xml:space="preserve">Follows the standard EC project structure hierarchy: work packages contain tasks, which produce deliverables and are checkpointed by milestones.</w:t>
      </w:r>
    </w:p>
    <w:p>
      <w:pPr>
        <w:pStyle w:val="Heading3"/>
      </w:pPr>
      <w:r>
        <w:t xml:space="preserve">Work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wp_number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Integer</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Work package number (WP1, WP2,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 package title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lead_partner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Reference to lead partner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start_month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month (M1, M6, etc.)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end_month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Integer</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End month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total_pm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person-months allocated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objectives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Text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WP objectives from the DoA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Started, In Progress, Completed, Delayed</w:t>
            </w:r>
          </w:p>
        </w:tc>
      </w:tr>
    </w:tbl>
    <w:p>
      <w:pPr>
        <w:pStyle w:val="Heading3"/>
      </w:pPr>
      <w:r>
        <w:t xml:space="preserve">Deliverable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deliverable_number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D1.1, D2.3,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Deliverable title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 Demonstrator, Data, Software, Other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dissemination_level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 (Public), SEN (Sensitive), CO (Confidential)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lead_partner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Responsible partner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due_month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 date in project months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submission_date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Actual submission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ec_review_status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Approved, Revision Requested, Rejected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traffic_light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Green (on track), Amber (at risk), Red (delayed)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file_reference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 to uploaded document</w:t>
            </w:r>
          </w:p>
        </w:tc>
      </w:tr>
    </w:tbl>
    <w:p>
      <w:pPr>
        <w:pStyle w:val="Heading3"/>
      </w:pPr>
      <w:r>
        <w:t xml:space="preserve">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milestone_number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MS1, MS2,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work_package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Associated work package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due_month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Expected achievement month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verification_means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Text</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How achievement will be verified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achieved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milestone has been reached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achievement_date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Actual achievement date</w:t>
            </w:r>
          </w:p>
        </w:tc>
      </w:tr>
    </w:tbl>
    <w:p>
      <w:pPr>
        <w:pStyle w:val="Heading2"/>
      </w:pPr>
      <w:r>
        <w:t xml:space="preserve">3.4 Cost Model Scenarios</w:t>
      </w:r>
    </w:p>
    <w:p>
      <w:pPr>
        <w:spacing w:after="120"/>
      </w:pPr>
      <w:r>
        <w:rPr>
          <w:rFonts w:ascii="Arial" w:cs="Arial" w:eastAsia="Arial" w:hAnsi="Arial"/>
          <w:sz w:val="22"/>
          <w:szCs w:val="22"/>
        </w:rPr>
        <w:t xml:space="preserve">The cost model fundamentally determines how budgets are structured, how expenses are tracked, what evidence is required, and how financial reporting works. The system must adapt its behavior across all modules based on the project's cost model. The following table summarizes the key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Actual Costs</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Lump Sum</w:t>
            </w:r>
          </w:p>
        </w:tc>
        <w:tc>
          <w:tcPr>
            <w:tcW w:type="dxa" w:w="2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Unit Costs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Budget structure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Detailed breakdown by EC category (A–E) per partner per WP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Fixed amounts per work package; no category breakdown required by EC</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Pre-defined rates per unit (e.g., per researcher-month, per event)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Expense tracking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cost must be recorded, documented, and linked to supporting evidence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tracking recommended but not required for EC reporting; payment triggered by WP completion</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tracked per unit type; supporting evidence for number of units delivered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Timesheets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Mandatory for personnel cost claims; hours × hourly rate calculation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Not required by EC; internal PM tracking for management purposes only</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May be required depending on unit definition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Financial reporting (Form 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Detailed cost claim per category with supporting documentation per partner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Declaration of WP completion; no cost breakdown submitted to EC</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Declaration of units delivered with evidence of completion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Eligible cost rules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EC eligibility rules apply: necessity, economy, actual cost incurred, recorded in accounts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 cost eligibility check by EC; payment is conditional on WP deliverable acceptance</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Unit rates are pre-agreed; only the number of units is verified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Indirect costs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flat rate calculated on eligible direct costs (A+C+D)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included in the lump sum amounts; no separate calculation</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May be included in unit rate or calculated separately per GA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Audit exposure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financial audit possible; all costs must be substantiated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Technical audit only (was the WP completed?); no financial audit of underlying costs</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Audit focuses on unit count and evidence of delivery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 transfers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flexibility rule between categories; amendment needed beyond that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budget transfers – amounts are fixed per WP</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Limited flexibility depending on GA terms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Missions/travel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documentation required: boarding passes, invoices, per diem declarations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tracking only; no obligation to justify individual travel to EC</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Travel may be a defined unit type or included in other unit rates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Procurement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 and university procurement rules apply fully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 procurement rules apply internally; EC does not review</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Depends on what the unit covers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CFS (Certificate on Financial Statements)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Required when cumulative claims exceed €430k per partner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Not applicable – no financial claims to certify</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May be required depending on GA terms</w:t>
            </w:r>
          </w:p>
        </w:tc>
      </w:tr>
    </w:tbl>
    <w:p>
      <w:pPr>
        <w:pStyle w:val="Heading3"/>
      </w:pPr>
      <w:r>
        <w:t xml:space="preserve">Impact on System Behavior</w:t>
      </w:r>
    </w:p>
    <w:p>
      <w:pPr>
        <w:spacing w:after="120"/>
      </w:pPr>
      <w:r>
        <w:rPr>
          <w:rFonts w:ascii="Arial" w:cs="Arial" w:eastAsia="Arial" w:hAnsi="Arial"/>
          <w:sz w:val="22"/>
          <w:szCs w:val="22"/>
        </w:rPr>
        <w:t xml:space="preserve">The cost model setting on each project acts as a global configuration that controls module behavior throughout the application:</w:t>
      </w:r>
    </w:p>
    <w:p>
      <w:pPr>
        <w:pStyle w:val="ListParagraph"/>
        <w:numPr>
          <w:ilvl w:val="0"/>
          <w:numId w:val="2"/>
        </w:numPr>
        <w:spacing w:after="60"/>
      </w:pPr>
      <w:r>
        <w:rPr>
          <w:rFonts w:ascii="Arial" w:cs="Arial" w:eastAsia="Arial" w:hAnsi="Arial"/>
          <w:sz w:val="22"/>
          <w:szCs w:val="22"/>
        </w:rPr>
        <w:t xml:space="preserve">Financial module: For actual costs projects, the full dual-view budget tracking with EC categories is active. For lump sum projects, the system switches to WP-level budget monitoring focused on completion status rather than cost breakdown. Internal expense tracking remains available for management purposes.</w:t>
      </w:r>
    </w:p>
    <w:p>
      <w:pPr>
        <w:pStyle w:val="ListParagraph"/>
        <w:numPr>
          <w:ilvl w:val="0"/>
          <w:numId w:val="2"/>
        </w:numPr>
        <w:spacing w:after="60"/>
      </w:pPr>
      <w:r>
        <w:rPr>
          <w:rFonts w:ascii="Arial" w:cs="Arial" w:eastAsia="Arial" w:hAnsi="Arial"/>
          <w:sz w:val="22"/>
          <w:szCs w:val="22"/>
        </w:rPr>
        <w:t xml:space="preserve">Timesheet module: Mandatory with validation and compliance alerts for actual costs. Optional (but recommended) for lump sum, with simplified entry. The system clearly labels which mode applies per project.</w:t>
      </w:r>
    </w:p>
    <w:p>
      <w:pPr>
        <w:pStyle w:val="ListParagraph"/>
        <w:numPr>
          <w:ilvl w:val="0"/>
          <w:numId w:val="2"/>
        </w:numPr>
        <w:spacing w:after="60"/>
      </w:pPr>
      <w:r>
        <w:rPr>
          <w:rFonts w:ascii="Arial" w:cs="Arial" w:eastAsia="Arial" w:hAnsi="Arial"/>
          <w:sz w:val="22"/>
          <w:szCs w:val="22"/>
        </w:rPr>
        <w:t xml:space="preserve">Reporting engine: For actual costs, the system generates full Form C financial statements with category breakdowns. For lump sum, it generates WP completion declarations with deliverable evidence. Both types feed into the technical report, which has the same structure regardless of cost model.</w:t>
      </w:r>
    </w:p>
    <w:p>
      <w:pPr>
        <w:pStyle w:val="ListParagraph"/>
        <w:numPr>
          <w:ilvl w:val="0"/>
          <w:numId w:val="2"/>
        </w:numPr>
        <w:spacing w:after="60"/>
      </w:pPr>
      <w:r>
        <w:rPr>
          <w:rFonts w:ascii="Arial" w:cs="Arial" w:eastAsia="Arial" w:hAnsi="Arial"/>
          <w:sz w:val="22"/>
          <w:szCs w:val="22"/>
        </w:rPr>
        <w:t xml:space="preserve">Template library: Contract and personnel templates are cost-model-aware – for example, a DL57 contract on an actual costs project includes timesheet obligation clauses, while the same template on a lump sum project omits them.</w:t>
      </w:r>
    </w:p>
    <w:p>
      <w:pPr>
        <w:pStyle w:val="ListParagraph"/>
        <w:numPr>
          <w:ilvl w:val="0"/>
          <w:numId w:val="2"/>
        </w:numPr>
        <w:spacing w:after="60"/>
      </w:pPr>
      <w:r>
        <w:rPr>
          <w:rFonts w:ascii="Arial" w:cs="Arial" w:eastAsia="Arial" w:hAnsi="Arial"/>
          <w:sz w:val="22"/>
          <w:szCs w:val="22"/>
        </w:rPr>
        <w:t xml:space="preserve">Mission workflow: For actual costs, the full approval and documentation chain applies. For lump sum, the workflow is simplified to internal approval only, without EC eligibility checks.</w:t>
      </w:r>
    </w:p>
    <w:p>
      <w:pPr>
        <w:pStyle w:val="ListParagraph"/>
        <w:numPr>
          <w:ilvl w:val="0"/>
          <w:numId w:val="2"/>
        </w:numPr>
        <w:spacing w:after="60"/>
      </w:pPr>
      <w:r>
        <w:rPr>
          <w:rFonts w:ascii="Arial" w:cs="Arial" w:eastAsia="Arial" w:hAnsi="Arial"/>
          <w:sz w:val="22"/>
          <w:szCs w:val="22"/>
        </w:rPr>
        <w:t xml:space="preserve">Audit readiness: For actual costs, the system enforces complete documentation linkage. For lump sum, it focuses on deliverable quality and WP completion evidence.</w:t>
      </w:r>
    </w:p>
    <w:p>
      <w:pPr>
        <w:pStyle w:val="Heading3"/>
      </w:pPr>
      <w:r>
        <w:t xml:space="preserve">Mixed Cost Models</w:t>
      </w:r>
    </w:p>
    <w:p>
      <w:pPr>
        <w:spacing w:after="120"/>
      </w:pPr>
      <w:r>
        <w:rPr>
          <w:rFonts w:ascii="Arial" w:cs="Arial" w:eastAsia="Arial" w:hAnsi="Arial"/>
          <w:sz w:val="22"/>
          <w:szCs w:val="22"/>
        </w:rPr>
        <w:t xml:space="preserve">Some projects use mixed models (e.g., actual costs for most categories but unit costs for specific activities, or a transition from one model during an amendment). The system supports per-WP or per-category cost model overrides within a project, with the project-level setting serving as the default. When a mixed model is active, the system applies the appropriate rules to each component independently and consolidates them for reporting.</w:t>
      </w:r>
    </w:p>
    <w:p>
      <w:r>
        <w:br w:type="page"/>
      </w:r>
    </w:p>
    <w:p>
      <w:pPr>
        <w:pStyle w:val="Heading1"/>
      </w:pPr>
      <w:r>
        <w:t xml:space="preserve">4. Financial Management Module</w:t>
      </w:r>
    </w:p>
    <w:p>
      <w:pPr>
        <w:pStyle w:val="Heading2"/>
      </w:pPr>
      <w:r>
        <w:t xml:space="preserve">4.1 Dual Accounting View</w:t>
      </w:r>
    </w:p>
    <w:p>
      <w:pPr>
        <w:spacing w:after="120"/>
      </w:pPr>
      <w:r>
        <w:rPr>
          <w:rFonts w:ascii="Arial" w:cs="Arial" w:eastAsia="Arial" w:hAnsi="Arial"/>
          <w:sz w:val="22"/>
          <w:szCs w:val="22"/>
        </w:rPr>
        <w:t xml:space="preserve">The system maintains two parallel financial views to serve both external (EC) and internal (university) reporting needs. A configurable mapping layer translates between the two.</w:t>
      </w:r>
    </w:p>
    <w:p>
      <w:pPr>
        <w:spacing w:after="120"/>
      </w:pPr>
      <w:r>
        <w:rPr>
          <w:rFonts w:ascii="Arial" w:cs="Arial" w:eastAsia="Arial" w:hAnsi="Arial"/>
          <w:b/>
          <w:bCs/>
          <w:sz w:val="22"/>
          <w:szCs w:val="22"/>
        </w:rPr>
        <w:t xml:space="preserve">EC Budget Categories (Horizon Europe standard):</w:t>
      </w:r>
    </w:p>
    <w:p>
      <w:pPr>
        <w:pStyle w:val="ListParagraph"/>
        <w:numPr>
          <w:ilvl w:val="0"/>
          <w:numId w:val="3"/>
        </w:numPr>
        <w:spacing w:after="60"/>
      </w:pPr>
      <w:r>
        <w:rPr>
          <w:rFonts w:ascii="Arial" w:cs="Arial" w:eastAsia="Arial" w:hAnsi="Arial"/>
          <w:sz w:val="22"/>
          <w:szCs w:val="22"/>
        </w:rPr>
        <w:t xml:space="preserve">A. Personnel costs (direct)</w:t>
      </w:r>
    </w:p>
    <w:p>
      <w:pPr>
        <w:pStyle w:val="ListParagraph"/>
        <w:numPr>
          <w:ilvl w:val="0"/>
          <w:numId w:val="3"/>
        </w:numPr>
        <w:spacing w:after="60"/>
      </w:pPr>
      <w:r>
        <w:rPr>
          <w:rFonts w:ascii="Arial" w:cs="Arial" w:eastAsia="Arial" w:hAnsi="Arial"/>
          <w:sz w:val="22"/>
          <w:szCs w:val="22"/>
        </w:rPr>
        <w:t xml:space="preserve">B. Subcontracting</w:t>
      </w:r>
    </w:p>
    <w:p>
      <w:pPr>
        <w:pStyle w:val="ListParagraph"/>
        <w:numPr>
          <w:ilvl w:val="0"/>
          <w:numId w:val="3"/>
        </w:numPr>
        <w:spacing w:after="60"/>
      </w:pPr>
      <w:r>
        <w:rPr>
          <w:rFonts w:ascii="Arial" w:cs="Arial" w:eastAsia="Arial" w:hAnsi="Arial"/>
          <w:sz w:val="22"/>
          <w:szCs w:val="22"/>
        </w:rPr>
        <w:t xml:space="preserve">C. Purchase costs (travel, equipment, other goods and services)</w:t>
      </w:r>
    </w:p>
    <w:p>
      <w:pPr>
        <w:pStyle w:val="ListParagraph"/>
        <w:numPr>
          <w:ilvl w:val="0"/>
          <w:numId w:val="3"/>
        </w:numPr>
        <w:spacing w:after="60"/>
      </w:pPr>
      <w:r>
        <w:rPr>
          <w:rFonts w:ascii="Arial" w:cs="Arial" w:eastAsia="Arial" w:hAnsi="Arial"/>
          <w:sz w:val="22"/>
          <w:szCs w:val="22"/>
        </w:rPr>
        <w:t xml:space="preserve">D. Other cost categories (financial support to third parties, internally invoiced goods)</w:t>
      </w:r>
    </w:p>
    <w:p>
      <w:pPr>
        <w:pStyle w:val="ListParagraph"/>
        <w:numPr>
          <w:ilvl w:val="0"/>
          <w:numId w:val="3"/>
        </w:numPr>
        <w:spacing w:after="60"/>
      </w:pPr>
      <w:r>
        <w:rPr>
          <w:rFonts w:ascii="Arial" w:cs="Arial" w:eastAsia="Arial" w:hAnsi="Arial"/>
          <w:sz w:val="22"/>
          <w:szCs w:val="22"/>
        </w:rPr>
        <w:t xml:space="preserve">E. Indirect costs (25% flat rate on A+C+D, excluding subcontracting)</w:t>
      </w:r>
    </w:p>
    <w:p>
      <w:pPr>
        <w:spacing w:after="120"/>
      </w:pPr>
      <w:r>
        <w:rPr>
          <w:rFonts w:ascii="Arial" w:cs="Arial" w:eastAsia="Arial" w:hAnsi="Arial"/>
          <w:b/>
          <w:bCs/>
          <w:sz w:val="22"/>
          <w:szCs w:val="22"/>
        </w:rPr>
        <w:t xml:space="preserve">University Internal Categories (configurable):</w:t>
      </w:r>
    </w:p>
    <w:p>
      <w:pPr>
        <w:pStyle w:val="ListParagraph"/>
        <w:numPr>
          <w:ilvl w:val="0"/>
          <w:numId w:val="4"/>
        </w:numPr>
        <w:spacing w:after="60"/>
      </w:pPr>
      <w:r>
        <w:rPr>
          <w:rFonts w:ascii="Arial" w:cs="Arial" w:eastAsia="Arial" w:hAnsi="Arial"/>
          <w:sz w:val="22"/>
          <w:szCs w:val="22"/>
        </w:rPr>
        <w:t xml:space="preserve">Personnel (mapped to university HR cost centers and salary scales)</w:t>
      </w:r>
    </w:p>
    <w:p>
      <w:pPr>
        <w:pStyle w:val="ListParagraph"/>
        <w:numPr>
          <w:ilvl w:val="0"/>
          <w:numId w:val="4"/>
        </w:numPr>
        <w:spacing w:after="60"/>
      </w:pPr>
      <w:r>
        <w:rPr>
          <w:rFonts w:ascii="Arial" w:cs="Arial" w:eastAsia="Arial" w:hAnsi="Arial"/>
          <w:sz w:val="22"/>
          <w:szCs w:val="22"/>
        </w:rPr>
        <w:t xml:space="preserve">Travel and subsistence (mapped to university travel policy codes)</w:t>
      </w:r>
    </w:p>
    <w:p>
      <w:pPr>
        <w:pStyle w:val="ListParagraph"/>
        <w:numPr>
          <w:ilvl w:val="0"/>
          <w:numId w:val="4"/>
        </w:numPr>
        <w:spacing w:after="60"/>
      </w:pPr>
      <w:r>
        <w:rPr>
          <w:rFonts w:ascii="Arial" w:cs="Arial" w:eastAsia="Arial" w:hAnsi="Arial"/>
          <w:sz w:val="22"/>
          <w:szCs w:val="22"/>
        </w:rPr>
        <w:t xml:space="preserve">Equipment and consumables (mapped to procurement categories)</w:t>
      </w:r>
    </w:p>
    <w:p>
      <w:pPr>
        <w:pStyle w:val="ListParagraph"/>
        <w:numPr>
          <w:ilvl w:val="0"/>
          <w:numId w:val="4"/>
        </w:numPr>
        <w:spacing w:after="60"/>
      </w:pPr>
      <w:r>
        <w:rPr>
          <w:rFonts w:ascii="Arial" w:cs="Arial" w:eastAsia="Arial" w:hAnsi="Arial"/>
          <w:sz w:val="22"/>
          <w:szCs w:val="22"/>
        </w:rPr>
        <w:t xml:space="preserve">Subcontracting (mapped to vendor management system)</w:t>
      </w:r>
    </w:p>
    <w:p>
      <w:pPr>
        <w:pStyle w:val="ListParagraph"/>
        <w:numPr>
          <w:ilvl w:val="0"/>
          <w:numId w:val="4"/>
        </w:numPr>
        <w:spacing w:after="60"/>
      </w:pPr>
      <w:r>
        <w:rPr>
          <w:rFonts w:ascii="Arial" w:cs="Arial" w:eastAsia="Arial" w:hAnsi="Arial"/>
          <w:sz w:val="22"/>
          <w:szCs w:val="22"/>
        </w:rPr>
        <w:t xml:space="preserve">Overheads (university-specific indirect cost methodology, may differ from EC 25% flat rate)</w:t>
      </w:r>
    </w:p>
    <w:p>
      <w:pPr>
        <w:pStyle w:val="Heading2"/>
      </w:pPr>
      <w:r>
        <w:t xml:space="preserve">4.2 Expense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expense_id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Associated project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work_package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Associated work package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ec_category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 budget line (A, B, C, 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university_account_code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cost center mapping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Expense 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amount_gross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Amount including VAT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amount_net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 excluding VAT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vat_amount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VAT component (if non-recoverable)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 currency (ISO 4217)</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exchange_rate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InforEuro rate if non-EUR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amount_eur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Converted amount in EUR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date_incurred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 the cost was incurred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reporting_period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Assigned reporting period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Draft, Submitted, Approved, Reported, Audited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supporting_docs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Links to invoices, receipts, timesheets</w:t>
            </w:r>
          </w:p>
        </w:tc>
      </w:tr>
    </w:tbl>
    <w:p>
      <w:pPr>
        <w:pStyle w:val="Heading2"/>
      </w:pPr>
      <w:r>
        <w:t xml:space="preserve">4.3 Budget Monitoring</w:t>
      </w:r>
    </w:p>
    <w:p>
      <w:pPr>
        <w:spacing w:after="120"/>
      </w:pPr>
      <w:r>
        <w:rPr>
          <w:rFonts w:ascii="Arial" w:cs="Arial" w:eastAsia="Arial" w:hAnsi="Arial"/>
          <w:sz w:val="22"/>
          <w:szCs w:val="22"/>
        </w:rPr>
        <w:t xml:space="preserve">The system provides real-time budget monitoring at multiple levels: per project, per partner, per work package, and per budget category. Key metrics include:</w:t>
      </w:r>
    </w:p>
    <w:p>
      <w:pPr>
        <w:pStyle w:val="ListParagraph"/>
        <w:numPr>
          <w:ilvl w:val="0"/>
          <w:numId w:val="5"/>
        </w:numPr>
        <w:spacing w:after="60"/>
      </w:pPr>
      <w:r>
        <w:rPr>
          <w:rFonts w:ascii="Arial" w:cs="Arial" w:eastAsia="Arial" w:hAnsi="Arial"/>
          <w:sz w:val="22"/>
          <w:szCs w:val="22"/>
        </w:rPr>
        <w:t xml:space="preserve">Budget allocated vs committed vs spent vs reported</w:t>
      </w:r>
    </w:p>
    <w:p>
      <w:pPr>
        <w:pStyle w:val="ListParagraph"/>
        <w:numPr>
          <w:ilvl w:val="0"/>
          <w:numId w:val="5"/>
        </w:numPr>
        <w:spacing w:after="60"/>
      </w:pPr>
      <w:r>
        <w:rPr>
          <w:rFonts w:ascii="Arial" w:cs="Arial" w:eastAsia="Arial" w:hAnsi="Arial"/>
          <w:sz w:val="22"/>
          <w:szCs w:val="22"/>
        </w:rPr>
        <w:t xml:space="preserve">Burn rate and forecast completion cost</w:t>
      </w:r>
    </w:p>
    <w:p>
      <w:pPr>
        <w:pStyle w:val="ListParagraph"/>
        <w:numPr>
          <w:ilvl w:val="0"/>
          <w:numId w:val="5"/>
        </w:numPr>
        <w:spacing w:after="60"/>
      </w:pPr>
      <w:r>
        <w:rPr>
          <w:rFonts w:ascii="Arial" w:cs="Arial" w:eastAsia="Arial" w:hAnsi="Arial"/>
          <w:sz w:val="22"/>
          <w:szCs w:val="22"/>
        </w:rPr>
        <w:t xml:space="preserve">Budget transfer tracking (within the 20% flexibility rule for Horizon Europe)</w:t>
      </w:r>
    </w:p>
    <w:p>
      <w:pPr>
        <w:pStyle w:val="ListParagraph"/>
        <w:numPr>
          <w:ilvl w:val="0"/>
          <w:numId w:val="5"/>
        </w:numPr>
        <w:spacing w:after="60"/>
      </w:pPr>
      <w:r>
        <w:rPr>
          <w:rFonts w:ascii="Arial" w:cs="Arial" w:eastAsia="Arial" w:hAnsi="Arial"/>
          <w:sz w:val="22"/>
          <w:szCs w:val="22"/>
        </w:rPr>
        <w:t xml:space="preserve">Underspend/overspend alerts with configurable thresholds</w:t>
      </w:r>
    </w:p>
    <w:p>
      <w:pPr>
        <w:pStyle w:val="ListParagraph"/>
        <w:numPr>
          <w:ilvl w:val="0"/>
          <w:numId w:val="5"/>
        </w:numPr>
        <w:spacing w:after="60"/>
      </w:pPr>
      <w:r>
        <w:rPr>
          <w:rFonts w:ascii="Arial" w:cs="Arial" w:eastAsia="Arial" w:hAnsi="Arial"/>
          <w:sz w:val="22"/>
          <w:szCs w:val="22"/>
        </w:rPr>
        <w:t xml:space="preserve">Cash flow forecast including EC pre-financing, interim payments, and final payment schedules</w:t>
      </w:r>
    </w:p>
    <w:p>
      <w:pPr>
        <w:pStyle w:val="Heading2"/>
      </w:pPr>
      <w:r>
        <w:t xml:space="preserve">4.4 Fund Distribution (Coordinator View)</w:t>
      </w:r>
    </w:p>
    <w:p>
      <w:pPr>
        <w:spacing w:after="120"/>
      </w:pPr>
      <w:r>
        <w:rPr>
          <w:rFonts w:ascii="Arial" w:cs="Arial" w:eastAsia="Arial" w:hAnsi="Arial"/>
          <w:sz w:val="22"/>
          <w:szCs w:val="22"/>
        </w:rPr>
        <w:t xml:space="preserve">When acting as coordinator, the system tracks the flow of funds from the EC through to partners:</w:t>
      </w:r>
    </w:p>
    <w:p>
      <w:pPr>
        <w:pStyle w:val="ListParagraph"/>
        <w:numPr>
          <w:ilvl w:val="0"/>
          <w:numId w:val="6"/>
        </w:numPr>
        <w:spacing w:after="60"/>
      </w:pPr>
      <w:r>
        <w:rPr>
          <w:rFonts w:ascii="Arial" w:cs="Arial" w:eastAsia="Arial" w:hAnsi="Arial"/>
          <w:sz w:val="22"/>
          <w:szCs w:val="22"/>
        </w:rPr>
        <w:t xml:space="preserve">Pre-financing received from EC (date, amount)</w:t>
      </w:r>
    </w:p>
    <w:p>
      <w:pPr>
        <w:pStyle w:val="ListParagraph"/>
        <w:numPr>
          <w:ilvl w:val="0"/>
          <w:numId w:val="6"/>
        </w:numPr>
        <w:spacing w:after="60"/>
      </w:pPr>
      <w:r>
        <w:rPr>
          <w:rFonts w:ascii="Arial" w:cs="Arial" w:eastAsia="Arial" w:hAnsi="Arial"/>
          <w:sz w:val="22"/>
          <w:szCs w:val="22"/>
        </w:rPr>
        <w:t xml:space="preserve">Distributions to partners (date, amount, partner, bank transfer reference)</w:t>
      </w:r>
    </w:p>
    <w:p>
      <w:pPr>
        <w:pStyle w:val="ListParagraph"/>
        <w:numPr>
          <w:ilvl w:val="0"/>
          <w:numId w:val="6"/>
        </w:numPr>
        <w:spacing w:after="60"/>
      </w:pPr>
      <w:r>
        <w:rPr>
          <w:rFonts w:ascii="Arial" w:cs="Arial" w:eastAsia="Arial" w:hAnsi="Arial"/>
          <w:sz w:val="22"/>
          <w:szCs w:val="22"/>
        </w:rPr>
        <w:t xml:space="preserve">Interim and final payments from EC</w:t>
      </w:r>
    </w:p>
    <w:p>
      <w:pPr>
        <w:pStyle w:val="ListParagraph"/>
        <w:numPr>
          <w:ilvl w:val="0"/>
          <w:numId w:val="6"/>
        </w:numPr>
        <w:spacing w:after="60"/>
      </w:pPr>
      <w:r>
        <w:rPr>
          <w:rFonts w:ascii="Arial" w:cs="Arial" w:eastAsia="Arial" w:hAnsi="Arial"/>
          <w:sz w:val="22"/>
          <w:szCs w:val="22"/>
        </w:rPr>
        <w:t xml:space="preserve">Amounts retained pending partner financial report validation</w:t>
      </w:r>
    </w:p>
    <w:p>
      <w:pPr>
        <w:pStyle w:val="ListParagraph"/>
        <w:numPr>
          <w:ilvl w:val="0"/>
          <w:numId w:val="6"/>
        </w:numPr>
        <w:spacing w:after="60"/>
      </w:pPr>
      <w:r>
        <w:rPr>
          <w:rFonts w:ascii="Arial" w:cs="Arial" w:eastAsia="Arial" w:hAnsi="Arial"/>
          <w:sz w:val="22"/>
          <w:szCs w:val="22"/>
        </w:rPr>
        <w:t xml:space="preserve">Interest earned on pre-financing (if applicable under the GA)</w:t>
      </w:r>
    </w:p>
    <w:p>
      <w:pPr>
        <w:pStyle w:val="Heading2"/>
      </w:pPr>
      <w:r>
        <w:t xml:space="preserve">4.5 Missions and Travel Management</w:t>
      </w:r>
    </w:p>
    <w:p>
      <w:pPr>
        <w:spacing w:after="120"/>
      </w:pPr>
      <w:r>
        <w:rPr>
          <w:rFonts w:ascii="Arial" w:cs="Arial" w:eastAsia="Arial" w:hAnsi="Arial"/>
          <w:sz w:val="22"/>
          <w:szCs w:val="22"/>
        </w:rPr>
        <w:t xml:space="preserve">Missions (travel, accommodation, subsistence) represent a significant cost category and require dedicated tracking to satisfy both EC eligibility rules and university travel policies.</w:t>
      </w:r>
    </w:p>
    <w:p>
      <w:pPr>
        <w:pStyle w:val="Heading3"/>
      </w:pPr>
      <w:r>
        <w:t xml:space="preserve">Mission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mission_id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Associated project(s) – supports split-funded missions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work_package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Associated work package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Traveller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purpose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Consortium Meeting, Conference, Secondment, Fieldwork, Training, Other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destination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City and country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start_date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Departure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 date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approval_status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Requested, PI Approved, Centrally Approved, Completed, Cancelled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travel_costs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Flights, trains, local transport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accommodation_costs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Hotel and lodging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subsistence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diem or actual meal costs (per university/EC rules)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registration_fees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Conference or event registration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other_costs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Visa, insurance, baggage, etc.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total_cost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Sum of all mission expenses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 currency (ISO 4217)</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amount_eur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Converted to EUR via InforEuro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ec_eligible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costs are EC-eligible under the GA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supporting_docs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Boarding passes, invoices, receipts, per diem declaration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university_travel_order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 internal travel authorization reference</w:t>
            </w:r>
          </w:p>
        </w:tc>
      </w:tr>
    </w:tbl>
    <w:p>
      <w:pPr>
        <w:pStyle w:val="Heading3"/>
      </w:pPr>
      <w:r>
        <w:t xml:space="preserve">Mission Workflow</w:t>
      </w:r>
    </w:p>
    <w:p>
      <w:pPr>
        <w:spacing w:after="120"/>
      </w:pPr>
      <w:r>
        <w:rPr>
          <w:rFonts w:ascii="Arial" w:cs="Arial" w:eastAsia="Arial" w:hAnsi="Arial"/>
          <w:sz w:val="22"/>
          <w:szCs w:val="22"/>
        </w:rPr>
        <w:t xml:space="preserve">The mission lifecycle follows a structured approval chain: the researcher creates a mission request with estimated costs and justification (linked to a project activity); the PI approves for project relevance and budget availability; for missions above the university threshold or international travel, central approval is routed automatically.</w:t>
      </w:r>
    </w:p>
    <w:p>
      <w:pPr>
        <w:spacing w:after="120"/>
      </w:pPr>
      <w:r>
        <w:rPr>
          <w:rFonts w:ascii="Arial" w:cs="Arial" w:eastAsia="Arial" w:hAnsi="Arial"/>
          <w:b/>
          <w:bCs/>
          <w:sz w:val="22"/>
          <w:szCs w:val="22"/>
        </w:rPr>
        <w:t xml:space="preserve">For actual costs projects: </w:t>
      </w:r>
      <w:r>
        <w:rPr>
          <w:rFonts w:ascii="Arial" w:cs="Arial" w:eastAsia="Arial" w:hAnsi="Arial"/>
          <w:sz w:val="22"/>
          <w:szCs w:val="22"/>
        </w:rPr>
        <w:t xml:space="preserve">After travel, the researcher submits actual receipts (boarding passes, hotel invoices, transport tickets, per diem declarations). The system reconciles estimated vs actual costs, verifies EC eligibility, and categorizes final expenses under EC budget line C.1 (travel and subsistence). All documentation is linked for audit purposes.</w:t>
      </w:r>
    </w:p>
    <w:p>
      <w:pPr>
        <w:spacing w:after="120"/>
      </w:pPr>
      <w:r>
        <w:rPr>
          <w:rFonts w:ascii="Arial" w:cs="Arial" w:eastAsia="Arial" w:hAnsi="Arial"/>
          <w:b/>
          <w:bCs/>
          <w:sz w:val="22"/>
          <w:szCs w:val="22"/>
        </w:rPr>
        <w:t xml:space="preserve">For lump sum projects: </w:t>
      </w:r>
      <w:r>
        <w:rPr>
          <w:rFonts w:ascii="Arial" w:cs="Arial" w:eastAsia="Arial" w:hAnsi="Arial"/>
          <w:sz w:val="22"/>
          <w:szCs w:val="22"/>
        </w:rPr>
        <w:t xml:space="preserve">The internal approval workflow still applies (university travel policies must be followed regardless of EC cost model), but the post-travel documentation requirements are simplified. The system records costs for internal budget monitoring without enforcing EC eligibility rules. No boarding passes or individual receipts are required for EC reporting purposes, though the university may still require them.</w:t>
      </w:r>
    </w:p>
    <w:p>
      <w:pPr>
        <w:spacing w:after="120"/>
      </w:pPr>
      <w:r>
        <w:rPr>
          <w:rFonts w:ascii="Arial" w:cs="Arial" w:eastAsia="Arial" w:hAnsi="Arial"/>
          <w:b/>
          <w:bCs/>
          <w:sz w:val="22"/>
          <w:szCs w:val="22"/>
        </w:rPr>
        <w:t xml:space="preserve">For unit costs projects: </w:t>
      </w:r>
      <w:r>
        <w:rPr>
          <w:rFonts w:ascii="Arial" w:cs="Arial" w:eastAsia="Arial" w:hAnsi="Arial"/>
          <w:sz w:val="22"/>
          <w:szCs w:val="22"/>
        </w:rPr>
        <w:t xml:space="preserve">If travel is part of a defined unit (e.g., a training event), the mission is linked to the unit record rather than claimed as an individual expense. The system tracks the mission as evidence of unit delivery.</w:t>
      </w:r>
    </w:p>
    <w:p>
      <w:pPr>
        <w:pStyle w:val="Heading2"/>
      </w:pPr>
      <w:r>
        <w:t xml:space="preserve">4.6 Equipment and Other Costs Procurement</w:t>
      </w:r>
    </w:p>
    <w:p>
      <w:pPr>
        <w:spacing w:after="120"/>
      </w:pPr>
      <w:r>
        <w:rPr>
          <w:rFonts w:ascii="Arial" w:cs="Arial" w:eastAsia="Arial" w:hAnsi="Arial"/>
          <w:sz w:val="22"/>
          <w:szCs w:val="22"/>
        </w:rPr>
        <w:t xml:space="preserve">Equipment purchases (computers, lab instruments, software licences) and other goods and services follow the procurement rules of both the EC and the university, which typically has stricter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procurement_id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Associated project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work_package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Associated work package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ec_category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C.2 (Equipment) or C.3 (Other goods and services)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Item or service 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estimated_cost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Budgeted amount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actual_cost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Final invoiced amount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Vendor name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procurement_method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Direct Purchase, 3 Quotes, Public Tender, Framework Agreement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university_threshold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Below threshold, Simplified, Full procedure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depreciation_applicable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Whether depreciation applies (equipment used beyond project)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depreciation_rate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depreciation percentage if applicable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eligible_amount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EC-eligible portion (may differ from actual if depreciated)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of purchase or contract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invoice_reference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Invoice number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supporting_docs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Quotes, tender docs, comparative analysis, invoices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approval_status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Requested, PI Approved, Procurement Approved, Completed</w:t>
            </w:r>
          </w:p>
        </w:tc>
      </w:tr>
    </w:tbl>
    <w:p>
      <w:r>
        <w:br w:type="page"/>
      </w:r>
    </w:p>
    <w:p>
      <w:pPr>
        <w:pStyle w:val="Heading1"/>
      </w:pPr>
      <w:r>
        <w:t xml:space="preserve">5. Person-Month and Effort Tracking</w:t>
      </w:r>
    </w:p>
    <w:p>
      <w:pPr>
        <w:pStyle w:val="Heading2"/>
      </w:pPr>
      <w:r>
        <w:t xml:space="preserve">5.1 Researcher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researcher_id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identifier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 Co-PI, Postdoc, PhD Student, Research Engineer, Technician, Admin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DL57, CEEC, Bolsa (BI/BD/BPD), CLT, Other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Full-time equivalent (1.0 = full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annual_gross_cost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salary including employer contributions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productive_hours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Integer</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Annual productive hours (EC methodology)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hourly_rate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Calculated: annual_gross_cost / productive_hours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start_date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Contract start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end date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funding_source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 of projects funding this position</w:t>
            </w:r>
          </w:p>
        </w:tc>
      </w:tr>
    </w:tbl>
    <w:p>
      <w:pPr>
        <w:pStyle w:val="Heading2"/>
      </w:pPr>
      <w:r>
        <w:t xml:space="preserve">5.2 Effort Allocation and Timesheets</w:t>
      </w:r>
    </w:p>
    <w:p>
      <w:pPr>
        <w:spacing w:after="120"/>
      </w:pPr>
      <w:r>
        <w:rPr>
          <w:rFonts w:ascii="Arial" w:cs="Arial" w:eastAsia="Arial" w:hAnsi="Arial"/>
          <w:sz w:val="22"/>
          <w:szCs w:val="22"/>
        </w:rPr>
        <w:t xml:space="preserve">The system supports two levels of effort tracking: planned allocation (forward-looking, for resource planning) and actual effort (backward-looking, for reporting).</w:t>
      </w:r>
    </w:p>
    <w:p>
      <w:pPr>
        <w:spacing w:after="120"/>
      </w:pPr>
      <w:r>
        <w:rPr>
          <w:rFonts w:ascii="Arial" w:cs="Arial" w:eastAsia="Arial" w:hAnsi="Arial"/>
          <w:b/>
          <w:bCs/>
          <w:sz w:val="22"/>
          <w:szCs w:val="22"/>
        </w:rPr>
        <w:t xml:space="preserve">Planned allocation: </w:t>
      </w:r>
      <w:r>
        <w:rPr>
          <w:rFonts w:ascii="Arial" w:cs="Arial" w:eastAsia="Arial" w:hAnsi="Arial"/>
          <w:sz w:val="22"/>
          <w:szCs w:val="22"/>
        </w:rPr>
        <w:t xml:space="preserve">At the start of each period, the PI or project manager sets the expected PM allocation per researcher per project per work package. The system validates that no researcher exceeds 100% total allocation across all projects.</w:t>
      </w:r>
    </w:p>
    <w:p>
      <w:pPr>
        <w:spacing w:after="120"/>
      </w:pPr>
      <w:r>
        <w:rPr>
          <w:rFonts w:ascii="Arial" w:cs="Arial" w:eastAsia="Arial" w:hAnsi="Arial"/>
          <w:b/>
          <w:bCs/>
          <w:sz w:val="22"/>
          <w:szCs w:val="22"/>
        </w:rPr>
        <w:t xml:space="preserve">Actual effort (timesheets): </w:t>
      </w:r>
      <w:r>
        <w:rPr>
          <w:rFonts w:ascii="Arial" w:cs="Arial" w:eastAsia="Arial" w:hAnsi="Arial"/>
          <w:sz w:val="22"/>
          <w:szCs w:val="22"/>
        </w:rPr>
        <w:t xml:space="preserve">For actual costs projects, researchers log hours worked per project per day/week/month. The system calculates person-months based on the EC methodology (hours worked / productive hours). For lump sum projects, only planned allocation is needed, but internal tracking is recommended.</w:t>
      </w:r>
    </w:p>
    <w:p>
      <w:pPr>
        <w:pStyle w:val="Heading2"/>
      </w:pPr>
      <w:r>
        <w:t xml:space="preserve">5.3 Cross-Project Allocation View</w:t>
      </w:r>
    </w:p>
    <w:p>
      <w:pPr>
        <w:spacing w:after="120"/>
      </w:pPr>
      <w:r>
        <w:rPr>
          <w:rFonts w:ascii="Arial" w:cs="Arial" w:eastAsia="Arial" w:hAnsi="Arial"/>
          <w:sz w:val="22"/>
          <w:szCs w:val="22"/>
        </w:rPr>
        <w:t xml:space="preserve">A consolidated view shows, for each researcher, their current committed PMs across all active projects and the remaining available capacity for future months. This prevents over-commitment and supports informed decisions when allocating effort across running projects.</w:t>
      </w:r>
    </w:p>
    <w:p>
      <w:r>
        <w:br w:type="page"/>
      </w:r>
    </w:p>
    <w:p>
      <w:pPr>
        <w:pStyle w:val="Heading1"/>
      </w:pPr>
      <w:r>
        <w:t xml:space="preserve">6. Institutional Reporting Layer</w:t>
      </w:r>
    </w:p>
    <w:p>
      <w:pPr>
        <w:pStyle w:val="Heading2"/>
      </w:pPr>
      <w:r>
        <w:t xml:space="preserve">6.1 Central Finance PM Dashboard</w:t>
      </w:r>
    </w:p>
    <w:p>
      <w:pPr>
        <w:spacing w:after="120"/>
      </w:pPr>
      <w:r>
        <w:rPr>
          <w:rFonts w:ascii="Arial" w:cs="Arial" w:eastAsia="Arial" w:hAnsi="Arial"/>
          <w:sz w:val="22"/>
          <w:szCs w:val="22"/>
        </w:rPr>
        <w:t xml:space="preserve">Provides the university central services with a consolidated view tailored to institutional needs, without exposing sensitive consortium or technical information.</w:t>
      </w:r>
    </w:p>
    <w:p>
      <w:pPr>
        <w:spacing w:after="120"/>
      </w:pPr>
      <w:r>
        <w:rPr>
          <w:rFonts w:ascii="Arial" w:cs="Arial" w:eastAsia="Arial" w:hAnsi="Arial"/>
          <w:b/>
          <w:bCs/>
          <w:sz w:val="22"/>
          <w:szCs w:val="22"/>
        </w:rPr>
        <w:t xml:space="preserve">Data visible to the central finance PM:</w:t>
      </w:r>
    </w:p>
    <w:p>
      <w:pPr>
        <w:pStyle w:val="ListParagraph"/>
        <w:numPr>
          <w:ilvl w:val="0"/>
          <w:numId w:val="7"/>
        </w:numPr>
        <w:spacing w:after="60"/>
      </w:pPr>
      <w:r>
        <w:rPr>
          <w:rFonts w:ascii="Arial" w:cs="Arial" w:eastAsia="Arial" w:hAnsi="Arial"/>
          <w:sz w:val="22"/>
          <w:szCs w:val="22"/>
        </w:rPr>
        <w:t xml:space="preserve">Project list with key dates, budget totals, and status</w:t>
      </w:r>
    </w:p>
    <w:p>
      <w:pPr>
        <w:pStyle w:val="ListParagraph"/>
        <w:numPr>
          <w:ilvl w:val="0"/>
          <w:numId w:val="7"/>
        </w:numPr>
        <w:spacing w:after="60"/>
      </w:pPr>
      <w:r>
        <w:rPr>
          <w:rFonts w:ascii="Arial" w:cs="Arial" w:eastAsia="Arial" w:hAnsi="Arial"/>
          <w:sz w:val="22"/>
          <w:szCs w:val="22"/>
        </w:rPr>
        <w:t xml:space="preserve">Person-month allocations and actuals per researcher per project per period</w:t>
      </w:r>
    </w:p>
    <w:p>
      <w:pPr>
        <w:pStyle w:val="ListParagraph"/>
        <w:numPr>
          <w:ilvl w:val="0"/>
          <w:numId w:val="7"/>
        </w:numPr>
        <w:spacing w:after="60"/>
      </w:pPr>
      <w:r>
        <w:rPr>
          <w:rFonts w:ascii="Arial" w:cs="Arial" w:eastAsia="Arial" w:hAnsi="Arial"/>
          <w:sz w:val="22"/>
          <w:szCs w:val="22"/>
        </w:rPr>
        <w:t xml:space="preserve">Budget burn rate vs plan, with underspend/overspend flags</w:t>
      </w:r>
    </w:p>
    <w:p>
      <w:pPr>
        <w:pStyle w:val="ListParagraph"/>
        <w:numPr>
          <w:ilvl w:val="0"/>
          <w:numId w:val="7"/>
        </w:numPr>
        <w:spacing w:after="60"/>
      </w:pPr>
      <w:r>
        <w:rPr>
          <w:rFonts w:ascii="Arial" w:cs="Arial" w:eastAsia="Arial" w:hAnsi="Arial"/>
          <w:sz w:val="22"/>
          <w:szCs w:val="22"/>
        </w:rPr>
        <w:t xml:space="preserve">Upcoming EC payment milestones and expected cash inflows</w:t>
      </w:r>
    </w:p>
    <w:p>
      <w:pPr>
        <w:pStyle w:val="ListParagraph"/>
        <w:numPr>
          <w:ilvl w:val="0"/>
          <w:numId w:val="7"/>
        </w:numPr>
        <w:spacing w:after="60"/>
      </w:pPr>
      <w:r>
        <w:rPr>
          <w:rFonts w:ascii="Arial" w:cs="Arial" w:eastAsia="Arial" w:hAnsi="Arial"/>
          <w:sz w:val="22"/>
          <w:szCs w:val="22"/>
        </w:rPr>
        <w:t xml:space="preserve">Co-financing obligations and institutional contribution tracking</w:t>
      </w:r>
    </w:p>
    <w:p>
      <w:pPr>
        <w:pStyle w:val="ListParagraph"/>
        <w:numPr>
          <w:ilvl w:val="0"/>
          <w:numId w:val="7"/>
        </w:numPr>
        <w:spacing w:after="60"/>
      </w:pPr>
      <w:r>
        <w:rPr>
          <w:rFonts w:ascii="Arial" w:cs="Arial" w:eastAsia="Arial" w:hAnsi="Arial"/>
          <w:sz w:val="22"/>
          <w:szCs w:val="22"/>
        </w:rPr>
        <w:t xml:space="preserve">Pending budget amendments and their financial impact</w:t>
      </w:r>
    </w:p>
    <w:p>
      <w:pPr>
        <w:pStyle w:val="ListParagraph"/>
        <w:numPr>
          <w:ilvl w:val="0"/>
          <w:numId w:val="7"/>
        </w:numPr>
        <w:spacing w:after="60"/>
      </w:pPr>
      <w:r>
        <w:rPr>
          <w:rFonts w:ascii="Arial" w:cs="Arial" w:eastAsia="Arial" w:hAnsi="Arial"/>
          <w:sz w:val="22"/>
          <w:szCs w:val="22"/>
        </w:rPr>
        <w:t xml:space="preserve">Recruitment plans tied to project funding (positions, timelines, salary levels)</w:t>
      </w:r>
    </w:p>
    <w:p>
      <w:pPr>
        <w:pStyle w:val="ListParagraph"/>
        <w:numPr>
          <w:ilvl w:val="0"/>
          <w:numId w:val="7"/>
        </w:numPr>
        <w:spacing w:after="60"/>
      </w:pPr>
      <w:r>
        <w:rPr>
          <w:rFonts w:ascii="Arial" w:cs="Arial" w:eastAsia="Arial" w:hAnsi="Arial"/>
          <w:sz w:val="22"/>
          <w:szCs w:val="22"/>
        </w:rPr>
        <w:t xml:space="preserve">Procurement above institutional thresholds requiring central approval</w:t>
      </w:r>
    </w:p>
    <w:p>
      <w:pPr>
        <w:pStyle w:val="Heading2"/>
      </w:pPr>
      <w:r>
        <w:t xml:space="preserve">6.2 Export Formats</w:t>
      </w:r>
    </w:p>
    <w:p>
      <w:pPr>
        <w:spacing w:after="120"/>
      </w:pPr>
      <w:r>
        <w:rPr>
          <w:rFonts w:ascii="Arial" w:cs="Arial" w:eastAsia="Arial" w:hAnsi="Arial"/>
          <w:sz w:val="22"/>
          <w:szCs w:val="22"/>
        </w:rPr>
        <w:t xml:space="preserve">The system generates reports in the specific formats required by central services:</w:t>
      </w:r>
    </w:p>
    <w:p>
      <w:pPr>
        <w:pStyle w:val="ListParagraph"/>
        <w:numPr>
          <w:ilvl w:val="0"/>
          <w:numId w:val="8"/>
        </w:numPr>
        <w:spacing w:after="60"/>
      </w:pPr>
      <w:r>
        <w:rPr>
          <w:rFonts w:ascii="Arial" w:cs="Arial" w:eastAsia="Arial" w:hAnsi="Arial"/>
          <w:sz w:val="22"/>
          <w:szCs w:val="22"/>
        </w:rPr>
        <w:t xml:space="preserve">PM declaration sheets (per researcher, per project, per period)</w:t>
      </w:r>
    </w:p>
    <w:p>
      <w:pPr>
        <w:pStyle w:val="ListParagraph"/>
        <w:numPr>
          <w:ilvl w:val="0"/>
          <w:numId w:val="8"/>
        </w:numPr>
        <w:spacing w:after="60"/>
      </w:pPr>
      <w:r>
        <w:rPr>
          <w:rFonts w:ascii="Arial" w:cs="Arial" w:eastAsia="Arial" w:hAnsi="Arial"/>
          <w:sz w:val="22"/>
          <w:szCs w:val="22"/>
        </w:rPr>
        <w:t xml:space="preserve">Cost statements reconcilable with the university financial system</w:t>
      </w:r>
    </w:p>
    <w:p>
      <w:pPr>
        <w:pStyle w:val="ListParagraph"/>
        <w:numPr>
          <w:ilvl w:val="0"/>
          <w:numId w:val="8"/>
        </w:numPr>
        <w:spacing w:after="60"/>
      </w:pPr>
      <w:r>
        <w:rPr>
          <w:rFonts w:ascii="Arial" w:cs="Arial" w:eastAsia="Arial" w:hAnsi="Arial"/>
          <w:sz w:val="22"/>
          <w:szCs w:val="22"/>
        </w:rPr>
        <w:t xml:space="preserve">Overhead calculations following institutional methodology</w:t>
      </w:r>
    </w:p>
    <w:p>
      <w:pPr>
        <w:pStyle w:val="ListParagraph"/>
        <w:numPr>
          <w:ilvl w:val="0"/>
          <w:numId w:val="8"/>
        </w:numPr>
        <w:spacing w:after="60"/>
      </w:pPr>
      <w:r>
        <w:rPr>
          <w:rFonts w:ascii="Arial" w:cs="Arial" w:eastAsia="Arial" w:hAnsi="Arial"/>
          <w:sz w:val="22"/>
          <w:szCs w:val="22"/>
        </w:rPr>
        <w:t xml:space="preserve">Annual project financial summaries for university-level reporting</w:t>
      </w:r>
    </w:p>
    <w:p>
      <w:pPr>
        <w:pStyle w:val="ListParagraph"/>
        <w:numPr>
          <w:ilvl w:val="0"/>
          <w:numId w:val="8"/>
        </w:numPr>
        <w:spacing w:after="60"/>
      </w:pPr>
      <w:r>
        <w:rPr>
          <w:rFonts w:ascii="Arial" w:cs="Arial" w:eastAsia="Arial" w:hAnsi="Arial"/>
          <w:sz w:val="22"/>
          <w:szCs w:val="22"/>
        </w:rPr>
        <w:t xml:space="preserve">Audit-ready documentation packages with full traceability</w:t>
      </w:r>
    </w:p>
    <w:p>
      <w:r>
        <w:br w:type="page"/>
      </w:r>
    </w:p>
    <w:p>
      <w:pPr>
        <w:pStyle w:val="Heading1"/>
      </w:pPr>
      <w:r>
        <w:t xml:space="preserve">7. Template Library and Document Generation</w:t>
      </w:r>
    </w:p>
    <w:p>
      <w:pPr>
        <w:pStyle w:val="Heading2"/>
      </w:pPr>
      <w:r>
        <w:t xml:space="preserve">7.1 Template Engine Architecture</w:t>
      </w:r>
    </w:p>
    <w:p>
      <w:pPr>
        <w:spacing w:after="120"/>
      </w:pPr>
      <w:r>
        <w:rPr>
          <w:rFonts w:ascii="Arial" w:cs="Arial" w:eastAsia="Arial" w:hAnsi="Arial"/>
          <w:sz w:val="22"/>
          <w:szCs w:val="22"/>
        </w:rPr>
        <w:t xml:space="preserve">Templates are structured documents with three types of fields: auto-populated fields (filled from project and institutional data), conditional sections (included or excluded based on project type, cost model, or role), and manual input fields (requiring user entry for case-specific details). Each template has a versioned schema defining its fields, validation rules, and data source mappings.</w:t>
      </w:r>
    </w:p>
    <w:p>
      <w:pPr>
        <w:pStyle w:val="Heading2"/>
      </w:pPr>
      <w:r>
        <w:t xml:space="preserve">7.2 Template Categories and Types</w:t>
      </w:r>
    </w:p>
    <w:p>
      <w:pPr>
        <w:pStyle w:val="Heading3"/>
      </w:pPr>
      <w:r>
        <w:t xml:space="preserve">7.2.1 Personnel Contracts and Scholarships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 Context</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Auto-populated Fields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Bolsa de Investigação (BI)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Research scholarship, any programme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Project acronym, GA number, duration, supervisor, funding 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Bolsa de Doutoramento (BD)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PhD scholarship</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acronym, start/end dates, supervisor, research plan reference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Bolsa de Pós-Doutoramento (BPD)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Postdoc scholarship</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Project info, research group, salary scale, evaluation criteria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DL57 Contract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Scientific employment (DL 57/2016)</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Institution details, research area, project association, evaluation committee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CEEC Contract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Scientific employment stimulus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Programme details, researcher profile, institutional commitment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CLT Employment Contract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employment, project-funded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details, funding source, project period, salary grade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Contract Renewal/Extension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Any contract nearing end date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Current contract details, updated end date, justification, budget impact</w:t>
            </w:r>
          </w:p>
        </w:tc>
      </w:tr>
    </w:tbl>
    <w:p>
      <w:pPr>
        <w:pStyle w:val="Heading3"/>
      </w:pPr>
      <w:r>
        <w:t xml:space="preserve">7.2.2 EC and Consortium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 Context</w:t>
            </w:r>
          </w:p>
        </w:tc>
        <w:tc>
          <w:tcPr>
            <w:tcW w:type="dxa" w:w="3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Auto-populated Fields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Consortium Agreement (DESCA-based)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New project, coordinator role</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 partner details, WP structure, IP background list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Partnership Agreement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Bilateral with specific partner</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 details, WP scope, budget allocation, IP clauses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Grant Agreement Amendment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Budget transfer, timeline change</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Current GA details, proposed changes, justification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Subcontracting Agreement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Subcontracting above threshold</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details, scope of work, EC procurement rules</w:t>
            </w:r>
          </w:p>
        </w:tc>
      </w:tr>
    </w:tbl>
    <w:p>
      <w:pPr>
        <w:pStyle w:val="Heading3"/>
      </w:pPr>
      <w:r>
        <w:t xml:space="preserve">7.2.3 Reporting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 Context</w:t>
            </w:r>
          </w:p>
        </w:tc>
        <w:tc>
          <w:tcPr>
            <w:tcW w:type="dxa" w:w="3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Auto-populated Fields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Periodic Technical Report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Reporting period deadline</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Project info, period dates, WP structure, partner list, deliverable 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Periodic Financial Report (Form 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Reporting period deadline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 costs per category, PM claims, indirect cost calculations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Deliverable Cover Page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Deliverable submission</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 number, title, authors, revision history, dissemination level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Claim Summary (per partner)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Financial reporting</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Expenses per category, exchange rates, supporting doc references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University Internal Report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Institutional reporting cycle</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Budget burn, PMs, recruitment status, cash flow</w:t>
            </w:r>
          </w:p>
        </w:tc>
      </w:tr>
    </w:tbl>
    <w:p>
      <w:pPr>
        <w:pStyle w:val="Heading3"/>
      </w:pPr>
      <w:r>
        <w:t xml:space="preserve">7.2.4 Mission and Travel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 Context</w:t>
            </w:r>
          </w:p>
        </w:tc>
        <w:tc>
          <w:tcPr>
            <w:tcW w:type="dxa" w:w="3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Auto-populated Fields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Mission Request / Travel Authorization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New mission created</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Researcher details, project, WP, budget line, per diem rates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Mission Expense Report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Mission completed, receipts submitted</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Mission details, dates, destination, pre-filled cost categories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 Diem Declaration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Subsistence claimed as flat rate</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Destination rates, dates, partial day calculations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Conference Attendance Justification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Conference registration requested</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link, relevance to WP, estimated cost, dissemination value</w:t>
            </w:r>
          </w:p>
        </w:tc>
      </w:tr>
    </w:tbl>
    <w:p>
      <w:pPr>
        <w:pStyle w:val="Heading3"/>
      </w:pPr>
      <w:r>
        <w:t xml:space="preserve">7.2.5 Procurement and Internal Process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 Context</w:t>
            </w:r>
          </w:p>
        </w:tc>
        <w:tc>
          <w:tcPr>
            <w:tcW w:type="dxa" w:w="3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Auto-populated Fields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Request for Quotation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Purchase above threshold</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Project and budget line, item description, evaluation criteria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Comparative Analysis Form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quotes received</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Supplier details, prices, scoring matrix</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Procurement Justification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Single-source or above threshold</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 and university rules applicable, justification framework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Equipment Depreciation Calculation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Equipment purchase for multi-project use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 cost, project duration, usage percentage, eligible amount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Budget Transfer Request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Internal reallocation</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Current budget breakdown, proposed change, justification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Recruitment Authorization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hire on project funding</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profile, funding source, contract type, duration</w:t>
            </w:r>
          </w:p>
        </w:tc>
      </w:tr>
    </w:tbl>
    <w:p>
      <w:pPr>
        <w:pStyle w:val="Heading2"/>
      </w:pPr>
      <w:r>
        <w:t xml:space="preserve">7.3 Template Workflow</w:t>
      </w:r>
    </w:p>
    <w:p>
      <w:pPr>
        <w:spacing w:after="120"/>
      </w:pPr>
      <w:r>
        <w:rPr>
          <w:rFonts w:ascii="Arial" w:cs="Arial" w:eastAsia="Arial" w:hAnsi="Arial"/>
          <w:sz w:val="22"/>
          <w:szCs w:val="22"/>
        </w:rPr>
        <w:t xml:space="preserve">Templates integrate into workflows: selecting a project and action triggers the appropriate template, auto-populates known fields, presents a form for manual fields, generates the document in the required format (DOCX, PDF), logs the document in the project record, and optionally routes it for approval. Version control ensures traceability of which template version was used for each generated document.</w:t>
      </w:r>
    </w:p>
    <w:p>
      <w:r>
        <w:br w:type="page"/>
      </w:r>
    </w:p>
    <w:p>
      <w:pPr>
        <w:pStyle w:val="Heading1"/>
      </w:pPr>
      <w:r>
        <w:t xml:space="preserve">8. Reporting and Compliance Engine</w:t>
      </w:r>
    </w:p>
    <w:p>
      <w:pPr>
        <w:pStyle w:val="Heading2"/>
      </w:pPr>
      <w:r>
        <w:t xml:space="preserve">8.1 Reporting Calendar</w:t>
      </w:r>
    </w:p>
    <w:p>
      <w:pPr>
        <w:spacing w:after="120"/>
      </w:pPr>
      <w:r>
        <w:rPr>
          <w:rFonts w:ascii="Arial" w:cs="Arial" w:eastAsia="Arial" w:hAnsi="Arial"/>
          <w:sz w:val="22"/>
          <w:szCs w:val="22"/>
        </w:rPr>
        <w:t xml:space="preserve">Auto-generated from grant agreement data. For each reporting period: technical report deadline, financial report deadline, and review meeting (if applicable). Automated reminders at 90, 60, and 30 days before each deadline, with escalation for overdue items.</w:t>
      </w:r>
    </w:p>
    <w:p>
      <w:pPr>
        <w:pStyle w:val="Heading2"/>
      </w:pPr>
      <w:r>
        <w:t xml:space="preserve">8.2 Periodic Technical Reporting</w:t>
      </w:r>
    </w:p>
    <w:p>
      <w:pPr>
        <w:spacing w:after="120"/>
      </w:pPr>
      <w:r>
        <w:rPr>
          <w:rFonts w:ascii="Arial" w:cs="Arial" w:eastAsia="Arial" w:hAnsi="Arial"/>
          <w:sz w:val="22"/>
          <w:szCs w:val="22"/>
        </w:rPr>
        <w:t xml:space="preserve">The technical report is the core narrative account of project progress. The system supports its preparation through a structured workflow that collects inputs from all partners and work package leaders.</w:t>
      </w:r>
    </w:p>
    <w:p>
      <w:pPr>
        <w:pStyle w:val="Heading3"/>
      </w:pPr>
      <w:r>
        <w:t xml:space="preserve">8.2.1 Technical Report Structure</w:t>
      </w:r>
    </w:p>
    <w:p>
      <w:pPr>
        <w:spacing w:after="120"/>
      </w:pPr>
      <w:r>
        <w:rPr>
          <w:rFonts w:ascii="Arial" w:cs="Arial" w:eastAsia="Arial" w:hAnsi="Arial"/>
          <w:sz w:val="22"/>
          <w:szCs w:val="22"/>
        </w:rPr>
        <w:t xml:space="preserve">Each periodic technical report follows the EC template structure. The system pre-populates sections and provides an editing workflow:</w:t>
      </w:r>
    </w:p>
    <w:p>
      <w:pPr>
        <w:pStyle w:val="ListParagraph"/>
        <w:numPr>
          <w:ilvl w:val="0"/>
          <w:numId w:val="9"/>
        </w:numPr>
        <w:spacing w:after="60"/>
      </w:pPr>
      <w:r>
        <w:rPr>
          <w:rFonts w:ascii="Arial" w:cs="Arial" w:eastAsia="Arial" w:hAnsi="Arial"/>
          <w:sz w:val="22"/>
          <w:szCs w:val="22"/>
        </w:rPr>
        <w:t xml:space="preserve">Part A: Publishable summary – auto-generated draft from deliverable abstracts and WP summaries, editable by the PI</w:t>
      </w:r>
    </w:p>
    <w:p>
      <w:pPr>
        <w:pStyle w:val="ListParagraph"/>
        <w:numPr>
          <w:ilvl w:val="0"/>
          <w:numId w:val="9"/>
        </w:numPr>
        <w:spacing w:after="60"/>
      </w:pPr>
      <w:r>
        <w:rPr>
          <w:rFonts w:ascii="Arial" w:cs="Arial" w:eastAsia="Arial" w:hAnsi="Arial"/>
          <w:sz w:val="22"/>
          <w:szCs w:val="22"/>
        </w:rPr>
        <w:t xml:space="preserve">Part B Section 1: Explanation of work per WP – each WP leader drafts their section directly in the system; objectives, tasks performed, deviations from the DoA, and contributions to other WPs</w:t>
      </w:r>
    </w:p>
    <w:p>
      <w:pPr>
        <w:pStyle w:val="ListParagraph"/>
        <w:numPr>
          <w:ilvl w:val="0"/>
          <w:numId w:val="9"/>
        </w:numPr>
        <w:spacing w:after="60"/>
      </w:pPr>
      <w:r>
        <w:rPr>
          <w:rFonts w:ascii="Arial" w:cs="Arial" w:eastAsia="Arial" w:hAnsi="Arial"/>
          <w:sz w:val="22"/>
          <w:szCs w:val="22"/>
        </w:rPr>
        <w:t xml:space="preserve">Part B Section 2: Deliverables and milestones – auto-generated from deliverable and milestone tracking data, showing status, submission dates, and any delays with explanations</w:t>
      </w:r>
    </w:p>
    <w:p>
      <w:pPr>
        <w:pStyle w:val="ListParagraph"/>
        <w:numPr>
          <w:ilvl w:val="0"/>
          <w:numId w:val="9"/>
        </w:numPr>
        <w:spacing w:after="60"/>
      </w:pPr>
      <w:r>
        <w:rPr>
          <w:rFonts w:ascii="Arial" w:cs="Arial" w:eastAsia="Arial" w:hAnsi="Arial"/>
          <w:sz w:val="22"/>
          <w:szCs w:val="22"/>
        </w:rPr>
        <w:t xml:space="preserve">Part B Section 3: Critical implementation risks and mitigation – pulled from the risk register with current status and actions taken</w:t>
      </w:r>
    </w:p>
    <w:p>
      <w:pPr>
        <w:pStyle w:val="ListParagraph"/>
        <w:numPr>
          <w:ilvl w:val="0"/>
          <w:numId w:val="9"/>
        </w:numPr>
        <w:spacing w:after="60"/>
      </w:pPr>
      <w:r>
        <w:rPr>
          <w:rFonts w:ascii="Arial" w:cs="Arial" w:eastAsia="Arial" w:hAnsi="Arial"/>
          <w:sz w:val="22"/>
          <w:szCs w:val="22"/>
        </w:rPr>
        <w:t xml:space="preserve">Part B Section 4: Use of resources – auto-generated from financial data showing PM usage per partner per WP and justification for deviations from planned effort</w:t>
      </w:r>
    </w:p>
    <w:p>
      <w:pPr>
        <w:pStyle w:val="Heading3"/>
      </w:pPr>
      <w:r>
        <w:t xml:space="preserve">8.2.2 Technical Report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26"/>
        <w:gridCol w:w="20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Deadline (before submission)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Initiate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 / PI</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Auto-create report shell, notify WP leaders and partners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T-90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WP Input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WP Leaders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WP-level progress narratives, flag deviations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T-60 days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 Partner Input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 Partners</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Review and confirm their contributions per WP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T-45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Consolidation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 / Coordinator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 inputs, write overview sections, ensure consistency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T-30 days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 Internal Review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 + Central Finance PM</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Cross-check technical narrative against financial claims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T-15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Final 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edits, annexes, generate PDF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T-7 days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7. Submission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 / Coordinator</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Submit via Funding and Tenders Portal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T-0</w:t>
            </w:r>
          </w:p>
        </w:tc>
      </w:tr>
    </w:tbl>
    <w:p>
      <w:pPr>
        <w:pStyle w:val="Heading2"/>
      </w:pPr>
      <w:r>
        <w:t xml:space="preserve">8.3 Periodic Financial Reporting</w:t>
      </w:r>
    </w:p>
    <w:p>
      <w:pPr>
        <w:spacing w:after="120"/>
      </w:pPr>
      <w:r>
        <w:rPr>
          <w:rFonts w:ascii="Arial" w:cs="Arial" w:eastAsia="Arial" w:hAnsi="Arial"/>
          <w:sz w:val="22"/>
          <w:szCs w:val="22"/>
        </w:rPr>
        <w:t xml:space="preserve">Financial reporting differs fundamentally between cost models. For actual costs projects, the financial report (Form C / financial statement) is submitted per partner per reporting period, with detailed cost breakdowns per category. For lump sum projects, the financial report is a declaration of work package completion – no cost breakdown is submitted to the EC, and payment is triggered by acceptance of the WP deliverables. The system detects the project cost model and generates the appropriate report type.</w:t>
      </w:r>
    </w:p>
    <w:p>
      <w:pPr>
        <w:pStyle w:val="Heading3"/>
      </w:pPr>
      <w:r>
        <w:t xml:space="preserve">8.3.1 Financial Statement Structure (per partner)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3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Calculation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 Personnel (direct)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Timesheets + researcher profiles</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Hours × hourly rate, or PM × monthly rate per EC methodology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 Subcontracting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Subcontract records + invoices</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Actual invoiced amounts, verified against GA limits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C.1 Travel and subsistence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Mission records + receipts</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Actual costs per mission, within EC eligible limits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C.2 Equipment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Procurement records + invoices</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Depreciation or full cost per GA rules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C.3 Other goods and services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Expense records + invoices</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Actual costs with supporting documentation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 Other cost categories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records per type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Financial support to third parties, internally invoiced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 Indirect costs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Calculated</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 flat rate on (A + C + 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eligible costs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Aggregated</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A through 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 contribution requested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Calculated</w:t>
            </w:r>
          </w:p>
        </w:tc>
        <w:tc>
          <w:tcPr>
            <w:tcW w:type="dxa" w:w="3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Total eligible × funding rate</w:t>
            </w:r>
          </w:p>
        </w:tc>
      </w:tr>
    </w:tbl>
    <w:p>
      <w:pPr>
        <w:pStyle w:val="Heading3"/>
      </w:pPr>
      <w:r>
        <w:t xml:space="preserve">8.3.2 Financial Reporting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26"/>
        <w:gridCol w:w="20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Deadline (before submission)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Expense Freeze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 / PI</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Lock expense entry for the reporting period, flag incomplete records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T-75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Partner Statements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Partner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validate, and sign off their own financial statement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T-45 days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 Coordinator Check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Coordinator PM</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Cross-check partner statements, verify totals, flag anomalies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T-30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Institutional 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 Finance PM</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against university financial system, confirm overhead calculations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T-20 days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 Certificate on Financial Statements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External Auditor</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CFS required if partner claims exceed threshold (currently €430k cumulative)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T-15 days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Consolidation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Coordinator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 all partner Form Cs into consolidated financial report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T-7 days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7. Submission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Coordinator</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Submit via Funding and Tenders Portal alongside technical report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T-0</w:t>
            </w:r>
          </w:p>
        </w:tc>
      </w:tr>
    </w:tbl>
    <w:p>
      <w:pPr>
        <w:pStyle w:val="Heading3"/>
      </w:pPr>
      <w:r>
        <w:t xml:space="preserve">8.3.3 Financial Report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Associated project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reporting_period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Reporting period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 submitting this statement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personnel_costs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Category A 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subcontracting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 B total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travel_subsistence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Category C.1 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 C.2 total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other_goods_services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Category C.3 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other_cost_categories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 D total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indirect_costs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Category E (calculated)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total_eligible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all categories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ec_contribution_claimed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Total × funding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cfs_required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CFS threshold reached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cfs_status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Not Required, Pending, Obtained, Submitted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partner_signoff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 has validated and signed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coordinator_signoff</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Boolean</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Coordinator has approved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Under Review, Signed Off, Submitted, EC Approved</w:t>
            </w:r>
          </w:p>
        </w:tc>
      </w:tr>
    </w:tbl>
    <w:p>
      <w:pPr>
        <w:pStyle w:val="Heading3"/>
      </w:pPr>
      <w:r>
        <w:t xml:space="preserve">8.3.4 Lump Sum Financial Reporting</w:t>
      </w:r>
    </w:p>
    <w:p>
      <w:pPr>
        <w:spacing w:after="120"/>
      </w:pPr>
      <w:r>
        <w:rPr>
          <w:rFonts w:ascii="Arial" w:cs="Arial" w:eastAsia="Arial" w:hAnsi="Arial"/>
          <w:sz w:val="22"/>
          <w:szCs w:val="22"/>
        </w:rPr>
        <w:t xml:space="preserve">For lump sum projects, the financial reporting workflow is substantially simpler. Instead of detailed cost claims, the system generates:</w:t>
      </w:r>
    </w:p>
    <w:p>
      <w:pPr>
        <w:pStyle w:val="ListParagraph"/>
        <w:numPr>
          <w:ilvl w:val="0"/>
          <w:numId w:val="10"/>
        </w:numPr>
        <w:spacing w:after="60"/>
      </w:pPr>
      <w:r>
        <w:rPr>
          <w:rFonts w:ascii="Arial" w:cs="Arial" w:eastAsia="Arial" w:hAnsi="Arial"/>
          <w:sz w:val="22"/>
          <w:szCs w:val="22"/>
        </w:rPr>
        <w:t xml:space="preserve">A WP completion declaration per work package, confirming that activities were carried out and deliverables produced</w:t>
      </w:r>
    </w:p>
    <w:p>
      <w:pPr>
        <w:pStyle w:val="ListParagraph"/>
        <w:numPr>
          <w:ilvl w:val="0"/>
          <w:numId w:val="10"/>
        </w:numPr>
        <w:spacing w:after="60"/>
      </w:pPr>
      <w:r>
        <w:rPr>
          <w:rFonts w:ascii="Arial" w:cs="Arial" w:eastAsia="Arial" w:hAnsi="Arial"/>
          <w:sz w:val="22"/>
          <w:szCs w:val="22"/>
        </w:rPr>
        <w:t xml:space="preserve">Evidence of WP completion: links to submitted deliverables, milestone achievement records, and any supporting documentation</w:t>
      </w:r>
    </w:p>
    <w:p>
      <w:pPr>
        <w:pStyle w:val="ListParagraph"/>
        <w:numPr>
          <w:ilvl w:val="0"/>
          <w:numId w:val="10"/>
        </w:numPr>
        <w:spacing w:after="60"/>
      </w:pPr>
      <w:r>
        <w:rPr>
          <w:rFonts w:ascii="Arial" w:cs="Arial" w:eastAsia="Arial" w:hAnsi="Arial"/>
          <w:sz w:val="22"/>
          <w:szCs w:val="22"/>
        </w:rPr>
        <w:t xml:space="preserve">A summary of the lump sum amounts per WP, with the corresponding payment request</w:t>
      </w:r>
    </w:p>
    <w:p>
      <w:pPr>
        <w:pStyle w:val="ListParagraph"/>
        <w:numPr>
          <w:ilvl w:val="0"/>
          <w:numId w:val="10"/>
        </w:numPr>
        <w:spacing w:after="60"/>
      </w:pPr>
      <w:r>
        <w:rPr>
          <w:rFonts w:ascii="Arial" w:cs="Arial" w:eastAsia="Arial" w:hAnsi="Arial"/>
          <w:sz w:val="22"/>
          <w:szCs w:val="22"/>
        </w:rPr>
        <w:t xml:space="preserve">For partially completed WPs (where the EC may accept partial payment), a narrative justification and proposed payment proportion</w:t>
      </w:r>
    </w:p>
    <w:p>
      <w:pPr>
        <w:spacing w:after="120"/>
      </w:pPr>
      <w:r>
        <w:rPr>
          <w:rFonts w:ascii="Arial" w:cs="Arial" w:eastAsia="Arial" w:hAnsi="Arial"/>
          <w:sz w:val="22"/>
          <w:szCs w:val="22"/>
        </w:rPr>
        <w:t xml:space="preserve">The system still tracks internal costs for management purposes (budget monitoring, cash flow), but this data is not included in the EC financial report. The institutional reporting layer continues to operate normally regardless of cost model, since the university needs to track actual expenditure for its own financial management.</w:t>
      </w:r>
    </w:p>
    <w:p>
      <w:pPr>
        <w:pStyle w:val="Heading3"/>
      </w:pPr>
      <w:r>
        <w:t xml:space="preserve">8.3.5 Unit Costs Financial Reporting</w:t>
      </w:r>
    </w:p>
    <w:p>
      <w:pPr>
        <w:spacing w:after="120"/>
      </w:pPr>
      <w:r>
        <w:rPr>
          <w:rFonts w:ascii="Arial" w:cs="Arial" w:eastAsia="Arial" w:hAnsi="Arial"/>
          <w:sz w:val="22"/>
          <w:szCs w:val="22"/>
        </w:rPr>
        <w:t xml:space="preserve">For unit costs components, the system tracks the number of units delivered per type (e.g., researcher-months, events organized, SMEs supported) and generates a declaration showing units claimed multiplied by the pre-agreed rate. Supporting evidence focuses on proving the units were delivered rather than documenting individual costs.</w:t>
      </w:r>
    </w:p>
    <w:p>
      <w:pPr>
        <w:pStyle w:val="Heading2"/>
      </w:pPr>
      <w:r>
        <w:t xml:space="preserve">8.4 Final Reporting</w:t>
      </w:r>
    </w:p>
    <w:p>
      <w:pPr>
        <w:spacing w:after="120"/>
      </w:pPr>
      <w:r>
        <w:rPr>
          <w:rFonts w:ascii="Arial" w:cs="Arial" w:eastAsia="Arial" w:hAnsi="Arial"/>
          <w:sz w:val="22"/>
          <w:szCs w:val="22"/>
        </w:rPr>
        <w:t xml:space="preserve">The final report has additional requirements beyond periodic reports: a final publishable summary, a final technical report covering the entire project, a consolidated final financial statement, and a report on the distribution and use of results (exploitation). The system generates the final report shell by aggregating data from all previous reporting periods and prompting for final-period-specific inputs.</w:t>
      </w:r>
    </w:p>
    <w:p>
      <w:pPr>
        <w:pStyle w:val="Heading2"/>
      </w:pPr>
      <w:r>
        <w:t xml:space="preserve">8.5 Institutional Reporting Alignment</w:t>
      </w:r>
    </w:p>
    <w:p>
      <w:pPr>
        <w:spacing w:after="120"/>
      </w:pPr>
      <w:r>
        <w:rPr>
          <w:rFonts w:ascii="Arial" w:cs="Arial" w:eastAsia="Arial" w:hAnsi="Arial"/>
          <w:sz w:val="22"/>
          <w:szCs w:val="22"/>
        </w:rPr>
        <w:t xml:space="preserve">In parallel with EC reporting, the system generates university-facing reports for each reporting period. These map EC budget categories to institutional account codes, include overhead calculations following the university methodology (which may differ from the EC 25% flat rate), and provide PM summaries in the format required by the central finance PM. The system highlights any discrepancies between EC-reported amounts and university-recorded expenses to facilitate reconciliation.</w:t>
      </w:r>
    </w:p>
    <w:p>
      <w:pPr>
        <w:pStyle w:val="Heading2"/>
      </w:pPr>
      <w:r>
        <w:t xml:space="preserve">8.6 Timesheet Compliance</w:t>
      </w:r>
    </w:p>
    <w:p>
      <w:pPr>
        <w:spacing w:after="120"/>
      </w:pPr>
      <w:r>
        <w:rPr>
          <w:rFonts w:ascii="Arial" w:cs="Arial" w:eastAsia="Arial" w:hAnsi="Arial"/>
          <w:sz w:val="22"/>
          <w:szCs w:val="22"/>
        </w:rPr>
        <w:t xml:space="preserve">Automated weekly reminders to researchers to submit timesheets. Escalation to PI if timesheets are more than two weeks overdue. Monthly compliance dashboard showing completion rates per researcher and per project. Missing timesheets flagged as audit risk.</w:t>
      </w:r>
    </w:p>
    <w:p>
      <w:pPr>
        <w:pStyle w:val="Heading2"/>
      </w:pPr>
      <w:r>
        <w:t xml:space="preserve">8.7 Audit Readiness</w:t>
      </w:r>
    </w:p>
    <w:p>
      <w:pPr>
        <w:spacing w:after="120"/>
      </w:pPr>
      <w:r>
        <w:rPr>
          <w:rFonts w:ascii="Arial" w:cs="Arial" w:eastAsia="Arial" w:hAnsi="Arial"/>
          <w:sz w:val="22"/>
          <w:szCs w:val="22"/>
        </w:rPr>
        <w:t xml:space="preserve">The system maintains a complete audit trail linking every reported cost to its supporting documentation: invoices, timesheets, travel authorizations, procurement files, and contracts. An audit readiness checklist per project verifies that all required documentation is present and correctly linked before costs are included in a financial report.</w:t>
      </w:r>
    </w:p>
    <w:p>
      <w:pPr>
        <w:pStyle w:val="Heading2"/>
      </w:pPr>
      <w:r>
        <w:t xml:space="preserve">8.8 EC Portal Export Compatibility</w:t>
      </w:r>
    </w:p>
    <w:p>
      <w:pPr>
        <w:spacing w:after="120"/>
      </w:pPr>
      <w:r>
        <w:rPr>
          <w:rFonts w:ascii="Arial" w:cs="Arial" w:eastAsia="Arial" w:hAnsi="Arial"/>
          <w:sz w:val="22"/>
          <w:szCs w:val="22"/>
        </w:rPr>
        <w:t xml:space="preserve">While direct API integration with the Funding and Tenders Portal is not currently available, all data structures and export formats are designed to match Portal field names and formats. This enables efficient manual data entry or copy-paste when submitting periodic reports, financial statements, and deliverables through the Portal.</w:t>
      </w:r>
    </w:p>
    <w:p>
      <w:r>
        <w:br w:type="page"/>
      </w:r>
    </w:p>
    <w:p>
      <w:pPr>
        <w:pStyle w:val="Heading1"/>
      </w:pPr>
      <w:r>
        <w:t xml:space="preserve">9. Additional Features</w:t>
      </w:r>
    </w:p>
    <w:p>
      <w:pPr>
        <w:pStyle w:val="Heading2"/>
      </w:pPr>
      <w:r>
        <w:t xml:space="preserve">9.1 IP and Exploitation Tracking</w:t>
      </w:r>
    </w:p>
    <w:p>
      <w:pPr>
        <w:spacing w:after="120"/>
      </w:pPr>
      <w:r>
        <w:rPr>
          <w:rFonts w:ascii="Arial" w:cs="Arial" w:eastAsia="Arial" w:hAnsi="Arial"/>
          <w:sz w:val="22"/>
          <w:szCs w:val="22"/>
        </w:rPr>
        <w:t xml:space="preserve">Records background IP declarations per partner (as required by the consortium agreement), foreground IP generated during the project, and exploitation plans. Links IP assets to specific work packages and deliverables. Tracks patent applications, licensing agreements, and technology transfer activities.</w:t>
      </w:r>
    </w:p>
    <w:p>
      <w:pPr>
        <w:pStyle w:val="Heading2"/>
      </w:pPr>
      <w:r>
        <w:t xml:space="preserve">9.2 Risk Register</w:t>
      </w:r>
    </w:p>
    <w:p>
      <w:pPr>
        <w:spacing w:after="120"/>
      </w:pPr>
      <w:r>
        <w:rPr>
          <w:rFonts w:ascii="Arial" w:cs="Arial" w:eastAsia="Arial" w:hAnsi="Arial"/>
          <w:sz w:val="22"/>
          <w:szCs w:val="22"/>
        </w:rPr>
        <w:t xml:space="preserve">Per-project risk tracking with fields for risk description, category (technical, financial, organizational, external), probability, impact, mitigation strategy, owner, and current status. Supports the risk management plan required by most EU programmes. Risks flagged as high trigger automatic visibility for the PI and relevant WP leaders.</w:t>
      </w:r>
    </w:p>
    <w:p>
      <w:pPr>
        <w:pStyle w:val="Heading2"/>
      </w:pPr>
      <w:r>
        <w:t xml:space="preserve">9.3 Communication and Dissemination Log</w:t>
      </w:r>
    </w:p>
    <w:p>
      <w:pPr>
        <w:spacing w:after="120"/>
      </w:pPr>
      <w:r>
        <w:rPr>
          <w:rFonts w:ascii="Arial" w:cs="Arial" w:eastAsia="Arial" w:hAnsi="Arial"/>
          <w:sz w:val="22"/>
          <w:szCs w:val="22"/>
        </w:rPr>
        <w:t xml:space="preserve">Tracks publications, conference presentations, press releases, social media posts, and other dissemination activities. Links each activity to a project and, where applicable, to specific deliverables. Records open access compliance (as required by Horizon Europe). Supports the communication and dissemination plan reporting.</w:t>
      </w:r>
    </w:p>
    <w:p>
      <w:pPr>
        <w:pStyle w:val="Heading2"/>
      </w:pPr>
      <w:r>
        <w:t xml:space="preserve">9.4 KPI and Indicator Tracking</w:t>
      </w:r>
    </w:p>
    <w:p>
      <w:pPr>
        <w:spacing w:after="120"/>
      </w:pPr>
      <w:r>
        <w:rPr>
          <w:rFonts w:ascii="Arial" w:cs="Arial" w:eastAsia="Arial" w:hAnsi="Arial"/>
          <w:sz w:val="22"/>
          <w:szCs w:val="22"/>
        </w:rPr>
        <w:t xml:space="preserve">Programme-specific indicators are captured as structured data: number of publications, TRL progression, patents filed, SMEs involved, gender balance in the team, datasets published (FAIR compliance), software released as open source. These feed directly into periodic and final reporting.</w:t>
      </w:r>
    </w:p>
    <w:p>
      <w:pPr>
        <w:pStyle w:val="Heading2"/>
      </w:pPr>
      <w:r>
        <w:t xml:space="preserve">9.5 Ethics and Data Management</w:t>
      </w:r>
    </w:p>
    <w:p>
      <w:pPr>
        <w:spacing w:after="120"/>
      </w:pPr>
      <w:r>
        <w:rPr>
          <w:rFonts w:ascii="Arial" w:cs="Arial" w:eastAsia="Arial" w:hAnsi="Arial"/>
          <w:sz w:val="22"/>
          <w:szCs w:val="22"/>
        </w:rPr>
        <w:t xml:space="preserve">Tracks ethics requirements from the grant agreement: ethics deliverables, informed consent status, data protection impact assessments, ethics committee approvals. Monitors Data Management Plan compliance, including dataset descriptions, repositories, and FAIR principles adherence.</w:t>
      </w:r>
    </w:p>
    <w:p>
      <w:pPr>
        <w:pStyle w:val="Heading2"/>
      </w:pPr>
      <w:r>
        <w:t xml:space="preserve">9.6 Collaboration Network</w:t>
      </w:r>
    </w:p>
    <w:p>
      <w:pPr>
        <w:spacing w:after="120"/>
      </w:pPr>
      <w:r>
        <w:rPr>
          <w:rFonts w:ascii="Arial" w:cs="Arial" w:eastAsia="Arial" w:hAnsi="Arial"/>
          <w:sz w:val="22"/>
          <w:szCs w:val="22"/>
        </w:rPr>
        <w:t xml:space="preserve">Builds over time a directory of organizations collaborated with across projects: contact details, reliability assessment, complementary expertise areas, and co-authorship history. Supports future consortium formation by identifying trusted partners with relevant capabilities.</w:t>
      </w:r>
    </w:p>
    <w:p>
      <w:pPr>
        <w:pStyle w:val="Heading2"/>
      </w:pPr>
      <w:r>
        <w:t xml:space="preserve">9.7 Amendment Tracking</w:t>
      </w:r>
    </w:p>
    <w:p>
      <w:pPr>
        <w:spacing w:after="120"/>
      </w:pPr>
      <w:r>
        <w:rPr>
          <w:rFonts w:ascii="Arial" w:cs="Arial" w:eastAsia="Arial" w:hAnsi="Arial"/>
          <w:sz w:val="22"/>
          <w:szCs w:val="22"/>
        </w:rPr>
        <w:t xml:space="preserve">Records all grant agreement amendments: what was requested, rationale, submission date, EC decision, and the resulting changes to budget, timeline, or consortium. Links amendments to the affected data entities (partners, budget lines, deliverables) so the system reflects the current state of the grant.</w:t>
      </w:r>
    </w:p>
    <w:p>
      <w:pPr>
        <w:pStyle w:val="Heading2"/>
      </w:pPr>
      <w:r>
        <w:t xml:space="preserve">9.8 Notification and Alert System</w:t>
      </w:r>
    </w:p>
    <w:p>
      <w:pPr>
        <w:pStyle w:val="ListParagraph"/>
        <w:numPr>
          <w:ilvl w:val="0"/>
          <w:numId w:val="11"/>
        </w:numPr>
        <w:spacing w:after="60"/>
      </w:pPr>
      <w:r>
        <w:rPr>
          <w:rFonts w:ascii="Arial" w:cs="Arial" w:eastAsia="Arial" w:hAnsi="Arial"/>
          <w:sz w:val="22"/>
          <w:szCs w:val="22"/>
        </w:rPr>
        <w:t xml:space="preserve">Reporting deadline reminders (90, 60, 30 days)</w:t>
      </w:r>
    </w:p>
    <w:p>
      <w:pPr>
        <w:pStyle w:val="ListParagraph"/>
        <w:numPr>
          <w:ilvl w:val="0"/>
          <w:numId w:val="11"/>
        </w:numPr>
        <w:spacing w:after="60"/>
      </w:pPr>
      <w:r>
        <w:rPr>
          <w:rFonts w:ascii="Arial" w:cs="Arial" w:eastAsia="Arial" w:hAnsi="Arial"/>
          <w:sz w:val="22"/>
          <w:szCs w:val="22"/>
        </w:rPr>
        <w:t xml:space="preserve">Timesheet submission reminders (weekly) with escalation</w:t>
      </w:r>
    </w:p>
    <w:p>
      <w:pPr>
        <w:pStyle w:val="ListParagraph"/>
        <w:numPr>
          <w:ilvl w:val="0"/>
          <w:numId w:val="11"/>
        </w:numPr>
        <w:spacing w:after="60"/>
      </w:pPr>
      <w:r>
        <w:rPr>
          <w:rFonts w:ascii="Arial" w:cs="Arial" w:eastAsia="Arial" w:hAnsi="Arial"/>
          <w:sz w:val="22"/>
          <w:szCs w:val="22"/>
        </w:rPr>
        <w:t xml:space="preserve">Deliverable due date alerts with traffic-light status</w:t>
      </w:r>
    </w:p>
    <w:p>
      <w:pPr>
        <w:pStyle w:val="ListParagraph"/>
        <w:numPr>
          <w:ilvl w:val="0"/>
          <w:numId w:val="11"/>
        </w:numPr>
        <w:spacing w:after="60"/>
      </w:pPr>
      <w:r>
        <w:rPr>
          <w:rFonts w:ascii="Arial" w:cs="Arial" w:eastAsia="Arial" w:hAnsi="Arial"/>
          <w:sz w:val="22"/>
          <w:szCs w:val="22"/>
        </w:rPr>
        <w:t xml:space="preserve">Budget threshold warnings (80% and 95% of budget line spent)</w:t>
      </w:r>
    </w:p>
    <w:p>
      <w:pPr>
        <w:pStyle w:val="ListParagraph"/>
        <w:numPr>
          <w:ilvl w:val="0"/>
          <w:numId w:val="11"/>
        </w:numPr>
        <w:spacing w:after="60"/>
      </w:pPr>
      <w:r>
        <w:rPr>
          <w:rFonts w:ascii="Arial" w:cs="Arial" w:eastAsia="Arial" w:hAnsi="Arial"/>
          <w:sz w:val="22"/>
          <w:szCs w:val="22"/>
        </w:rPr>
        <w:t xml:space="preserve">Contract expiry alerts (60 days before researcher contract ends)</w:t>
      </w:r>
    </w:p>
    <w:p>
      <w:pPr>
        <w:pStyle w:val="ListParagraph"/>
        <w:numPr>
          <w:ilvl w:val="0"/>
          <w:numId w:val="11"/>
        </w:numPr>
        <w:spacing w:after="60"/>
      </w:pPr>
      <w:r>
        <w:rPr>
          <w:rFonts w:ascii="Arial" w:cs="Arial" w:eastAsia="Arial" w:hAnsi="Arial"/>
          <w:sz w:val="22"/>
          <w:szCs w:val="22"/>
        </w:rPr>
        <w:t xml:space="preserve">Amendment status changes</w:t>
      </w:r>
    </w:p>
    <w:p>
      <w:pPr>
        <w:pStyle w:val="ListParagraph"/>
        <w:numPr>
          <w:ilvl w:val="0"/>
          <w:numId w:val="11"/>
        </w:numPr>
        <w:spacing w:after="60"/>
      </w:pPr>
      <w:r>
        <w:rPr>
          <w:rFonts w:ascii="Arial" w:cs="Arial" w:eastAsia="Arial" w:hAnsi="Arial"/>
          <w:sz w:val="22"/>
          <w:szCs w:val="22"/>
        </w:rPr>
        <w:t xml:space="preserve">EC review feedback received</w:t>
      </w:r>
    </w:p>
    <w:p>
      <w:pPr>
        <w:pStyle w:val="ListParagraph"/>
        <w:numPr>
          <w:ilvl w:val="0"/>
          <w:numId w:val="11"/>
        </w:numPr>
        <w:spacing w:after="60"/>
      </w:pPr>
      <w:r>
        <w:rPr>
          <w:rFonts w:ascii="Arial" w:cs="Arial" w:eastAsia="Arial" w:hAnsi="Arial"/>
          <w:sz w:val="22"/>
          <w:szCs w:val="22"/>
        </w:rPr>
        <w:t xml:space="preserve">Partner payment due notifications (coordinator view)</w:t>
      </w:r>
    </w:p>
    <w:p>
      <w:r>
        <w:br w:type="page"/>
      </w:r>
    </w:p>
    <w:p>
      <w:pPr>
        <w:pStyle w:val="Heading1"/>
      </w:pPr>
      <w:r>
        <w:t xml:space="preserve">10. Dashboard Views</w:t>
      </w:r>
    </w:p>
    <w:p>
      <w:pPr>
        <w:pStyle w:val="Heading2"/>
      </w:pPr>
      <w:r>
        <w:t xml:space="preserve">10.1 PI Dashboard</w:t>
      </w:r>
    </w:p>
    <w:p>
      <w:pPr>
        <w:spacing w:after="120"/>
      </w:pPr>
      <w:r>
        <w:rPr>
          <w:rFonts w:ascii="Arial" w:cs="Arial" w:eastAsia="Arial" w:hAnsi="Arial"/>
          <w:sz w:val="22"/>
          <w:szCs w:val="22"/>
        </w:rPr>
        <w:t xml:space="preserve">The principal investigator sees a portfolio overview: all active projects with traffic-light status, upcoming deadlines across projects, budget health summary, and team capacity overview. Drill-down into any project for detailed management.</w:t>
      </w:r>
    </w:p>
    <w:p>
      <w:pPr>
        <w:pStyle w:val="Heading2"/>
      </w:pPr>
      <w:r>
        <w:t xml:space="preserve">10.2 Researcher Dashboard</w:t>
      </w:r>
    </w:p>
    <w:p>
      <w:pPr>
        <w:spacing w:after="120"/>
      </w:pPr>
      <w:r>
        <w:rPr>
          <w:rFonts w:ascii="Arial" w:cs="Arial" w:eastAsia="Arial" w:hAnsi="Arial"/>
          <w:sz w:val="22"/>
          <w:szCs w:val="22"/>
        </w:rPr>
        <w:t xml:space="preserve">Individual researchers see their project assignments, current PM allocations, timesheet status, and upcoming deadlines for deliverables or tasks they own. A personal capacity view shows their committed and available time across all projects.</w:t>
      </w:r>
    </w:p>
    <w:p>
      <w:pPr>
        <w:pStyle w:val="Heading2"/>
      </w:pPr>
      <w:r>
        <w:t xml:space="preserve">10.3 Central Finance Dashboard</w:t>
      </w:r>
    </w:p>
    <w:p>
      <w:pPr>
        <w:spacing w:after="120"/>
      </w:pPr>
      <w:r>
        <w:rPr>
          <w:rFonts w:ascii="Arial" w:cs="Arial" w:eastAsia="Arial" w:hAnsi="Arial"/>
          <w:sz w:val="22"/>
          <w:szCs w:val="22"/>
        </w:rPr>
        <w:t xml:space="preserve">The university finance PM sees a consolidated financial view across all projects: total budget under management, aggregated burn rates, upcoming EC payments expected, PM compliance rates, and flags for projects with financial risks. Exportable in institutional reporting formats.</w:t>
      </w:r>
    </w:p>
    <w:p>
      <w:pPr>
        <w:pStyle w:val="Heading2"/>
      </w:pPr>
      <w:r>
        <w:t xml:space="preserve">10.4 Project Dashboard</w:t>
      </w:r>
    </w:p>
    <w:p>
      <w:pPr>
        <w:spacing w:after="120"/>
      </w:pPr>
      <w:r>
        <w:rPr>
          <w:rFonts w:ascii="Arial" w:cs="Arial" w:eastAsia="Arial" w:hAnsi="Arial"/>
          <w:sz w:val="22"/>
          <w:szCs w:val="22"/>
        </w:rPr>
        <w:t xml:space="preserve">Per-project detailed view showing work package progress, deliverable timeline (Gantt-style), budget consumption by category, partner status, risk register, and upcoming milestones. Designed to support both internal management and preparation for EC review meetings.</w:t>
      </w:r>
    </w:p>
    <w:p>
      <w:pPr>
        <w:pStyle w:val="Heading1"/>
      </w:pPr>
      <w:r>
        <w:t xml:space="preserve">11. Implementation Roadmap</w:t>
      </w:r>
    </w:p>
    <w:p>
      <w:pPr>
        <w:pStyle w:val="Heading2"/>
      </w:pPr>
      <w:r>
        <w:t xml:space="preserve">Phase 1: Foundation (Months 1–3)</w:t>
      </w:r>
    </w:p>
    <w:p>
      <w:pPr>
        <w:pStyle w:val="ListParagraph"/>
        <w:numPr>
          <w:ilvl w:val="0"/>
          <w:numId w:val="12"/>
        </w:numPr>
        <w:spacing w:after="60"/>
      </w:pPr>
      <w:r>
        <w:rPr>
          <w:rFonts w:ascii="Arial" w:cs="Arial" w:eastAsia="Arial" w:hAnsi="Arial"/>
          <w:sz w:val="22"/>
          <w:szCs w:val="22"/>
        </w:rPr>
        <w:t xml:space="preserve">Core data model and database schema</w:t>
      </w:r>
    </w:p>
    <w:p>
      <w:pPr>
        <w:pStyle w:val="ListParagraph"/>
        <w:numPr>
          <w:ilvl w:val="0"/>
          <w:numId w:val="12"/>
        </w:numPr>
        <w:spacing w:after="60"/>
      </w:pPr>
      <w:r>
        <w:rPr>
          <w:rFonts w:ascii="Arial" w:cs="Arial" w:eastAsia="Arial" w:hAnsi="Arial"/>
          <w:sz w:val="22"/>
          <w:szCs w:val="22"/>
        </w:rPr>
        <w:t xml:space="preserve">Project registry with full metadata</w:t>
      </w:r>
    </w:p>
    <w:p>
      <w:pPr>
        <w:pStyle w:val="ListParagraph"/>
        <w:numPr>
          <w:ilvl w:val="0"/>
          <w:numId w:val="12"/>
        </w:numPr>
        <w:spacing w:after="60"/>
      </w:pPr>
      <w:r>
        <w:rPr>
          <w:rFonts w:ascii="Arial" w:cs="Arial" w:eastAsia="Arial" w:hAnsi="Arial"/>
          <w:sz w:val="22"/>
          <w:szCs w:val="22"/>
        </w:rPr>
        <w:t xml:space="preserve">Consortium and partner management</w:t>
      </w:r>
    </w:p>
    <w:p>
      <w:pPr>
        <w:pStyle w:val="ListParagraph"/>
        <w:numPr>
          <w:ilvl w:val="0"/>
          <w:numId w:val="12"/>
        </w:numPr>
        <w:spacing w:after="60"/>
      </w:pPr>
      <w:r>
        <w:rPr>
          <w:rFonts w:ascii="Arial" w:cs="Arial" w:eastAsia="Arial" w:hAnsi="Arial"/>
          <w:sz w:val="22"/>
          <w:szCs w:val="22"/>
        </w:rPr>
        <w:t xml:space="preserve">Work package, deliverable, and milestone tracking</w:t>
      </w:r>
    </w:p>
    <w:p>
      <w:pPr>
        <w:pStyle w:val="ListParagraph"/>
        <w:numPr>
          <w:ilvl w:val="0"/>
          <w:numId w:val="12"/>
        </w:numPr>
        <w:spacing w:after="60"/>
      </w:pPr>
      <w:r>
        <w:rPr>
          <w:rFonts w:ascii="Arial" w:cs="Arial" w:eastAsia="Arial" w:hAnsi="Arial"/>
          <w:sz w:val="22"/>
          <w:szCs w:val="22"/>
        </w:rPr>
        <w:t xml:space="preserve">Basic user authentication and role-based access</w:t>
      </w:r>
    </w:p>
    <w:p>
      <w:pPr>
        <w:pStyle w:val="ListParagraph"/>
        <w:numPr>
          <w:ilvl w:val="0"/>
          <w:numId w:val="12"/>
        </w:numPr>
        <w:spacing w:after="60"/>
      </w:pPr>
      <w:r>
        <w:rPr>
          <w:rFonts w:ascii="Arial" w:cs="Arial" w:eastAsia="Arial" w:hAnsi="Arial"/>
          <w:sz w:val="22"/>
          <w:szCs w:val="22"/>
        </w:rPr>
        <w:t xml:space="preserve">PI dashboard (basic version)</w:t>
      </w:r>
    </w:p>
    <w:p>
      <w:pPr>
        <w:pStyle w:val="Heading2"/>
      </w:pPr>
      <w:r>
        <w:t xml:space="preserve">Phase 2: Financial Core (Months 3–5)</w:t>
      </w:r>
    </w:p>
    <w:p>
      <w:pPr>
        <w:pStyle w:val="ListParagraph"/>
        <w:numPr>
          <w:ilvl w:val="0"/>
          <w:numId w:val="13"/>
        </w:numPr>
        <w:spacing w:after="60"/>
      </w:pPr>
      <w:r>
        <w:rPr>
          <w:rFonts w:ascii="Arial" w:cs="Arial" w:eastAsia="Arial" w:hAnsi="Arial"/>
          <w:sz w:val="22"/>
          <w:szCs w:val="22"/>
        </w:rPr>
        <w:t xml:space="preserve">Dual-view budget structure (EC and institutional)</w:t>
      </w:r>
    </w:p>
    <w:p>
      <w:pPr>
        <w:pStyle w:val="ListParagraph"/>
        <w:numPr>
          <w:ilvl w:val="0"/>
          <w:numId w:val="13"/>
        </w:numPr>
        <w:spacing w:after="60"/>
      </w:pPr>
      <w:r>
        <w:rPr>
          <w:rFonts w:ascii="Arial" w:cs="Arial" w:eastAsia="Arial" w:hAnsi="Arial"/>
          <w:sz w:val="22"/>
          <w:szCs w:val="22"/>
        </w:rPr>
        <w:t xml:space="preserve">Expense tracking with document linking</w:t>
      </w:r>
    </w:p>
    <w:p>
      <w:pPr>
        <w:pStyle w:val="ListParagraph"/>
        <w:numPr>
          <w:ilvl w:val="0"/>
          <w:numId w:val="13"/>
        </w:numPr>
        <w:spacing w:after="60"/>
      </w:pPr>
      <w:r>
        <w:rPr>
          <w:rFonts w:ascii="Arial" w:cs="Arial" w:eastAsia="Arial" w:hAnsi="Arial"/>
          <w:sz w:val="22"/>
          <w:szCs w:val="22"/>
        </w:rPr>
        <w:t xml:space="preserve">Budget monitoring and burn rate calculations</w:t>
      </w:r>
    </w:p>
    <w:p>
      <w:pPr>
        <w:pStyle w:val="ListParagraph"/>
        <w:numPr>
          <w:ilvl w:val="0"/>
          <w:numId w:val="13"/>
        </w:numPr>
        <w:spacing w:after="60"/>
      </w:pPr>
      <w:r>
        <w:rPr>
          <w:rFonts w:ascii="Arial" w:cs="Arial" w:eastAsia="Arial" w:hAnsi="Arial"/>
          <w:sz w:val="22"/>
          <w:szCs w:val="22"/>
        </w:rPr>
        <w:t xml:space="preserve">Person-month allocation and timesheet module</w:t>
      </w:r>
    </w:p>
    <w:p>
      <w:pPr>
        <w:pStyle w:val="ListParagraph"/>
        <w:numPr>
          <w:ilvl w:val="0"/>
          <w:numId w:val="13"/>
        </w:numPr>
        <w:spacing w:after="60"/>
      </w:pPr>
      <w:r>
        <w:rPr>
          <w:rFonts w:ascii="Arial" w:cs="Arial" w:eastAsia="Arial" w:hAnsi="Arial"/>
          <w:sz w:val="22"/>
          <w:szCs w:val="22"/>
        </w:rPr>
        <w:t xml:space="preserve">Researcher profiles with contract tracking</w:t>
      </w:r>
    </w:p>
    <w:p>
      <w:pPr>
        <w:pStyle w:val="ListParagraph"/>
        <w:numPr>
          <w:ilvl w:val="0"/>
          <w:numId w:val="13"/>
        </w:numPr>
        <w:spacing w:after="60"/>
      </w:pPr>
      <w:r>
        <w:rPr>
          <w:rFonts w:ascii="Arial" w:cs="Arial" w:eastAsia="Arial" w:hAnsi="Arial"/>
          <w:sz w:val="22"/>
          <w:szCs w:val="22"/>
        </w:rPr>
        <w:t xml:space="preserve">Central Finance PM dashboard</w:t>
      </w:r>
    </w:p>
    <w:p>
      <w:pPr>
        <w:pStyle w:val="Heading2"/>
      </w:pPr>
      <w:r>
        <w:t xml:space="preserve">Phase 3: Templates and Reporting (Months 5–7)</w:t>
      </w:r>
    </w:p>
    <w:p>
      <w:pPr>
        <w:pStyle w:val="ListParagraph"/>
        <w:numPr>
          <w:ilvl w:val="0"/>
          <w:numId w:val="14"/>
        </w:numPr>
        <w:spacing w:after="60"/>
      </w:pPr>
      <w:r>
        <w:rPr>
          <w:rFonts w:ascii="Arial" w:cs="Arial" w:eastAsia="Arial" w:hAnsi="Arial"/>
          <w:sz w:val="22"/>
          <w:szCs w:val="22"/>
        </w:rPr>
        <w:t xml:space="preserve">Template engine with auto-population logic</w:t>
      </w:r>
    </w:p>
    <w:p>
      <w:pPr>
        <w:pStyle w:val="ListParagraph"/>
        <w:numPr>
          <w:ilvl w:val="0"/>
          <w:numId w:val="14"/>
        </w:numPr>
        <w:spacing w:after="60"/>
      </w:pPr>
      <w:r>
        <w:rPr>
          <w:rFonts w:ascii="Arial" w:cs="Arial" w:eastAsia="Arial" w:hAnsi="Arial"/>
          <w:sz w:val="22"/>
          <w:szCs w:val="22"/>
        </w:rPr>
        <w:t xml:space="preserve">Personnel contract templates (Bolsa, DL57, CEEC, CLT)</w:t>
      </w:r>
    </w:p>
    <w:p>
      <w:pPr>
        <w:pStyle w:val="ListParagraph"/>
        <w:numPr>
          <w:ilvl w:val="0"/>
          <w:numId w:val="14"/>
        </w:numPr>
        <w:spacing w:after="60"/>
      </w:pPr>
      <w:r>
        <w:rPr>
          <w:rFonts w:ascii="Arial" w:cs="Arial" w:eastAsia="Arial" w:hAnsi="Arial"/>
          <w:sz w:val="22"/>
          <w:szCs w:val="22"/>
        </w:rPr>
        <w:t xml:space="preserve">Reporting templates (periodic reports, Form C, deliverable covers)</w:t>
      </w:r>
    </w:p>
    <w:p>
      <w:pPr>
        <w:pStyle w:val="ListParagraph"/>
        <w:numPr>
          <w:ilvl w:val="0"/>
          <w:numId w:val="14"/>
        </w:numPr>
        <w:spacing w:after="60"/>
      </w:pPr>
      <w:r>
        <w:rPr>
          <w:rFonts w:ascii="Arial" w:cs="Arial" w:eastAsia="Arial" w:hAnsi="Arial"/>
          <w:sz w:val="22"/>
          <w:szCs w:val="22"/>
        </w:rPr>
        <w:t xml:space="preserve">Procurement templates</w:t>
      </w:r>
    </w:p>
    <w:p>
      <w:pPr>
        <w:pStyle w:val="ListParagraph"/>
        <w:numPr>
          <w:ilvl w:val="0"/>
          <w:numId w:val="14"/>
        </w:numPr>
        <w:spacing w:after="60"/>
      </w:pPr>
      <w:r>
        <w:rPr>
          <w:rFonts w:ascii="Arial" w:cs="Arial" w:eastAsia="Arial" w:hAnsi="Arial"/>
          <w:sz w:val="22"/>
          <w:szCs w:val="22"/>
        </w:rPr>
        <w:t xml:space="preserve">Reporting calendar with automated reminders</w:t>
      </w:r>
    </w:p>
    <w:p>
      <w:pPr>
        <w:pStyle w:val="ListParagraph"/>
        <w:numPr>
          <w:ilvl w:val="0"/>
          <w:numId w:val="14"/>
        </w:numPr>
        <w:spacing w:after="60"/>
      </w:pPr>
      <w:r>
        <w:rPr>
          <w:rFonts w:ascii="Arial" w:cs="Arial" w:eastAsia="Arial" w:hAnsi="Arial"/>
          <w:sz w:val="22"/>
          <w:szCs w:val="22"/>
        </w:rPr>
        <w:t xml:space="preserve">Export functionality for institutional formats</w:t>
      </w:r>
    </w:p>
    <w:p>
      <w:pPr>
        <w:pStyle w:val="Heading2"/>
      </w:pPr>
      <w:r>
        <w:t xml:space="preserve">Phase 4: Advanced Features (Months 7–10)</w:t>
      </w:r>
    </w:p>
    <w:p>
      <w:pPr>
        <w:pStyle w:val="ListParagraph"/>
        <w:numPr>
          <w:ilvl w:val="0"/>
          <w:numId w:val="15"/>
        </w:numPr>
        <w:spacing w:after="60"/>
      </w:pPr>
      <w:r>
        <w:rPr>
          <w:rFonts w:ascii="Arial" w:cs="Arial" w:eastAsia="Arial" w:hAnsi="Arial"/>
          <w:sz w:val="22"/>
          <w:szCs w:val="22"/>
        </w:rPr>
        <w:t xml:space="preserve">Risk register</w:t>
      </w:r>
    </w:p>
    <w:p>
      <w:pPr>
        <w:pStyle w:val="ListParagraph"/>
        <w:numPr>
          <w:ilvl w:val="0"/>
          <w:numId w:val="15"/>
        </w:numPr>
        <w:spacing w:after="60"/>
      </w:pPr>
      <w:r>
        <w:rPr>
          <w:rFonts w:ascii="Arial" w:cs="Arial" w:eastAsia="Arial" w:hAnsi="Arial"/>
          <w:sz w:val="22"/>
          <w:szCs w:val="22"/>
        </w:rPr>
        <w:t xml:space="preserve">IP and exploitation tracking</w:t>
      </w:r>
    </w:p>
    <w:p>
      <w:pPr>
        <w:pStyle w:val="ListParagraph"/>
        <w:numPr>
          <w:ilvl w:val="0"/>
          <w:numId w:val="15"/>
        </w:numPr>
        <w:spacing w:after="60"/>
      </w:pPr>
      <w:r>
        <w:rPr>
          <w:rFonts w:ascii="Arial" w:cs="Arial" w:eastAsia="Arial" w:hAnsi="Arial"/>
          <w:sz w:val="22"/>
          <w:szCs w:val="22"/>
        </w:rPr>
        <w:t xml:space="preserve">Communication and dissemination log</w:t>
      </w:r>
    </w:p>
    <w:p>
      <w:pPr>
        <w:pStyle w:val="ListParagraph"/>
        <w:numPr>
          <w:ilvl w:val="0"/>
          <w:numId w:val="15"/>
        </w:numPr>
        <w:spacing w:after="60"/>
      </w:pPr>
      <w:r>
        <w:rPr>
          <w:rFonts w:ascii="Arial" w:cs="Arial" w:eastAsia="Arial" w:hAnsi="Arial"/>
          <w:sz w:val="22"/>
          <w:szCs w:val="22"/>
        </w:rPr>
        <w:t xml:space="preserve">KPI and indicator tracking</w:t>
      </w:r>
    </w:p>
    <w:p>
      <w:pPr>
        <w:pStyle w:val="ListParagraph"/>
        <w:numPr>
          <w:ilvl w:val="0"/>
          <w:numId w:val="15"/>
        </w:numPr>
        <w:spacing w:after="60"/>
      </w:pPr>
      <w:r>
        <w:rPr>
          <w:rFonts w:ascii="Arial" w:cs="Arial" w:eastAsia="Arial" w:hAnsi="Arial"/>
          <w:sz w:val="22"/>
          <w:szCs w:val="22"/>
        </w:rPr>
        <w:t xml:space="preserve">Collaboration network directory</w:t>
      </w:r>
    </w:p>
    <w:p>
      <w:pPr>
        <w:pStyle w:val="ListParagraph"/>
        <w:numPr>
          <w:ilvl w:val="0"/>
          <w:numId w:val="15"/>
        </w:numPr>
        <w:spacing w:after="60"/>
      </w:pPr>
      <w:r>
        <w:rPr>
          <w:rFonts w:ascii="Arial" w:cs="Arial" w:eastAsia="Arial" w:hAnsi="Arial"/>
          <w:sz w:val="22"/>
          <w:szCs w:val="22"/>
        </w:rPr>
        <w:t xml:space="preserve">Fund distribution tracking (coordinator view)</w:t>
      </w:r>
    </w:p>
    <w:p>
      <w:pPr>
        <w:pStyle w:val="Heading2"/>
      </w:pPr>
      <w:r>
        <w:t xml:space="preserve">Phase 5: Refinement (Months 10–12)</w:t>
      </w:r>
    </w:p>
    <w:p>
      <w:pPr>
        <w:pStyle w:val="ListParagraph"/>
        <w:numPr>
          <w:ilvl w:val="0"/>
          <w:numId w:val="16"/>
        </w:numPr>
        <w:spacing w:after="60"/>
      </w:pPr>
      <w:r>
        <w:rPr>
          <w:rFonts w:ascii="Arial" w:cs="Arial" w:eastAsia="Arial" w:hAnsi="Arial"/>
          <w:sz w:val="22"/>
          <w:szCs w:val="22"/>
        </w:rPr>
        <w:t xml:space="preserve">Ethics and data management compliance tracking</w:t>
      </w:r>
    </w:p>
    <w:p>
      <w:pPr>
        <w:pStyle w:val="ListParagraph"/>
        <w:numPr>
          <w:ilvl w:val="0"/>
          <w:numId w:val="16"/>
        </w:numPr>
        <w:spacing w:after="60"/>
      </w:pPr>
      <w:r>
        <w:rPr>
          <w:rFonts w:ascii="Arial" w:cs="Arial" w:eastAsia="Arial" w:hAnsi="Arial"/>
          <w:sz w:val="22"/>
          <w:szCs w:val="22"/>
        </w:rPr>
        <w:t xml:space="preserve">Amendment tracking with cascading data updates</w:t>
      </w:r>
    </w:p>
    <w:p>
      <w:pPr>
        <w:pStyle w:val="ListParagraph"/>
        <w:numPr>
          <w:ilvl w:val="0"/>
          <w:numId w:val="16"/>
        </w:numPr>
        <w:spacing w:after="60"/>
      </w:pPr>
      <w:r>
        <w:rPr>
          <w:rFonts w:ascii="Arial" w:cs="Arial" w:eastAsia="Arial" w:hAnsi="Arial"/>
          <w:sz w:val="22"/>
          <w:szCs w:val="22"/>
        </w:rPr>
        <w:t xml:space="preserve">Advanced dashboards and analytics</w:t>
      </w:r>
    </w:p>
    <w:p>
      <w:pPr>
        <w:pStyle w:val="ListParagraph"/>
        <w:numPr>
          <w:ilvl w:val="0"/>
          <w:numId w:val="16"/>
        </w:numPr>
        <w:spacing w:after="60"/>
      </w:pPr>
      <w:r>
        <w:rPr>
          <w:rFonts w:ascii="Arial" w:cs="Arial" w:eastAsia="Arial" w:hAnsi="Arial"/>
          <w:sz w:val="22"/>
          <w:szCs w:val="22"/>
        </w:rPr>
        <w:t xml:space="preserve">Notification and alert system</w:t>
      </w:r>
    </w:p>
    <w:p>
      <w:pPr>
        <w:pStyle w:val="ListParagraph"/>
        <w:numPr>
          <w:ilvl w:val="0"/>
          <w:numId w:val="16"/>
        </w:numPr>
        <w:spacing w:after="60"/>
      </w:pPr>
      <w:r>
        <w:rPr>
          <w:rFonts w:ascii="Arial" w:cs="Arial" w:eastAsia="Arial" w:hAnsi="Arial"/>
          <w:sz w:val="22"/>
          <w:szCs w:val="22"/>
        </w:rPr>
        <w:t xml:space="preserve">External partner portal (limited access for consortium partners)</w:t>
      </w:r>
    </w:p>
    <w:p>
      <w:pPr>
        <w:pStyle w:val="ListParagraph"/>
        <w:numPr>
          <w:ilvl w:val="0"/>
          <w:numId w:val="16"/>
        </w:numPr>
        <w:spacing w:after="60"/>
      </w:pPr>
      <w:r>
        <w:rPr>
          <w:rFonts w:ascii="Arial" w:cs="Arial" w:eastAsia="Arial" w:hAnsi="Arial"/>
          <w:sz w:val="22"/>
          <w:szCs w:val="22"/>
        </w:rPr>
        <w:t xml:space="preserve">Performance optimization and user acceptance testing</w:t>
      </w:r>
    </w:p>
    <w:p>
      <w:r>
        <w:br w:type="page"/>
      </w:r>
    </w:p>
    <w:p>
      <w:pPr>
        <w:pStyle w:val="Heading1"/>
      </w:pPr>
      <w:r>
        <w:t xml:space="preserve">12. Technical Considerations</w:t>
      </w:r>
    </w:p>
    <w:p>
      <w:pPr>
        <w:pStyle w:val="Heading2"/>
      </w:pPr>
      <w:r>
        <w:t xml:space="preserve">12.1 Data Security and GDPR</w:t>
      </w:r>
    </w:p>
    <w:p>
      <w:pPr>
        <w:spacing w:after="120"/>
      </w:pPr>
      <w:r>
        <w:rPr>
          <w:rFonts w:ascii="Arial" w:cs="Arial" w:eastAsia="Arial" w:hAnsi="Arial"/>
          <w:sz w:val="22"/>
          <w:szCs w:val="22"/>
        </w:rPr>
        <w:t xml:space="preserve">The application stores personal data (researcher names, salaries, effort allocations) and must comply with GDPR. Requirements include data minimization, access control based on role, audit logging of data access, data retention policies aligned with EC requirements (typically five years after project closure, or longer for certain programmes), and the ability to respond to data subject access requests.</w:t>
      </w:r>
    </w:p>
    <w:p>
      <w:pPr>
        <w:pStyle w:val="Heading2"/>
      </w:pPr>
      <w:r>
        <w:t xml:space="preserve">12.2 Multi-currency Support</w:t>
      </w:r>
    </w:p>
    <w:p>
      <w:pPr>
        <w:spacing w:after="120"/>
      </w:pPr>
      <w:r>
        <w:rPr>
          <w:rFonts w:ascii="Arial" w:cs="Arial" w:eastAsia="Arial" w:hAnsi="Arial"/>
          <w:sz w:val="22"/>
          <w:szCs w:val="22"/>
        </w:rPr>
        <w:t xml:space="preserve">All financial data is stored in both original currency and EUR equivalent. The system applies the monthly InforEuro exchange rate for EC reporting purposes, while maintaining the university internal rate for institutional reporting. Historical rates are preserved for audit purposes.</w:t>
      </w:r>
    </w:p>
    <w:p>
      <w:pPr>
        <w:pStyle w:val="Heading2"/>
      </w:pPr>
      <w:r>
        <w:t xml:space="preserve">12.3 Scalability</w:t>
      </w:r>
    </w:p>
    <w:p>
      <w:pPr>
        <w:spacing w:after="120"/>
      </w:pPr>
      <w:r>
        <w:rPr>
          <w:rFonts w:ascii="Arial" w:cs="Arial" w:eastAsia="Arial" w:hAnsi="Arial"/>
          <w:sz w:val="22"/>
          <w:szCs w:val="22"/>
        </w:rPr>
        <w:t xml:space="preserve">The system should support a growing portfolio: initially 5–10 concurrent projects, scaling to 20–30 as the research group expands. Database design should accommodate this growth, particularly for timesheet data (which grows linearly with researchers and time) and document storage.</w:t>
      </w:r>
    </w:p>
    <w:p>
      <w:pPr>
        <w:pStyle w:val="Heading2"/>
      </w:pPr>
      <w:r>
        <w:t xml:space="preserve">12.4 Integration Points</w:t>
      </w:r>
    </w:p>
    <w:p>
      <w:pPr>
        <w:pStyle w:val="ListParagraph"/>
        <w:numPr>
          <w:ilvl w:val="0"/>
          <w:numId w:val="17"/>
        </w:numPr>
        <w:spacing w:after="60"/>
      </w:pPr>
      <w:r>
        <w:rPr>
          <w:rFonts w:ascii="Arial" w:cs="Arial" w:eastAsia="Arial" w:hAnsi="Arial"/>
          <w:sz w:val="22"/>
          <w:szCs w:val="22"/>
        </w:rPr>
        <w:t xml:space="preserve">University HR system (for researcher contract data and salary information)</w:t>
      </w:r>
    </w:p>
    <w:p>
      <w:pPr>
        <w:pStyle w:val="ListParagraph"/>
        <w:numPr>
          <w:ilvl w:val="0"/>
          <w:numId w:val="17"/>
        </w:numPr>
        <w:spacing w:after="60"/>
      </w:pPr>
      <w:r>
        <w:rPr>
          <w:rFonts w:ascii="Arial" w:cs="Arial" w:eastAsia="Arial" w:hAnsi="Arial"/>
          <w:sz w:val="22"/>
          <w:szCs w:val="22"/>
        </w:rPr>
        <w:t xml:space="preserve">University financial system (for expense reconciliation and account codes)</w:t>
      </w:r>
    </w:p>
    <w:p>
      <w:pPr>
        <w:pStyle w:val="ListParagraph"/>
        <w:numPr>
          <w:ilvl w:val="0"/>
          <w:numId w:val="17"/>
        </w:numPr>
        <w:spacing w:after="60"/>
      </w:pPr>
      <w:r>
        <w:rPr>
          <w:rFonts w:ascii="Arial" w:cs="Arial" w:eastAsia="Arial" w:hAnsi="Arial"/>
          <w:sz w:val="22"/>
          <w:szCs w:val="22"/>
        </w:rPr>
        <w:t xml:space="preserve">EC Funding and Tenders Portal (manual export/import, with API integration when available)</w:t>
      </w:r>
    </w:p>
    <w:p>
      <w:pPr>
        <w:pStyle w:val="ListParagraph"/>
        <w:numPr>
          <w:ilvl w:val="0"/>
          <w:numId w:val="17"/>
        </w:numPr>
        <w:spacing w:after="60"/>
      </w:pPr>
      <w:r>
        <w:rPr>
          <w:rFonts w:ascii="Arial" w:cs="Arial" w:eastAsia="Arial" w:hAnsi="Arial"/>
          <w:sz w:val="22"/>
          <w:szCs w:val="22"/>
        </w:rPr>
        <w:t xml:space="preserve">Email system (for automated notifications and reminders)</w:t>
      </w:r>
    </w:p>
    <w:p>
      <w:pPr>
        <w:pStyle w:val="ListParagraph"/>
        <w:numPr>
          <w:ilvl w:val="0"/>
          <w:numId w:val="17"/>
        </w:numPr>
        <w:spacing w:after="60"/>
      </w:pPr>
      <w:r>
        <w:rPr>
          <w:rFonts w:ascii="Arial" w:cs="Arial" w:eastAsia="Arial" w:hAnsi="Arial"/>
          <w:sz w:val="22"/>
          <w:szCs w:val="22"/>
        </w:rPr>
        <w:t xml:space="preserve">Calendar integration (for reporting deadlines and review meetings)</w:t>
      </w:r>
    </w:p>
    <w:p>
      <w:pPr>
        <w:pStyle w:val="ListParagraph"/>
        <w:numPr>
          <w:ilvl w:val="0"/>
          <w:numId w:val="17"/>
        </w:numPr>
        <w:spacing w:after="60"/>
      </w:pPr>
      <w:r>
        <w:rPr>
          <w:rFonts w:ascii="Arial" w:cs="Arial" w:eastAsia="Arial" w:hAnsi="Arial"/>
          <w:sz w:val="22"/>
          <w:szCs w:val="22"/>
        </w:rPr>
        <w:t xml:space="preserve">Document storage (institutional repository or cloud storage for audit files)</w:t>
      </w:r>
    </w:p>
    <w:p>
      <w:r>
        <w:br w:type="page"/>
      </w:r>
    </w:p>
    <w:p>
      <w:pPr>
        <w:pStyle w:val="Heading1"/>
      </w:pPr>
      <w:r>
        <w:t xml:space="preserve">Appendix A: 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GA</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Grant Agreement – the contract between the EC and the consortium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DoA</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 of Action – the technical annex to the grant agreement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WP</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Work Package – a major subdivision of the project work 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PM</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Person-Month – unit of effort, equivalent to one person working full-time for one month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PIC</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Participant Identification Code – unique identifier in the EC participant register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Entity Appointed Representative – authorized signatory for the organization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Form C</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Financial statement submitted per partner per reporting period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DL57</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Decreto-Lei 57/2016 – Portuguese decree for scientific employment contracts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CEEC</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Concurso Estímulo ao Emprego Científico – FCT scientific employment programme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Bolsa</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scholarship/fellowship funded by FCT or project grants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BI</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Bolsa de Investigação – research scholarship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BD</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Bolsa de Doutoramento – doctoral scholarship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BPD</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Bolsa de Pós-Doutoramento – postdoctoral scholarship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CLT</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Contrato de Trabalho – standard employment contract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InforEuro</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 official monthly exchange rates used for financial reporting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DESCA</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Development of a Simplified Consortium Agreement – standard CA template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TRL</w:t>
            </w:r>
          </w:p>
        </w:tc>
        <w:tc>
          <w:tcPr>
            <w:tcW w:type="dxa" w:w="7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Technology Readiness Level – scale from 1 (basic research) to 9 (market ready)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Findable, Accessible, Interoperable, Reusable – data management principles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vNicorn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999999"/>
        <w:sz w:val="16"/>
        <w:szCs w:val="16"/>
      </w:rPr>
      <w:t xml:space="preserve">EU Research Project Management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15"/>
    <w:lvlOverride w:ilvl="0">
      <w:startOverride w:val="1"/>
    </w:lvlOverride>
  </w:num>
  <w:num w:numId="10">
    <w:abstractNumId w:val="1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2026-03-12T13:29:13.633Z</dcterms:created>
  <dcterms:modified xsi:type="dcterms:W3CDTF">2026-03-12T13:29:13.633Z</dcterms:modified>
</cp:coreProperties>
</file>

<file path=docProps/custom.xml><?xml version="1.0" encoding="utf-8"?>
<Properties xmlns="http://schemas.openxmlformats.org/officeDocument/2006/custom-properties" xmlns:vt="http://schemas.openxmlformats.org/officeDocument/2006/docPropsVTypes"/>
</file>