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30A0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b/>
          <w:bCs/>
          <w:sz w:val="30"/>
          <w:szCs w:val="30"/>
          <w:lang w:val="en-US" w:eastAsia="zh-CN"/>
        </w:rPr>
      </w:pPr>
      <w:r>
        <w:rPr>
          <w:rFonts w:hint="eastAsia" w:ascii="Times New Roman" w:hAnsi="Times New Roman" w:eastAsia="宋体"/>
          <w:b/>
          <w:bCs/>
          <w:sz w:val="30"/>
          <w:szCs w:val="30"/>
          <w:lang w:val="en-US" w:eastAsia="zh-CN"/>
        </w:rPr>
        <w:t>四、</w:t>
      </w:r>
      <w:r>
        <w:rPr>
          <w:rFonts w:ascii="Times New Roman" w:hAnsi="Times New Roman" w:eastAsia="宋体" w:cs="FandolSong-Regular-Identity-H"/>
          <w:b/>
          <w:bCs/>
          <w:color w:val="000000"/>
          <w:kern w:val="0"/>
          <w:sz w:val="30"/>
          <w:szCs w:val="30"/>
          <w:lang w:val="en-US" w:eastAsia="zh-CN" w:bidi="ar"/>
        </w:rPr>
        <w:t>可操作的策划方案</w:t>
      </w:r>
    </w:p>
    <w:p w14:paraId="55292E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lang w:val="en-US" w:eastAsia="zh-CN"/>
        </w:rPr>
      </w:pPr>
      <w:r>
        <w:rPr>
          <w:rFonts w:hint="eastAsia" w:ascii="Times New Roman" w:hAnsi="Times New Roman" w:eastAsia="宋体"/>
          <w:lang w:val="en-US" w:eastAsia="zh-CN"/>
        </w:rPr>
        <w:t>为深化中大文创品牌影响力，我们小组构思了“高考系列活动”，通过分用户运营策略，于高考前、高考中、高考后分别策划了不同的活动来触达目标群体。</w:t>
      </w:r>
      <w:bookmarkStart w:id="0" w:name="_GoBack"/>
      <w:bookmarkEnd w:id="0"/>
    </w:p>
    <w:p w14:paraId="40865FC4">
      <w:pPr>
        <w:pStyle w:val="2"/>
        <w:numPr>
          <w:numId w:val="0"/>
        </w:numPr>
        <w:bidi w:val="0"/>
        <w:ind w:leftChars="0"/>
        <w:rPr>
          <w:rFonts w:hint="default" w:ascii="Times New Roman" w:hAnsi="Times New Roman" w:eastAsia="宋体"/>
          <w:lang w:val="en-US" w:eastAsia="zh-CN"/>
        </w:rPr>
      </w:pPr>
      <w:r>
        <w:rPr>
          <w:rFonts w:hint="eastAsia" w:ascii="Times New Roman" w:hAnsi="Times New Roman" w:eastAsia="宋体"/>
          <w:lang w:val="en-US" w:eastAsia="zh-CN"/>
        </w:rPr>
        <w:t>4.1</w:t>
      </w:r>
      <w:r>
        <w:rPr>
          <w:rFonts w:hint="eastAsia" w:ascii="Times New Roman" w:hAnsi="Times New Roman"/>
          <w:lang w:val="en-US" w:eastAsia="zh-CN"/>
        </w:rPr>
        <w:t>高考前：</w:t>
      </w:r>
      <w:r>
        <w:rPr>
          <w:rFonts w:hint="eastAsia" w:ascii="Times New Roman" w:hAnsi="Times New Roman" w:eastAsia="宋体"/>
          <w:lang w:val="en-US" w:eastAsia="zh-CN"/>
        </w:rPr>
        <w:t>中大文创 X 寒招</w:t>
      </w:r>
    </w:p>
    <w:p w14:paraId="4F0DCCD5">
      <w:pPr>
        <w:pStyle w:val="2"/>
        <w:numPr>
          <w:numId w:val="0"/>
        </w:numPr>
        <w:bidi w:val="0"/>
        <w:ind w:leftChars="0"/>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4.1.1活动背景与目的</w:t>
      </w:r>
    </w:p>
    <w:p w14:paraId="0DE58460">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宋体"/>
          <w:b w:val="0"/>
          <w:bCs/>
        </w:rPr>
      </w:pPr>
      <w:r>
        <w:rPr>
          <w:rFonts w:hint="eastAsia" w:ascii="Times New Roman" w:hAnsi="Times New Roman" w:eastAsia="宋体" w:cs="宋体"/>
          <w:lang w:val="en-US" w:eastAsia="zh-CN"/>
        </w:rPr>
        <w:t>中山大学招生宣传志愿者协会每年都会组织志愿者</w:t>
      </w:r>
      <w:r>
        <w:rPr>
          <w:rFonts w:hint="eastAsia" w:ascii="Times New Roman" w:hAnsi="Times New Roman" w:eastAsia="宋体" w:cs="宋体"/>
        </w:rPr>
        <w:t>利用寒假回到家乡所在地的各所高中</w:t>
      </w:r>
      <w:r>
        <w:rPr>
          <w:rFonts w:hint="eastAsia" w:ascii="Times New Roman" w:hAnsi="Times New Roman" w:eastAsia="宋体" w:cs="宋体"/>
          <w:lang w:eastAsia="zh-CN"/>
        </w:rPr>
        <w:t>，</w:t>
      </w:r>
      <w:r>
        <w:rPr>
          <w:rFonts w:hint="eastAsia" w:ascii="Times New Roman" w:hAnsi="Times New Roman" w:eastAsia="宋体" w:cs="宋体"/>
        </w:rPr>
        <w:t>面向学校、家长和学生进行宣传和交流，达到帮助学生、激励学生和提高中山大学知名度的效果，</w:t>
      </w:r>
      <w:r>
        <w:rPr>
          <w:rFonts w:hint="eastAsia" w:ascii="Times New Roman" w:hAnsi="Times New Roman" w:eastAsia="宋体" w:cs="宋体"/>
          <w:lang w:val="en-US" w:eastAsia="zh-CN"/>
        </w:rPr>
        <w:t>从而</w:t>
      </w:r>
      <w:r>
        <w:rPr>
          <w:rFonts w:hint="eastAsia" w:ascii="Times New Roman" w:hAnsi="Times New Roman" w:eastAsia="宋体" w:cs="宋体"/>
          <w:b w:val="0"/>
          <w:bCs/>
        </w:rPr>
        <w:t>吸引全国更多优秀学子选择中山大学。</w:t>
      </w:r>
    </w:p>
    <w:p w14:paraId="5D7DE1DF">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基于此，中大文创可以聚</w:t>
      </w:r>
      <w:r>
        <w:rPr>
          <w:rFonts w:hint="eastAsia" w:ascii="Times New Roman" w:hAnsi="Times New Roman" w:eastAsia="宋体"/>
          <w:lang w:val="en-US" w:eastAsia="zh-CN"/>
        </w:rPr>
        <w:t>焦于高中生这一潜在用户群体，</w:t>
      </w:r>
      <w:r>
        <w:rPr>
          <w:rFonts w:hint="eastAsia" w:ascii="Times New Roman" w:hAnsi="Times New Roman" w:eastAsia="宋体" w:cs="宋体"/>
          <w:lang w:val="en-US" w:eastAsia="zh-CN"/>
        </w:rPr>
        <w:t>与招协达成合作，在招宣的过程中加入文创概念，利用招宣过程中的宣讲环节，讲述中大文创故事，传播文创理念，让更多的学生知道中大文创、了解中大文创，购买中大文创，</w:t>
      </w:r>
      <w:r>
        <w:rPr>
          <w:rFonts w:hint="eastAsia" w:ascii="Times New Roman" w:hAnsi="Times New Roman" w:eastAsia="宋体"/>
          <w:lang w:val="en-US" w:eastAsia="zh-CN"/>
        </w:rPr>
        <w:t>开拓校园消费市场。</w:t>
      </w:r>
    </w:p>
    <w:p w14:paraId="290AE276">
      <w:pPr>
        <w:pStyle w:val="2"/>
        <w:numPr>
          <w:numId w:val="0"/>
        </w:numPr>
        <w:bidi w:val="0"/>
        <w:ind w:leftChars="0"/>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4.1.2举办单位</w:t>
      </w:r>
    </w:p>
    <w:p w14:paraId="0295B507">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sz w:val="21"/>
          <w:szCs w:val="21"/>
        </w:rPr>
      </w:pPr>
      <w:r>
        <w:rPr>
          <w:rFonts w:hint="eastAsia" w:ascii="Times New Roman" w:hAnsi="Times New Roman" w:eastAsia="宋体"/>
          <w:sz w:val="21"/>
          <w:szCs w:val="21"/>
        </w:rPr>
        <w:t>主办单位：中山大学产业集团</w:t>
      </w:r>
    </w:p>
    <w:p w14:paraId="5929B066">
      <w:pPr>
        <w:pageBreakBefore w:val="0"/>
        <w:widowControl w:val="0"/>
        <w:numPr>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rPr>
        <w:t>承办单位：中大校园文创、</w:t>
      </w:r>
      <w:r>
        <w:rPr>
          <w:rFonts w:hint="eastAsia" w:ascii="Times New Roman" w:hAnsi="Times New Roman" w:eastAsia="宋体" w:cs="宋体"/>
          <w:szCs w:val="21"/>
        </w:rPr>
        <w:t>中山大学招生宣传志愿者协会</w:t>
      </w:r>
    </w:p>
    <w:p w14:paraId="57B945F2">
      <w:pPr>
        <w:pStyle w:val="2"/>
        <w:numPr>
          <w:numId w:val="0"/>
        </w:numPr>
        <w:bidi w:val="0"/>
        <w:ind w:leftChars="0"/>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4.1.3活动时间、地点</w:t>
      </w:r>
    </w:p>
    <w:p w14:paraId="3EB0EA80">
      <w:pPr>
        <w:pageBreakBefore w:val="0"/>
        <w:widowControl w:val="0"/>
        <w:numPr>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活动时间：每年寒假期间</w:t>
      </w:r>
    </w:p>
    <w:p w14:paraId="6542602F">
      <w:pPr>
        <w:pageBreakBefore w:val="0"/>
        <w:widowControl w:val="0"/>
        <w:numPr>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宋体"/>
        </w:rPr>
      </w:pPr>
      <w:r>
        <w:rPr>
          <w:rFonts w:hint="eastAsia" w:ascii="Times New Roman" w:hAnsi="Times New Roman" w:eastAsia="宋体"/>
          <w:sz w:val="21"/>
          <w:szCs w:val="21"/>
          <w:lang w:val="en-US" w:eastAsia="zh-CN"/>
        </w:rPr>
        <w:t>活动地点：</w:t>
      </w:r>
      <w:r>
        <w:rPr>
          <w:rFonts w:hint="eastAsia" w:ascii="Times New Roman" w:hAnsi="Times New Roman" w:eastAsia="宋体" w:cs="宋体"/>
        </w:rPr>
        <w:t>志愿者家乡所在地的各所高中</w:t>
      </w:r>
    </w:p>
    <w:p w14:paraId="764F22AC">
      <w:pPr>
        <w:pStyle w:val="2"/>
        <w:numPr>
          <w:numId w:val="0"/>
        </w:numPr>
        <w:bidi w:val="0"/>
        <w:ind w:left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4.1.4活动准备</w:t>
      </w:r>
    </w:p>
    <w:p w14:paraId="1E64782D">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宋体"/>
          <w:kern w:val="0"/>
          <w:szCs w:val="21"/>
          <w:lang w:val="en-US" w:eastAsia="zh-CN"/>
        </w:rPr>
      </w:pPr>
      <w:r>
        <w:rPr>
          <w:rFonts w:hint="eastAsia" w:ascii="Times New Roman" w:hAnsi="Times New Roman" w:eastAsia="宋体" w:cs="宋体"/>
          <w:lang w:val="en-US" w:eastAsia="zh-CN"/>
        </w:rPr>
        <w:t>中大文创为寒招活动提供招宣物资，由志愿者在招宣过程中发放给学弟学妹。招协需在</w:t>
      </w:r>
      <w:r>
        <w:rPr>
          <w:rFonts w:hint="eastAsia" w:ascii="Times New Roman" w:hAnsi="Times New Roman" w:eastAsia="宋体" w:cs="宋体"/>
          <w:kern w:val="0"/>
          <w:szCs w:val="21"/>
          <w:lang w:val="en-US" w:eastAsia="zh-CN"/>
        </w:rPr>
        <w:t>招生宣讲PPT模板中增设中大文创板块，介绍中大文创团队与产品设计理念，在招宣的过程中，通过潜移默化的方式深化学生对中大文创产品的认同。</w:t>
      </w:r>
    </w:p>
    <w:p w14:paraId="08A3C7E7">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宋体"/>
          <w:kern w:val="0"/>
          <w:szCs w:val="21"/>
          <w:lang w:val="en-US" w:eastAsia="zh-CN"/>
        </w:rPr>
      </w:pPr>
      <w:r>
        <w:rPr>
          <w:rFonts w:hint="eastAsia" w:ascii="Times New Roman" w:hAnsi="Times New Roman" w:eastAsia="宋体" w:cs="宋体"/>
          <w:lang w:val="en-US" w:eastAsia="zh-CN"/>
        </w:rPr>
        <w:t>中大文创为寒招活动提供招宣物资，由志愿者在招宣过程中发放给学弟学妹。招协需在</w:t>
      </w:r>
      <w:r>
        <w:rPr>
          <w:rFonts w:hint="eastAsia" w:ascii="Times New Roman" w:hAnsi="Times New Roman" w:eastAsia="宋体" w:cs="宋体"/>
          <w:kern w:val="0"/>
          <w:szCs w:val="21"/>
          <w:lang w:val="en-US" w:eastAsia="zh-CN"/>
        </w:rPr>
        <w:t>招生宣讲PPT模板中增设中大文创板块，介绍中大文创团队与产品设计理念，在招宣的过程中，通过潜移默化的方式深化学生对中大文创产品的认同。</w:t>
      </w:r>
    </w:p>
    <w:p w14:paraId="3ADEB193">
      <w:pPr>
        <w:pStyle w:val="3"/>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Times New Roman" w:hAnsi="Times New Roman" w:eastAsia="宋体" w:cs="宋体"/>
          <w:sz w:val="21"/>
          <w:szCs w:val="21"/>
          <w:lang w:val="en-US" w:eastAsia="zh-CN"/>
        </w:rPr>
      </w:pPr>
      <w:r>
        <w:rPr>
          <w:rFonts w:hint="eastAsia" w:ascii="Times New Roman" w:hAnsi="Times New Roman" w:eastAsia="宋体" w:cs="宋体"/>
          <w:sz w:val="21"/>
          <w:szCs w:val="21"/>
          <w:lang w:val="en-US" w:eastAsia="zh-CN"/>
        </w:rPr>
        <w:t>物资准备</w:t>
      </w:r>
    </w:p>
    <w:p w14:paraId="44D67ED1">
      <w:pPr>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宋体"/>
          <w:lang w:val="en-US" w:eastAsia="zh-CN"/>
        </w:rPr>
      </w:pPr>
      <w:r>
        <w:rPr>
          <w:rFonts w:hint="eastAsia" w:ascii="Times New Roman" w:hAnsi="Times New Roman" w:eastAsia="宋体" w:cs="宋体"/>
          <w:b w:val="0"/>
          <w:bCs w:val="0"/>
          <w:lang w:val="en-US" w:eastAsia="zh-CN"/>
        </w:rPr>
        <w:t>围绕“中大特色”+“互动性”+“学习生活”三大主题进行设计，</w:t>
      </w:r>
      <w:r>
        <w:rPr>
          <w:rFonts w:hint="eastAsia" w:ascii="Times New Roman" w:hAnsi="Times New Roman" w:eastAsia="宋体" w:cs="宋体"/>
          <w:lang w:val="en-US" w:eastAsia="zh-CN"/>
        </w:rPr>
        <w:t>目前招协发放的明信片、贴纸等基础类招宣产品既与学生日常生活没有较大关联，又没有很强的互动效果，导致其在认知度和情感联结方面的效果较为有限。中大文创可以考虑设计与学生学习生活息息相关的文创用品，吸引学生群体购买中大文创；同时设计具有高互动性的文创产品，强化学生对中大文创的品牌记忆</w:t>
      </w:r>
    </w:p>
    <w:p w14:paraId="3D85B0D3">
      <w:pPr>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拼图：拼图过程具有沉浸式、高互动性的特点，能够增强用户的参与感；并且组拼出的成品可以作为纪念品长期进行展示，持续强化中大文创的品牌认知。</w:t>
      </w:r>
    </w:p>
    <w:p w14:paraId="7773DF63">
      <w:pPr>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印章：盖章也是高互动性活动，能显著提高学生的参与兴趣；并且印章能够在很长一段时间内持续使用，学生反复盖章的行为可以强化其对中大文创的品牌记忆。</w:t>
      </w:r>
    </w:p>
    <w:p w14:paraId="0EB92E03">
      <w:pPr>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eastAsia" w:ascii="Times New Roman" w:hAnsi="Times New Roman" w:eastAsia="宋体"/>
          <w:lang w:val="en-US" w:eastAsia="zh-CN"/>
        </w:rPr>
      </w:pPr>
      <w:r>
        <w:rPr>
          <w:rFonts w:hint="eastAsia" w:ascii="Times New Roman" w:hAnsi="Times New Roman" w:eastAsia="宋体" w:cs="宋体"/>
          <w:lang w:val="en-US" w:eastAsia="zh-CN"/>
        </w:rPr>
        <w:t>文具类：文具与学生的学习生活密切相关，具有高频次、复购率高的特点，文具类文创产品可以使学生在日常学习场景的接触下形成持续的品牌记忆；并且文具作为社交属性产品，在社交过程中能传播中大文创理念，提升品牌知名度，扩大用户群体。</w:t>
      </w:r>
    </w:p>
    <w:p w14:paraId="6CA186F9">
      <w:pPr>
        <w:numPr>
          <w:ilvl w:val="0"/>
          <w:numId w:val="2"/>
        </w:numPr>
        <w:ind w:left="425" w:leftChars="0" w:hanging="425" w:firstLineChars="0"/>
        <w:rPr>
          <w:rFonts w:hint="eastAsia" w:ascii="Times New Roman" w:hAnsi="Times New Roman" w:eastAsia="宋体"/>
          <w:b/>
          <w:bCs/>
          <w:sz w:val="21"/>
          <w:szCs w:val="21"/>
          <w:lang w:val="en-US" w:eastAsia="zh-CN"/>
        </w:rPr>
      </w:pPr>
      <w:r>
        <w:rPr>
          <w:rFonts w:hint="eastAsia" w:ascii="Times New Roman" w:hAnsi="Times New Roman" w:eastAsia="宋体"/>
          <w:b/>
          <w:bCs/>
          <w:sz w:val="21"/>
          <w:szCs w:val="21"/>
          <w:lang w:val="en-US" w:eastAsia="zh-CN"/>
        </w:rPr>
        <w:t>物资发放</w:t>
      </w:r>
    </w:p>
    <w:p w14:paraId="2632F953">
      <w:pPr>
        <w:numPr>
          <w:numId w:val="0"/>
        </w:numPr>
        <w:ind w:leftChars="0"/>
        <w:rPr>
          <w:rFonts w:hint="eastAsia" w:ascii="Times New Roman" w:hAnsi="Times New Roman" w:eastAsia="宋体"/>
          <w:lang w:val="en-US" w:eastAsia="zh-CN"/>
        </w:rPr>
      </w:pPr>
      <w:r>
        <w:rPr>
          <w:rFonts w:hint="eastAsia" w:ascii="Times New Roman" w:hAnsi="Times New Roman" w:eastAsia="宋体" w:cs="宋体"/>
          <w:kern w:val="0"/>
          <w:szCs w:val="21"/>
          <w:lang w:val="en-US" w:eastAsia="zh-CN"/>
        </w:rPr>
        <w:t>各队伍的物资数量根据队伍人数与相应区域招生规模进行分配，队伍</w:t>
      </w:r>
      <w:r>
        <w:rPr>
          <w:rFonts w:hint="eastAsia" w:ascii="Times New Roman" w:hAnsi="Times New Roman" w:eastAsia="宋体" w:cs="宋体"/>
          <w:b w:val="0"/>
          <w:bCs w:val="0"/>
          <w:kern w:val="0"/>
          <w:szCs w:val="21"/>
          <w:lang w:val="en-US" w:eastAsia="zh-CN"/>
        </w:rPr>
        <w:t>领取物资后按照校队发放物资。</w:t>
      </w:r>
    </w:p>
    <w:p w14:paraId="5EE37F45">
      <w:pPr>
        <w:numPr>
          <w:ilvl w:val="0"/>
          <w:numId w:val="2"/>
        </w:numPr>
        <w:ind w:left="425" w:leftChars="0" w:hanging="425" w:firstLineChars="0"/>
        <w:rPr>
          <w:rFonts w:hint="eastAsia" w:ascii="Times New Roman" w:hAnsi="Times New Roman" w:eastAsia="宋体"/>
          <w:b/>
          <w:bCs/>
          <w:sz w:val="21"/>
          <w:szCs w:val="21"/>
          <w:lang w:val="en-US" w:eastAsia="zh-CN"/>
        </w:rPr>
      </w:pPr>
      <w:r>
        <w:rPr>
          <w:rFonts w:hint="eastAsia" w:ascii="Times New Roman" w:hAnsi="Times New Roman" w:eastAsia="宋体" w:cs="宋体"/>
          <w:b/>
          <w:bCs/>
          <w:sz w:val="21"/>
          <w:szCs w:val="21"/>
          <w:lang w:val="en-US" w:eastAsia="zh-CN"/>
        </w:rPr>
        <w:t>PPT设计</w:t>
      </w:r>
    </w:p>
    <w:p w14:paraId="0DDA8D6B">
      <w:pPr>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在招宣PPT模板中增设“中大文创”专题，结合现有品牌策略展示中大文创现有产品体系，阐述产品设计理念，传播文创故事。在发放实体物资的同时，由志愿者在宣讲环节介绍中大文创产品，讲解文创背后的文化故事，提高学生对中大文创的兴趣。</w:t>
      </w:r>
    </w:p>
    <w:p w14:paraId="029E31A5">
      <w:pPr>
        <w:pStyle w:val="2"/>
        <w:numPr>
          <w:numId w:val="0"/>
        </w:numPr>
        <w:bidi w:val="0"/>
        <w:ind w:left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4.1.5活动流程</w:t>
      </w:r>
    </w:p>
    <w:p w14:paraId="0B4AB96E">
      <w:pPr>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Times New Roman" w:hAnsi="Times New Roman" w:eastAsia="宋体"/>
          <w:b/>
          <w:bCs/>
          <w:sz w:val="21"/>
          <w:szCs w:val="21"/>
          <w:lang w:val="en-US" w:eastAsia="zh-CN"/>
        </w:rPr>
      </w:pPr>
      <w:r>
        <w:rPr>
          <w:rFonts w:hint="eastAsia" w:ascii="Times New Roman" w:hAnsi="Times New Roman" w:eastAsia="宋体"/>
          <w:b/>
          <w:bCs/>
          <w:sz w:val="21"/>
          <w:szCs w:val="21"/>
          <w:lang w:val="en-US" w:eastAsia="zh-CN"/>
        </w:rPr>
        <w:t>前期准备</w:t>
      </w:r>
    </w:p>
    <w:p w14:paraId="2D5D0C34">
      <w:pPr>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b/>
          <w:bCs/>
          <w:sz w:val="24"/>
          <w:szCs w:val="24"/>
          <w:lang w:val="en-US" w:eastAsia="zh-CN"/>
        </w:rPr>
      </w:pPr>
      <w:r>
        <w:rPr>
          <w:rFonts w:hint="eastAsia" w:ascii="Times New Roman" w:hAnsi="Times New Roman" w:eastAsia="宋体"/>
          <w:b w:val="0"/>
          <w:bCs w:val="0"/>
          <w:sz w:val="21"/>
          <w:szCs w:val="21"/>
          <w:lang w:val="en-US" w:eastAsia="zh-CN"/>
        </w:rPr>
        <w:t>每年十一月份由招协组织寒招志愿者招募工作，选出各省市的队长并开展队伍组建工作。在活动开展前，由中大文创团队联合招协开展队伍内培工作，发放电子物资招生宣传PPT模板，传达“寒招+文创”的活动理念。在十二月下旬，由招协组织各省市队伍领取并发放寒招招宣文创，并在寒假期间监督各省市队伍开展活动。</w:t>
      </w:r>
    </w:p>
    <w:p w14:paraId="087802CF">
      <w:pPr>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Times New Roman" w:hAnsi="Times New Roman" w:eastAsia="宋体"/>
          <w:b/>
          <w:bCs/>
          <w:sz w:val="21"/>
          <w:szCs w:val="21"/>
          <w:lang w:val="en-US" w:eastAsia="zh-CN"/>
        </w:rPr>
      </w:pPr>
      <w:r>
        <w:rPr>
          <w:rFonts w:hint="eastAsia" w:ascii="Times New Roman" w:hAnsi="Times New Roman" w:eastAsia="宋体"/>
          <w:b/>
          <w:bCs/>
          <w:sz w:val="21"/>
          <w:szCs w:val="21"/>
          <w:lang w:val="en-US" w:eastAsia="zh-CN"/>
        </w:rPr>
        <w:t>活动开展</w:t>
      </w:r>
    </w:p>
    <w:p w14:paraId="04F5EE24">
      <w:pPr>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ascii="Times New Roman" w:hAnsi="Times New Roman" w:eastAsia="宋体"/>
          <w:b/>
          <w:bCs/>
          <w:sz w:val="24"/>
          <w:szCs w:val="24"/>
          <w:lang w:val="en-US" w:eastAsia="zh-CN"/>
        </w:rPr>
      </w:pPr>
      <w:r>
        <w:rPr>
          <w:rFonts w:hint="eastAsia" w:ascii="Times New Roman" w:hAnsi="Times New Roman" w:eastAsia="宋体"/>
          <w:lang w:val="en-US" w:eastAsia="zh-CN"/>
        </w:rPr>
        <w:t>愿者在寒假期间回到家乡所在地的高中，面向高中生群体开展</w:t>
      </w:r>
      <w:r>
        <w:rPr>
          <w:rFonts w:hint="eastAsia" w:ascii="Times New Roman" w:hAnsi="Times New Roman" w:eastAsia="宋体" w:cs="宋体"/>
          <w:szCs w:val="21"/>
        </w:rPr>
        <w:t>招生宣传活动</w:t>
      </w:r>
      <w:r>
        <w:rPr>
          <w:rFonts w:hint="eastAsia" w:ascii="Times New Roman" w:hAnsi="Times New Roman" w:eastAsia="宋体"/>
          <w:lang w:val="en-US" w:eastAsia="zh-CN"/>
        </w:rPr>
        <w:t>，在宣讲的过程中介绍包括中大文创在内的中大特色；同时，发放文创物资，向高中生群体讲述中大文创的设计理念，确保</w:t>
      </w:r>
      <w:r>
        <w:rPr>
          <w:rFonts w:hint="eastAsia" w:ascii="Times New Roman" w:hAnsi="Times New Roman" w:eastAsia="宋体" w:cs="宋体"/>
          <w:lang w:val="en-US" w:eastAsia="zh-CN"/>
        </w:rPr>
        <w:t>中大文创对学生群体的触达</w:t>
      </w:r>
    </w:p>
    <w:p w14:paraId="7B42F009">
      <w:pPr>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Times New Roman" w:hAnsi="Times New Roman" w:eastAsia="宋体"/>
          <w:b/>
          <w:bCs/>
          <w:sz w:val="21"/>
          <w:szCs w:val="21"/>
          <w:lang w:val="en-US" w:eastAsia="zh-CN"/>
        </w:rPr>
      </w:pPr>
      <w:r>
        <w:rPr>
          <w:rFonts w:hint="eastAsia" w:ascii="Times New Roman" w:hAnsi="Times New Roman" w:eastAsia="宋体"/>
          <w:b/>
          <w:bCs/>
          <w:sz w:val="21"/>
          <w:szCs w:val="21"/>
          <w:lang w:val="en-US" w:eastAsia="zh-CN"/>
        </w:rPr>
        <w:t>资料反馈</w:t>
      </w:r>
    </w:p>
    <w:p w14:paraId="318C36B8">
      <w:pPr>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ascii="Times New Roman" w:hAnsi="Times New Roman" w:eastAsia="宋体" w:cs="宋体"/>
          <w:szCs w:val="21"/>
          <w:lang w:val="en-US" w:eastAsia="zh-CN"/>
        </w:rPr>
      </w:pPr>
      <w:r>
        <w:rPr>
          <w:rFonts w:hint="eastAsia" w:ascii="Times New Roman" w:hAnsi="Times New Roman" w:eastAsia="宋体" w:cs="宋体"/>
          <w:szCs w:val="21"/>
        </w:rPr>
        <w:t>为</w:t>
      </w:r>
      <w:r>
        <w:rPr>
          <w:rFonts w:hint="eastAsia" w:ascii="Times New Roman" w:hAnsi="Times New Roman" w:eastAsia="宋体" w:cs="宋体"/>
          <w:szCs w:val="21"/>
          <w:lang w:val="en-US" w:eastAsia="zh-CN"/>
        </w:rPr>
        <w:t>保障</w:t>
      </w:r>
      <w:r>
        <w:rPr>
          <w:rFonts w:hint="eastAsia" w:ascii="Times New Roman" w:hAnsi="Times New Roman" w:eastAsia="宋体" w:cs="宋体"/>
          <w:szCs w:val="21"/>
        </w:rPr>
        <w:t>中大</w:t>
      </w:r>
      <w:r>
        <w:rPr>
          <w:rFonts w:hint="eastAsia" w:ascii="Times New Roman" w:hAnsi="Times New Roman" w:eastAsia="宋体" w:cs="宋体"/>
          <w:szCs w:val="21"/>
          <w:lang w:val="en-US" w:eastAsia="zh-CN"/>
        </w:rPr>
        <w:t>文创在寒招活动中的品牌曝光，确保</w:t>
      </w:r>
      <w:r>
        <w:rPr>
          <w:rFonts w:hint="eastAsia" w:ascii="Times New Roman" w:hAnsi="Times New Roman" w:eastAsia="宋体" w:cs="宋体"/>
          <w:szCs w:val="21"/>
        </w:rPr>
        <w:t>志愿者出色地办好活动，</w:t>
      </w:r>
      <w:r>
        <w:rPr>
          <w:rFonts w:hint="eastAsia" w:ascii="Times New Roman" w:hAnsi="Times New Roman" w:eastAsia="宋体" w:cs="宋体"/>
          <w:szCs w:val="21"/>
          <w:lang w:val="en-US" w:eastAsia="zh-CN"/>
        </w:rPr>
        <w:t>在活动中期中大文创团队应要求各队伍提供中期反馈材料，包括：队伍内培资料（如PPT等）、各校队文创宣讲材料以及招宣文创发放的资料。同时在活动结束后即每年的3-5月，联合招协开展招宣活动的评优和总结活动，提高志愿者的寒招积极性。</w:t>
      </w:r>
    </w:p>
    <w:p w14:paraId="12ADE5B4">
      <w:pPr>
        <w:pStyle w:val="2"/>
        <w:numPr>
          <w:numId w:val="0"/>
        </w:numPr>
        <w:bidi w:val="0"/>
        <w:ind w:left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4.1.6人员安排</w:t>
      </w:r>
    </w:p>
    <w:p w14:paraId="51AD3675">
      <w:pPr>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活动涉及角色包括：方案策划、招宣文创设计、PPT设计、与招协对接等专门人员。</w:t>
      </w:r>
    </w:p>
    <w:p w14:paraId="38274F2D">
      <w:pPr>
        <w:pStyle w:val="2"/>
        <w:numPr>
          <w:numId w:val="0"/>
        </w:numPr>
        <w:bidi w:val="0"/>
        <w:ind w:leftChars="0"/>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4.1.7经费预算</w:t>
      </w:r>
    </w:p>
    <w:p w14:paraId="7F64EC96">
      <w:pPr>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b/>
          <w:bCs/>
          <w:sz w:val="21"/>
          <w:szCs w:val="21"/>
          <w:lang w:val="en-US" w:eastAsia="zh-CN"/>
        </w:rPr>
      </w:pPr>
      <w:r>
        <w:rPr>
          <w:rFonts w:hint="eastAsia" w:ascii="Times New Roman" w:hAnsi="Times New Roman" w:eastAsia="宋体"/>
          <w:b/>
          <w:bCs/>
          <w:sz w:val="21"/>
          <w:szCs w:val="21"/>
          <w:lang w:val="en-US" w:eastAsia="zh-CN"/>
        </w:rPr>
        <w:t>招宣文创</w:t>
      </w:r>
    </w:p>
    <w:p w14:paraId="4756B5B7">
      <w:pPr>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b w:val="0"/>
          <w:bCs w:val="0"/>
          <w:sz w:val="21"/>
          <w:szCs w:val="21"/>
          <w:lang w:val="en-US" w:eastAsia="zh-CN"/>
        </w:rPr>
      </w:pPr>
      <w:r>
        <w:rPr>
          <w:rFonts w:hint="eastAsia" w:ascii="Times New Roman" w:hAnsi="Times New Roman" w:eastAsia="宋体"/>
          <w:b w:val="0"/>
          <w:bCs w:val="0"/>
          <w:sz w:val="21"/>
          <w:szCs w:val="21"/>
          <w:lang w:val="en-US" w:eastAsia="zh-CN"/>
        </w:rPr>
        <w:t>根据2022年招协数据，共有50个省（市）队参与寒招，以该数据为基础按照平均每省（市）发放200份招宣文创来预估数量，并结合故宫文创在售文创产品预估价格，计算成本。</w:t>
      </w:r>
    </w:p>
    <w:p w14:paraId="191F9D68">
      <w:pPr>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b/>
          <w:bCs/>
          <w:sz w:val="24"/>
          <w:szCs w:val="24"/>
          <w:lang w:val="en-US" w:eastAsia="zh-CN"/>
        </w:rPr>
      </w:pPr>
      <w:r>
        <w:rPr>
          <w:rFonts w:hint="eastAsia" w:ascii="Times New Roman" w:hAnsi="Times New Roman" w:eastAsia="宋体"/>
          <w:b w:val="0"/>
          <w:bCs w:val="0"/>
          <w:sz w:val="21"/>
          <w:szCs w:val="21"/>
          <w:lang w:val="en-US" w:eastAsia="zh-CN"/>
        </w:rPr>
        <w:t>已知目前故宫文创在售拼图/印章/签字笔的均价均在30元左右，由于目前市场上文创产品的利润较高，预估此处实际生产成本为10元，计算最终生产成本：3*10*50*200=30w元</w:t>
      </w:r>
    </w:p>
    <w:p w14:paraId="01F4532D">
      <w:pPr>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b/>
          <w:bCs/>
          <w:sz w:val="21"/>
          <w:szCs w:val="21"/>
          <w:lang w:val="en-US" w:eastAsia="zh-CN"/>
        </w:rPr>
      </w:pPr>
      <w:r>
        <w:rPr>
          <w:rFonts w:hint="eastAsia" w:ascii="Times New Roman" w:hAnsi="Times New Roman" w:eastAsia="宋体"/>
          <w:b/>
          <w:bCs/>
          <w:sz w:val="21"/>
          <w:szCs w:val="21"/>
          <w:lang w:val="en-US" w:eastAsia="zh-CN"/>
        </w:rPr>
        <w:t>邮费</w:t>
      </w:r>
    </w:p>
    <w:p w14:paraId="20029B42">
      <w:pPr>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b w:val="0"/>
          <w:bCs w:val="0"/>
          <w:sz w:val="21"/>
          <w:szCs w:val="21"/>
          <w:lang w:val="en-US" w:eastAsia="zh-CN"/>
        </w:rPr>
      </w:pPr>
      <w:r>
        <w:rPr>
          <w:rFonts w:hint="eastAsia" w:ascii="Times New Roman" w:hAnsi="Times New Roman" w:eastAsia="宋体"/>
          <w:b w:val="0"/>
          <w:bCs w:val="0"/>
          <w:sz w:val="21"/>
          <w:szCs w:val="21"/>
          <w:lang w:val="en-US" w:eastAsia="zh-CN"/>
        </w:rPr>
        <w:t>中大目前有三校园五校区，按照京东物流寄重货同市/跨市首重价格为25元，计算最终邮费成本：25*5=125元</w:t>
      </w:r>
    </w:p>
    <w:p w14:paraId="555F195F">
      <w:pPr>
        <w:pStyle w:val="2"/>
        <w:numPr>
          <w:ilvl w:val="0"/>
          <w:numId w:val="0"/>
        </w:numPr>
        <w:bidi w:val="0"/>
        <w:ind w:leftChars="0"/>
        <w:rPr>
          <w:rFonts w:hint="default" w:ascii="Times New Roman" w:hAnsi="Times New Roman" w:eastAsia="宋体"/>
          <w:lang w:val="en-US" w:eastAsia="zh-CN"/>
        </w:rPr>
      </w:pPr>
      <w:r>
        <w:rPr>
          <w:rFonts w:hint="eastAsia" w:ascii="Times New Roman" w:hAnsi="Times New Roman" w:eastAsia="宋体"/>
          <w:lang w:val="en-US" w:eastAsia="zh-CN"/>
        </w:rPr>
        <w:t>4.</w:t>
      </w:r>
      <w:r>
        <w:rPr>
          <w:rFonts w:hint="eastAsia" w:ascii="Times New Roman" w:hAnsi="Times New Roman"/>
          <w:lang w:val="en-US" w:eastAsia="zh-CN"/>
        </w:rPr>
        <w:t>2高考中：</w:t>
      </w:r>
      <w:r>
        <w:rPr>
          <w:rFonts w:hint="eastAsia" w:ascii="Times New Roman" w:hAnsi="Times New Roman" w:eastAsia="宋体"/>
          <w:lang w:val="en-US" w:eastAsia="zh-CN"/>
        </w:rPr>
        <w:t xml:space="preserve">中大文创 X </w:t>
      </w:r>
      <w:r>
        <w:rPr>
          <w:rFonts w:hint="eastAsia" w:ascii="Times New Roman" w:hAnsi="Times New Roman"/>
          <w:lang w:val="en-US" w:eastAsia="zh-CN"/>
        </w:rPr>
        <w:t>高考</w:t>
      </w:r>
    </w:p>
    <w:p w14:paraId="6FFF6578">
      <w:pPr>
        <w:pStyle w:val="15"/>
        <w:pageBreakBefore w:val="0"/>
        <w:numPr>
          <w:ilvl w:val="2"/>
          <w:numId w:val="6"/>
        </w:numPr>
        <w:kinsoku/>
        <w:wordWrap/>
        <w:overflowPunct/>
        <w:topLinePunct w:val="0"/>
        <w:autoSpaceDE/>
        <w:autoSpaceDN/>
        <w:bidi w:val="0"/>
        <w:adjustRightInd/>
        <w:snapToGrid/>
        <w:spacing w:line="360" w:lineRule="auto"/>
        <w:textAlignment w:val="auto"/>
        <w:rPr>
          <w:rFonts w:hint="eastAsia" w:ascii="Times New Roman" w:hAnsi="Times New Roman" w:eastAsia="宋体"/>
          <w:b/>
          <w:bCs/>
          <w:sz w:val="24"/>
          <w:szCs w:val="28"/>
        </w:rPr>
      </w:pPr>
      <w:r>
        <w:rPr>
          <w:rFonts w:hint="eastAsia" w:ascii="Times New Roman" w:hAnsi="Times New Roman" w:eastAsia="宋体"/>
          <w:b/>
          <w:bCs/>
          <w:sz w:val="24"/>
          <w:szCs w:val="28"/>
        </w:rPr>
        <w:t>活动背景与目的</w:t>
      </w:r>
    </w:p>
    <w:p w14:paraId="6201C854">
      <w:pPr>
        <w:pageBreakBefore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sz w:val="21"/>
          <w:szCs w:val="21"/>
        </w:rPr>
      </w:pPr>
      <w:r>
        <w:rPr>
          <w:rFonts w:hint="eastAsia" w:ascii="Times New Roman" w:hAnsi="Times New Roman" w:eastAsia="宋体"/>
          <w:sz w:val="21"/>
          <w:szCs w:val="21"/>
        </w:rPr>
        <w:t>鉴于学子们在考试，此时我们将宣传目标人物定位到陪考的家长们，通过向接送以及候考家长们发放中大文创设计的小扇子来宣传中大文创提高知名度，吸引家长以及学子的购买。</w:t>
      </w:r>
    </w:p>
    <w:p w14:paraId="7274D833">
      <w:pPr>
        <w:pStyle w:val="15"/>
        <w:pageBreakBefore w:val="0"/>
        <w:numPr>
          <w:ilvl w:val="2"/>
          <w:numId w:val="6"/>
        </w:numPr>
        <w:kinsoku/>
        <w:wordWrap/>
        <w:overflowPunct/>
        <w:topLinePunct w:val="0"/>
        <w:autoSpaceDE/>
        <w:autoSpaceDN/>
        <w:bidi w:val="0"/>
        <w:adjustRightInd/>
        <w:snapToGrid/>
        <w:spacing w:line="360" w:lineRule="auto"/>
        <w:textAlignment w:val="auto"/>
        <w:rPr>
          <w:rFonts w:hint="eastAsia" w:ascii="Times New Roman" w:hAnsi="Times New Roman" w:eastAsia="宋体"/>
          <w:b/>
          <w:bCs/>
          <w:sz w:val="24"/>
          <w:szCs w:val="24"/>
        </w:rPr>
      </w:pPr>
      <w:r>
        <w:rPr>
          <w:rFonts w:hint="eastAsia" w:ascii="Times New Roman" w:hAnsi="Times New Roman" w:eastAsia="宋体"/>
          <w:b/>
          <w:bCs/>
          <w:sz w:val="24"/>
          <w:szCs w:val="24"/>
          <w:lang w:val="en-US" w:eastAsia="zh-CN"/>
        </w:rPr>
        <w:t>举办单位</w:t>
      </w:r>
    </w:p>
    <w:p w14:paraId="713CA687">
      <w:pPr>
        <w:pageBreakBefore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sz w:val="21"/>
          <w:szCs w:val="21"/>
        </w:rPr>
      </w:pPr>
      <w:r>
        <w:rPr>
          <w:rFonts w:hint="eastAsia" w:ascii="Times New Roman" w:hAnsi="Times New Roman" w:eastAsia="宋体"/>
          <w:sz w:val="21"/>
          <w:szCs w:val="21"/>
        </w:rPr>
        <w:t>主办单位：中山大学产业集团</w:t>
      </w:r>
    </w:p>
    <w:p w14:paraId="14CBE2AE">
      <w:pPr>
        <w:pageBreakBefore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sz w:val="21"/>
          <w:szCs w:val="21"/>
        </w:rPr>
      </w:pPr>
      <w:r>
        <w:rPr>
          <w:rFonts w:hint="eastAsia" w:ascii="Times New Roman" w:hAnsi="Times New Roman" w:eastAsia="宋体"/>
          <w:sz w:val="21"/>
          <w:szCs w:val="21"/>
        </w:rPr>
        <w:t>承办单位：中大校园文创、中山大学青年志愿者协会等</w:t>
      </w:r>
    </w:p>
    <w:p w14:paraId="2034045B">
      <w:pPr>
        <w:pStyle w:val="15"/>
        <w:pageBreakBefore w:val="0"/>
        <w:numPr>
          <w:ilvl w:val="2"/>
          <w:numId w:val="6"/>
        </w:numPr>
        <w:kinsoku/>
        <w:wordWrap/>
        <w:overflowPunct/>
        <w:topLinePunct w:val="0"/>
        <w:autoSpaceDE/>
        <w:autoSpaceDN/>
        <w:bidi w:val="0"/>
        <w:adjustRightInd/>
        <w:snapToGrid/>
        <w:spacing w:line="360" w:lineRule="auto"/>
        <w:textAlignment w:val="auto"/>
        <w:rPr>
          <w:rFonts w:hint="eastAsia" w:ascii="Times New Roman" w:hAnsi="Times New Roman" w:eastAsia="宋体"/>
          <w:b/>
          <w:bCs/>
          <w:sz w:val="24"/>
          <w:szCs w:val="24"/>
        </w:rPr>
      </w:pPr>
      <w:r>
        <w:rPr>
          <w:rFonts w:hint="eastAsia" w:ascii="Times New Roman" w:hAnsi="Times New Roman" w:eastAsia="宋体"/>
          <w:b/>
          <w:bCs/>
          <w:sz w:val="24"/>
          <w:szCs w:val="24"/>
        </w:rPr>
        <w:t>活动时间、地点</w:t>
      </w:r>
    </w:p>
    <w:p w14:paraId="4BCC151D">
      <w:pPr>
        <w:pStyle w:val="15"/>
        <w:pageBreakBefore w:val="0"/>
        <w:kinsoku/>
        <w:wordWrap/>
        <w:overflowPunct/>
        <w:topLinePunct w:val="0"/>
        <w:autoSpaceDE/>
        <w:autoSpaceDN/>
        <w:bidi w:val="0"/>
        <w:adjustRightInd/>
        <w:snapToGrid/>
        <w:spacing w:line="360" w:lineRule="auto"/>
        <w:ind w:left="480"/>
        <w:textAlignment w:val="auto"/>
        <w:rPr>
          <w:rFonts w:hint="eastAsia" w:ascii="Times New Roman" w:hAnsi="Times New Roman" w:eastAsia="宋体"/>
          <w:sz w:val="21"/>
          <w:szCs w:val="21"/>
        </w:rPr>
      </w:pPr>
      <w:r>
        <w:rPr>
          <w:rFonts w:hint="eastAsia" w:ascii="Times New Roman" w:hAnsi="Times New Roman" w:eastAsia="宋体"/>
          <w:sz w:val="21"/>
          <w:szCs w:val="21"/>
        </w:rPr>
        <w:t>活动时间：每年六月七日、八日及九日考试期间</w:t>
      </w:r>
    </w:p>
    <w:p w14:paraId="331F976D">
      <w:pPr>
        <w:pStyle w:val="15"/>
        <w:pageBreakBefore w:val="0"/>
        <w:kinsoku/>
        <w:wordWrap/>
        <w:overflowPunct/>
        <w:topLinePunct w:val="0"/>
        <w:autoSpaceDE/>
        <w:autoSpaceDN/>
        <w:bidi w:val="0"/>
        <w:adjustRightInd/>
        <w:snapToGrid/>
        <w:spacing w:line="360" w:lineRule="auto"/>
        <w:ind w:left="480"/>
        <w:textAlignment w:val="auto"/>
        <w:rPr>
          <w:rFonts w:hint="eastAsia" w:ascii="Times New Roman" w:hAnsi="Times New Roman" w:eastAsia="宋体"/>
          <w:sz w:val="21"/>
          <w:szCs w:val="21"/>
        </w:rPr>
      </w:pPr>
      <w:r>
        <w:rPr>
          <w:rFonts w:hint="eastAsia" w:ascii="Times New Roman" w:hAnsi="Times New Roman" w:eastAsia="宋体"/>
          <w:sz w:val="21"/>
          <w:szCs w:val="21"/>
        </w:rPr>
        <w:t>活动地点：广州、深圳、珠海中各个高考点（三城市试点）</w:t>
      </w:r>
    </w:p>
    <w:p w14:paraId="794D47F3">
      <w:pPr>
        <w:pStyle w:val="15"/>
        <w:pageBreakBefore w:val="0"/>
        <w:numPr>
          <w:ilvl w:val="2"/>
          <w:numId w:val="6"/>
        </w:numPr>
        <w:kinsoku/>
        <w:wordWrap/>
        <w:overflowPunct/>
        <w:topLinePunct w:val="0"/>
        <w:autoSpaceDE/>
        <w:autoSpaceDN/>
        <w:bidi w:val="0"/>
        <w:adjustRightInd/>
        <w:snapToGrid/>
        <w:spacing w:line="360" w:lineRule="auto"/>
        <w:textAlignment w:val="auto"/>
        <w:rPr>
          <w:rFonts w:hint="eastAsia" w:ascii="Times New Roman" w:hAnsi="Times New Roman" w:eastAsia="宋体"/>
          <w:b/>
          <w:bCs/>
          <w:sz w:val="24"/>
          <w:szCs w:val="24"/>
        </w:rPr>
      </w:pPr>
      <w:r>
        <w:rPr>
          <w:rFonts w:hint="eastAsia" w:ascii="Times New Roman" w:hAnsi="Times New Roman" w:eastAsia="宋体"/>
          <w:b/>
          <w:bCs/>
          <w:sz w:val="24"/>
          <w:szCs w:val="24"/>
        </w:rPr>
        <w:t>活动准备</w:t>
      </w:r>
    </w:p>
    <w:p w14:paraId="0B2658AA">
      <w:pPr>
        <w:pStyle w:val="15"/>
        <w:pageBreakBefore w:val="0"/>
        <w:numPr>
          <w:ilvl w:val="0"/>
          <w:numId w:val="7"/>
        </w:numPr>
        <w:kinsoku/>
        <w:wordWrap/>
        <w:overflowPunct/>
        <w:topLinePunct w:val="0"/>
        <w:autoSpaceDE/>
        <w:autoSpaceDN/>
        <w:bidi w:val="0"/>
        <w:adjustRightInd/>
        <w:snapToGrid/>
        <w:spacing w:line="360" w:lineRule="auto"/>
        <w:textAlignment w:val="auto"/>
        <w:rPr>
          <w:rFonts w:hint="eastAsia" w:ascii="Times New Roman" w:hAnsi="Times New Roman" w:eastAsia="宋体"/>
          <w:sz w:val="21"/>
          <w:szCs w:val="21"/>
        </w:rPr>
      </w:pPr>
      <w:r>
        <w:rPr>
          <w:rFonts w:hint="eastAsia" w:ascii="Times New Roman" w:hAnsi="Times New Roman" w:eastAsia="宋体"/>
          <w:sz w:val="21"/>
          <w:szCs w:val="21"/>
        </w:rPr>
        <w:t>设计宣传扇子，体现中大经典文创以及中大对学子的期望，酌情加上中大文创线上店二维码，之后寻找厂商制作。</w:t>
      </w:r>
    </w:p>
    <w:p w14:paraId="1E81211F">
      <w:pPr>
        <w:pStyle w:val="15"/>
        <w:pageBreakBefore w:val="0"/>
        <w:numPr>
          <w:ilvl w:val="0"/>
          <w:numId w:val="7"/>
        </w:numPr>
        <w:kinsoku/>
        <w:wordWrap/>
        <w:overflowPunct/>
        <w:topLinePunct w:val="0"/>
        <w:autoSpaceDE/>
        <w:autoSpaceDN/>
        <w:bidi w:val="0"/>
        <w:adjustRightInd/>
        <w:snapToGrid/>
        <w:spacing w:line="360" w:lineRule="auto"/>
        <w:textAlignment w:val="auto"/>
        <w:rPr>
          <w:rFonts w:hint="eastAsia" w:ascii="Times New Roman" w:hAnsi="Times New Roman" w:eastAsia="宋体"/>
          <w:sz w:val="21"/>
          <w:szCs w:val="21"/>
        </w:rPr>
      </w:pPr>
      <w:r>
        <w:rPr>
          <w:rFonts w:hint="eastAsia" w:ascii="Times New Roman" w:hAnsi="Times New Roman" w:eastAsia="宋体"/>
          <w:sz w:val="21"/>
          <w:szCs w:val="21"/>
        </w:rPr>
        <w:t>高考前一个月中大志愿者协会收集各个校区校内志愿者，每个校区志愿者仅可参加当地城市活动。分上下午时间段以确保各个时间段都有志愿者。收集好人员后随机为志愿者分配考点，各个考点分配一位负责人以解决突发情况（负责人建议从中大校园文创单位中选择，或是其他意愿赞助单位）。</w:t>
      </w:r>
    </w:p>
    <w:p w14:paraId="5C660CF9">
      <w:pPr>
        <w:pStyle w:val="15"/>
        <w:pageBreakBefore w:val="0"/>
        <w:numPr>
          <w:ilvl w:val="0"/>
          <w:numId w:val="7"/>
        </w:numPr>
        <w:kinsoku/>
        <w:wordWrap/>
        <w:overflowPunct/>
        <w:topLinePunct w:val="0"/>
        <w:autoSpaceDE/>
        <w:autoSpaceDN/>
        <w:bidi w:val="0"/>
        <w:adjustRightInd/>
        <w:snapToGrid/>
        <w:spacing w:line="360" w:lineRule="auto"/>
        <w:textAlignment w:val="auto"/>
        <w:rPr>
          <w:rFonts w:hint="eastAsia" w:ascii="Times New Roman" w:hAnsi="Times New Roman" w:eastAsia="宋体"/>
          <w:sz w:val="21"/>
          <w:szCs w:val="21"/>
        </w:rPr>
      </w:pPr>
      <w:r>
        <w:rPr>
          <w:rFonts w:hint="eastAsia" w:ascii="Times New Roman" w:hAnsi="Times New Roman" w:eastAsia="宋体"/>
          <w:sz w:val="21"/>
          <w:szCs w:val="21"/>
        </w:rPr>
        <w:t>人员确定后准备统一服装、帽子以及帆布包，高考前三天进行物资发放以及人员培训。</w:t>
      </w:r>
    </w:p>
    <w:p w14:paraId="3D9FC1FA">
      <w:pPr>
        <w:pStyle w:val="15"/>
        <w:pageBreakBefore w:val="0"/>
        <w:numPr>
          <w:ilvl w:val="2"/>
          <w:numId w:val="6"/>
        </w:numPr>
        <w:kinsoku/>
        <w:wordWrap/>
        <w:overflowPunct/>
        <w:topLinePunct w:val="0"/>
        <w:autoSpaceDE/>
        <w:autoSpaceDN/>
        <w:bidi w:val="0"/>
        <w:adjustRightInd/>
        <w:snapToGrid/>
        <w:spacing w:line="360" w:lineRule="auto"/>
        <w:textAlignment w:val="auto"/>
        <w:rPr>
          <w:rFonts w:hint="eastAsia" w:ascii="Times New Roman" w:hAnsi="Times New Roman" w:eastAsia="宋体"/>
          <w:b/>
          <w:bCs/>
          <w:sz w:val="24"/>
          <w:szCs w:val="24"/>
        </w:rPr>
      </w:pPr>
      <w:r>
        <w:rPr>
          <w:rFonts w:hint="eastAsia" w:ascii="Times New Roman" w:hAnsi="Times New Roman" w:eastAsia="宋体"/>
          <w:b/>
          <w:bCs/>
          <w:sz w:val="24"/>
          <w:szCs w:val="24"/>
        </w:rPr>
        <w:t>活动流程</w:t>
      </w:r>
    </w:p>
    <w:p w14:paraId="68EE6343">
      <w:pPr>
        <w:pageBreakBefore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sz w:val="21"/>
          <w:szCs w:val="21"/>
        </w:rPr>
      </w:pPr>
      <w:r>
        <w:rPr>
          <w:rFonts w:hint="eastAsia" w:ascii="Times New Roman" w:hAnsi="Times New Roman" w:eastAsia="宋体"/>
          <w:sz w:val="21"/>
          <w:szCs w:val="21"/>
        </w:rPr>
        <w:t>六月六、七日：上午九点发布签到码，确保工作人员在职，上午工作时间截止到十二点，并再次发布签到码确认工作停止时间；下午三点发布签到码，工作时间截止到下午五点并发布签到码。</w:t>
      </w:r>
    </w:p>
    <w:p w14:paraId="2D80183D">
      <w:pPr>
        <w:pageBreakBefore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sz w:val="21"/>
          <w:szCs w:val="21"/>
        </w:rPr>
      </w:pPr>
      <w:r>
        <w:rPr>
          <w:rFonts w:hint="eastAsia" w:ascii="Times New Roman" w:hAnsi="Times New Roman" w:eastAsia="宋体"/>
          <w:sz w:val="21"/>
          <w:szCs w:val="21"/>
        </w:rPr>
        <w:t>六月九日：上午八点半发布签到码，工作时间截止到十二点半并发布签到码；下午两点半发布签到码，工作时间截止到下午六点半并发布签到码。</w:t>
      </w:r>
    </w:p>
    <w:p w14:paraId="5A807378">
      <w:pPr>
        <w:pageBreakBefore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sz w:val="21"/>
          <w:szCs w:val="21"/>
        </w:rPr>
      </w:pPr>
      <w:r>
        <w:rPr>
          <w:rFonts w:hint="eastAsia" w:ascii="Times New Roman" w:hAnsi="Times New Roman" w:eastAsia="宋体"/>
          <w:sz w:val="21"/>
          <w:szCs w:val="21"/>
        </w:rPr>
        <w:t>负责人及志愿者携带物品自行前往所被分配到的考点，根据各个考点情况若有家长候考则向其发放中大扇子，若无家长，则在负责人引领下寻找乘凉地静候至有家长出现。各个考点负责人与志愿者交换电话以及建立群聊方便联系。结束后若有剩余扇子则交付给负责人后可自行回学校。</w:t>
      </w:r>
    </w:p>
    <w:p w14:paraId="4FC5C587">
      <w:pPr>
        <w:pageBreakBefore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sz w:val="21"/>
          <w:szCs w:val="21"/>
        </w:rPr>
      </w:pPr>
      <w:r>
        <w:rPr>
          <w:rFonts w:hint="eastAsia" w:ascii="Times New Roman" w:hAnsi="Times New Roman" w:eastAsia="宋体"/>
          <w:sz w:val="21"/>
          <w:szCs w:val="21"/>
        </w:rPr>
        <w:t>各校区挑选摄像师游走于各考点，对本次活动进行记录。</w:t>
      </w:r>
    </w:p>
    <w:p w14:paraId="37877289">
      <w:pPr>
        <w:pStyle w:val="15"/>
        <w:pageBreakBefore w:val="0"/>
        <w:numPr>
          <w:ilvl w:val="2"/>
          <w:numId w:val="6"/>
        </w:numPr>
        <w:kinsoku/>
        <w:wordWrap/>
        <w:overflowPunct/>
        <w:topLinePunct w:val="0"/>
        <w:autoSpaceDE/>
        <w:autoSpaceDN/>
        <w:bidi w:val="0"/>
        <w:adjustRightInd/>
        <w:snapToGrid/>
        <w:spacing w:line="360" w:lineRule="auto"/>
        <w:textAlignment w:val="auto"/>
        <w:rPr>
          <w:rFonts w:hint="eastAsia" w:ascii="Times New Roman" w:hAnsi="Times New Roman" w:eastAsia="宋体"/>
          <w:b/>
          <w:bCs/>
          <w:sz w:val="24"/>
          <w:szCs w:val="24"/>
        </w:rPr>
      </w:pPr>
      <w:r>
        <w:rPr>
          <w:rFonts w:hint="eastAsia" w:ascii="Times New Roman" w:hAnsi="Times New Roman" w:eastAsia="宋体"/>
          <w:b/>
          <w:bCs/>
          <w:sz w:val="24"/>
          <w:szCs w:val="24"/>
        </w:rPr>
        <w:t>人员安排</w:t>
      </w:r>
    </w:p>
    <w:p w14:paraId="0C3C32C7">
      <w:pPr>
        <w:pageBreakBefore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sz w:val="21"/>
          <w:szCs w:val="21"/>
        </w:rPr>
      </w:pPr>
      <w:r>
        <w:rPr>
          <w:rFonts w:hint="eastAsia" w:ascii="Times New Roman" w:hAnsi="Times New Roman" w:eastAsia="宋体"/>
          <w:sz w:val="21"/>
          <w:szCs w:val="21"/>
        </w:rPr>
        <w:t>方案策划、物资采购、活动场地考察、各考点负责人、摄影师、活动后期宣传以及活动总结复盘等需专门有人员负责。各考点建议分配3～4位志愿者，若考点相邻可由一位负责人负责两个场地。</w:t>
      </w:r>
    </w:p>
    <w:p w14:paraId="7D1EED1B">
      <w:pPr>
        <w:pStyle w:val="15"/>
        <w:pageBreakBefore w:val="0"/>
        <w:numPr>
          <w:ilvl w:val="2"/>
          <w:numId w:val="6"/>
        </w:numPr>
        <w:kinsoku/>
        <w:wordWrap/>
        <w:overflowPunct/>
        <w:topLinePunct w:val="0"/>
        <w:autoSpaceDE/>
        <w:autoSpaceDN/>
        <w:bidi w:val="0"/>
        <w:adjustRightInd/>
        <w:snapToGrid/>
        <w:spacing w:line="360" w:lineRule="auto"/>
        <w:textAlignment w:val="auto"/>
        <w:rPr>
          <w:rFonts w:hint="eastAsia" w:ascii="Times New Roman" w:hAnsi="Times New Roman" w:eastAsia="宋体"/>
          <w:b/>
          <w:bCs/>
          <w:sz w:val="24"/>
          <w:szCs w:val="24"/>
        </w:rPr>
      </w:pPr>
      <w:r>
        <w:rPr>
          <w:rFonts w:hint="eastAsia" w:ascii="Times New Roman" w:hAnsi="Times New Roman" w:eastAsia="宋体"/>
          <w:b/>
          <w:bCs/>
          <w:sz w:val="24"/>
          <w:szCs w:val="24"/>
        </w:rPr>
        <w:t>经费预算</w:t>
      </w:r>
    </w:p>
    <w:tbl>
      <w:tblPr>
        <w:tblStyle w:val="1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765"/>
        <w:gridCol w:w="1341"/>
        <w:gridCol w:w="4190"/>
      </w:tblGrid>
      <w:tr w14:paraId="581232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2765" w:type="dxa"/>
          </w:tcPr>
          <w:p w14:paraId="2C62025E">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b/>
                <w:bCs/>
                <w:sz w:val="21"/>
                <w:szCs w:val="21"/>
              </w:rPr>
            </w:pPr>
            <w:r>
              <w:rPr>
                <w:rFonts w:hint="eastAsia" w:ascii="Times New Roman" w:hAnsi="Times New Roman" w:eastAsia="宋体"/>
                <w:b/>
                <w:bCs/>
                <w:sz w:val="21"/>
                <w:szCs w:val="21"/>
              </w:rPr>
              <w:t>项目</w:t>
            </w:r>
          </w:p>
        </w:tc>
        <w:tc>
          <w:tcPr>
            <w:tcW w:w="1341" w:type="dxa"/>
          </w:tcPr>
          <w:p w14:paraId="71B53D7C">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b/>
                <w:bCs/>
                <w:sz w:val="21"/>
                <w:szCs w:val="21"/>
              </w:rPr>
            </w:pPr>
            <w:r>
              <w:rPr>
                <w:rFonts w:hint="eastAsia" w:ascii="Times New Roman" w:hAnsi="Times New Roman" w:eastAsia="宋体"/>
                <w:b/>
                <w:bCs/>
                <w:sz w:val="21"/>
                <w:szCs w:val="21"/>
              </w:rPr>
              <w:t>费用</w:t>
            </w:r>
          </w:p>
        </w:tc>
        <w:tc>
          <w:tcPr>
            <w:tcW w:w="4190" w:type="dxa"/>
          </w:tcPr>
          <w:p w14:paraId="65F3BD04">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b/>
                <w:bCs/>
                <w:sz w:val="21"/>
                <w:szCs w:val="21"/>
              </w:rPr>
            </w:pPr>
            <w:r>
              <w:rPr>
                <w:rFonts w:hint="eastAsia" w:ascii="Times New Roman" w:hAnsi="Times New Roman" w:eastAsia="宋体"/>
                <w:b/>
                <w:bCs/>
                <w:sz w:val="21"/>
                <w:szCs w:val="21"/>
              </w:rPr>
              <w:t>明细</w:t>
            </w:r>
          </w:p>
        </w:tc>
      </w:tr>
      <w:tr w14:paraId="0113B55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65" w:type="dxa"/>
            <w:shd w:val="clear" w:color="auto" w:fill="F1F1F1" w:themeFill="background1" w:themeFillShade="F2"/>
          </w:tcPr>
          <w:p w14:paraId="38C54821">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b/>
                <w:bCs/>
                <w:sz w:val="21"/>
                <w:szCs w:val="21"/>
              </w:rPr>
            </w:pPr>
            <w:r>
              <w:rPr>
                <w:rFonts w:hint="eastAsia" w:ascii="Times New Roman" w:hAnsi="Times New Roman" w:eastAsia="宋体"/>
                <w:b/>
                <w:bCs/>
                <w:sz w:val="21"/>
                <w:szCs w:val="21"/>
              </w:rPr>
              <w:t>扇子</w:t>
            </w:r>
          </w:p>
        </w:tc>
        <w:tc>
          <w:tcPr>
            <w:tcW w:w="1341" w:type="dxa"/>
            <w:shd w:val="clear" w:color="auto" w:fill="F1F1F1" w:themeFill="background1" w:themeFillShade="F2"/>
          </w:tcPr>
          <w:p w14:paraId="271171BD">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sz w:val="21"/>
                <w:szCs w:val="21"/>
              </w:rPr>
            </w:pPr>
            <w:r>
              <w:rPr>
                <w:rFonts w:hint="eastAsia" w:ascii="Times New Roman" w:hAnsi="Times New Roman" w:eastAsia="宋体"/>
                <w:sz w:val="21"/>
                <w:szCs w:val="21"/>
              </w:rPr>
              <w:t>64000</w:t>
            </w:r>
          </w:p>
        </w:tc>
        <w:tc>
          <w:tcPr>
            <w:tcW w:w="4190" w:type="dxa"/>
            <w:shd w:val="clear" w:color="auto" w:fill="F1F1F1" w:themeFill="background1" w:themeFillShade="F2"/>
          </w:tcPr>
          <w:p w14:paraId="1CF6BCD1">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sz w:val="21"/>
                <w:szCs w:val="21"/>
              </w:rPr>
            </w:pPr>
            <w:r>
              <w:rPr>
                <w:rFonts w:hint="eastAsia" w:ascii="Times New Roman" w:hAnsi="Times New Roman" w:eastAsia="宋体"/>
                <w:sz w:val="21"/>
                <w:szCs w:val="21"/>
              </w:rPr>
              <w:t>16万×0.4（参考淘宝1000把400元）</w:t>
            </w:r>
          </w:p>
        </w:tc>
      </w:tr>
      <w:tr w14:paraId="5AD97F9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65" w:type="dxa"/>
          </w:tcPr>
          <w:p w14:paraId="066C3548">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b/>
                <w:bCs/>
                <w:sz w:val="21"/>
                <w:szCs w:val="21"/>
              </w:rPr>
            </w:pPr>
            <w:r>
              <w:rPr>
                <w:rFonts w:hint="eastAsia" w:ascii="Times New Roman" w:hAnsi="Times New Roman" w:eastAsia="宋体"/>
                <w:b/>
                <w:bCs/>
                <w:sz w:val="21"/>
                <w:szCs w:val="21"/>
              </w:rPr>
              <w:t>服装</w:t>
            </w:r>
          </w:p>
        </w:tc>
        <w:tc>
          <w:tcPr>
            <w:tcW w:w="1341" w:type="dxa"/>
          </w:tcPr>
          <w:p w14:paraId="75F67E4A">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sz w:val="21"/>
                <w:szCs w:val="21"/>
              </w:rPr>
            </w:pPr>
            <w:r>
              <w:rPr>
                <w:rFonts w:hint="eastAsia" w:ascii="Times New Roman" w:hAnsi="Times New Roman" w:eastAsia="宋体"/>
                <w:sz w:val="21"/>
                <w:szCs w:val="21"/>
              </w:rPr>
              <w:t>19000</w:t>
            </w:r>
          </w:p>
        </w:tc>
        <w:tc>
          <w:tcPr>
            <w:tcW w:w="4190" w:type="dxa"/>
          </w:tcPr>
          <w:p w14:paraId="402DDAB7">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sz w:val="21"/>
                <w:szCs w:val="21"/>
              </w:rPr>
            </w:pPr>
            <w:r>
              <w:rPr>
                <w:rFonts w:hint="eastAsia" w:ascii="Times New Roman" w:hAnsi="Times New Roman" w:eastAsia="宋体"/>
                <w:sz w:val="21"/>
                <w:szCs w:val="21"/>
              </w:rPr>
              <w:t>考点（76+67+9）×5×25（参考淘宝</w:t>
            </w:r>
          </w:p>
        </w:tc>
      </w:tr>
      <w:tr w14:paraId="1E76F2A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65" w:type="dxa"/>
            <w:shd w:val="clear" w:color="auto" w:fill="F1F1F1" w:themeFill="background1" w:themeFillShade="F2"/>
          </w:tcPr>
          <w:p w14:paraId="384529BF">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b/>
                <w:bCs/>
                <w:sz w:val="21"/>
                <w:szCs w:val="21"/>
              </w:rPr>
            </w:pPr>
            <w:r>
              <w:rPr>
                <w:rFonts w:hint="eastAsia" w:ascii="Times New Roman" w:hAnsi="Times New Roman" w:eastAsia="宋体"/>
                <w:b/>
                <w:bCs/>
                <w:sz w:val="21"/>
                <w:szCs w:val="21"/>
              </w:rPr>
              <w:t>鸭舌帽</w:t>
            </w:r>
          </w:p>
        </w:tc>
        <w:tc>
          <w:tcPr>
            <w:tcW w:w="1341" w:type="dxa"/>
            <w:shd w:val="clear" w:color="auto" w:fill="F1F1F1" w:themeFill="background1" w:themeFillShade="F2"/>
          </w:tcPr>
          <w:p w14:paraId="5862F397">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sz w:val="21"/>
                <w:szCs w:val="21"/>
              </w:rPr>
            </w:pPr>
            <w:r>
              <w:rPr>
                <w:rFonts w:hint="eastAsia" w:ascii="Times New Roman" w:hAnsi="Times New Roman" w:eastAsia="宋体"/>
                <w:sz w:val="21"/>
                <w:szCs w:val="21"/>
              </w:rPr>
              <w:t>3800</w:t>
            </w:r>
          </w:p>
        </w:tc>
        <w:tc>
          <w:tcPr>
            <w:tcW w:w="4190" w:type="dxa"/>
            <w:shd w:val="clear" w:color="auto" w:fill="F1F1F1" w:themeFill="background1" w:themeFillShade="F2"/>
          </w:tcPr>
          <w:p w14:paraId="579FFEBF">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sz w:val="21"/>
                <w:szCs w:val="21"/>
              </w:rPr>
            </w:pPr>
            <w:r>
              <w:rPr>
                <w:rFonts w:hint="eastAsia" w:ascii="Times New Roman" w:hAnsi="Times New Roman" w:eastAsia="宋体"/>
                <w:sz w:val="21"/>
                <w:szCs w:val="21"/>
              </w:rPr>
              <w:t>（76+67+9）×5×5（参考淘宝 同下</w:t>
            </w:r>
          </w:p>
        </w:tc>
      </w:tr>
      <w:tr w14:paraId="38E70E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65" w:type="dxa"/>
          </w:tcPr>
          <w:p w14:paraId="7EB99786">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b/>
                <w:bCs/>
                <w:sz w:val="21"/>
                <w:szCs w:val="21"/>
              </w:rPr>
            </w:pPr>
            <w:r>
              <w:rPr>
                <w:rFonts w:hint="eastAsia" w:ascii="Times New Roman" w:hAnsi="Times New Roman" w:eastAsia="宋体"/>
                <w:b/>
                <w:bCs/>
                <w:sz w:val="21"/>
                <w:szCs w:val="21"/>
              </w:rPr>
              <w:t>帆布包</w:t>
            </w:r>
          </w:p>
        </w:tc>
        <w:tc>
          <w:tcPr>
            <w:tcW w:w="1341" w:type="dxa"/>
          </w:tcPr>
          <w:p w14:paraId="4863F22F">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sz w:val="21"/>
                <w:szCs w:val="21"/>
              </w:rPr>
            </w:pPr>
            <w:r>
              <w:rPr>
                <w:rFonts w:hint="eastAsia" w:ascii="Times New Roman" w:hAnsi="Times New Roman" w:eastAsia="宋体"/>
                <w:sz w:val="21"/>
                <w:szCs w:val="21"/>
              </w:rPr>
              <w:t>7600</w:t>
            </w:r>
          </w:p>
        </w:tc>
        <w:tc>
          <w:tcPr>
            <w:tcW w:w="4190" w:type="dxa"/>
          </w:tcPr>
          <w:p w14:paraId="17DDEAC9">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sz w:val="21"/>
                <w:szCs w:val="21"/>
              </w:rPr>
            </w:pPr>
            <w:r>
              <w:rPr>
                <w:rFonts w:hint="eastAsia" w:ascii="Times New Roman" w:hAnsi="Times New Roman" w:eastAsia="宋体"/>
                <w:sz w:val="21"/>
                <w:szCs w:val="21"/>
              </w:rPr>
              <w:t>（76+67+9）×5×10</w:t>
            </w:r>
          </w:p>
        </w:tc>
      </w:tr>
      <w:tr w14:paraId="0D3D6F0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65" w:type="dxa"/>
            <w:shd w:val="clear" w:color="auto" w:fill="F1F1F1" w:themeFill="background1" w:themeFillShade="F2"/>
          </w:tcPr>
          <w:p w14:paraId="36C16F62">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b/>
                <w:bCs/>
                <w:sz w:val="21"/>
                <w:szCs w:val="21"/>
              </w:rPr>
            </w:pPr>
            <w:r>
              <w:rPr>
                <w:rFonts w:hint="eastAsia" w:ascii="Times New Roman" w:hAnsi="Times New Roman" w:eastAsia="宋体"/>
                <w:b/>
                <w:bCs/>
                <w:sz w:val="21"/>
                <w:szCs w:val="21"/>
              </w:rPr>
              <w:t>志愿者路费</w:t>
            </w:r>
          </w:p>
        </w:tc>
        <w:tc>
          <w:tcPr>
            <w:tcW w:w="1341" w:type="dxa"/>
            <w:shd w:val="clear" w:color="auto" w:fill="F1F1F1" w:themeFill="background1" w:themeFillShade="F2"/>
          </w:tcPr>
          <w:p w14:paraId="3D05EF4A">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sz w:val="21"/>
                <w:szCs w:val="21"/>
              </w:rPr>
            </w:pPr>
            <w:r>
              <w:rPr>
                <w:rFonts w:hint="eastAsia" w:ascii="Times New Roman" w:hAnsi="Times New Roman" w:eastAsia="宋体"/>
                <w:sz w:val="21"/>
                <w:szCs w:val="21"/>
              </w:rPr>
              <w:t>18240</w:t>
            </w:r>
          </w:p>
        </w:tc>
        <w:tc>
          <w:tcPr>
            <w:tcW w:w="4190" w:type="dxa"/>
            <w:shd w:val="clear" w:color="auto" w:fill="F1F1F1" w:themeFill="background1" w:themeFillShade="F2"/>
          </w:tcPr>
          <w:p w14:paraId="585939F5">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sz w:val="21"/>
                <w:szCs w:val="21"/>
              </w:rPr>
            </w:pPr>
            <w:r>
              <w:rPr>
                <w:rFonts w:hint="eastAsia" w:ascii="Times New Roman" w:hAnsi="Times New Roman" w:eastAsia="宋体"/>
                <w:sz w:val="21"/>
                <w:szCs w:val="21"/>
              </w:rPr>
              <w:t>（76+67+9）×4×30</w:t>
            </w:r>
          </w:p>
        </w:tc>
      </w:tr>
      <w:tr w14:paraId="7866D7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65" w:type="dxa"/>
          </w:tcPr>
          <w:p w14:paraId="58C1EE8F">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b/>
                <w:bCs/>
                <w:sz w:val="21"/>
                <w:szCs w:val="21"/>
              </w:rPr>
            </w:pPr>
            <w:r>
              <w:rPr>
                <w:rFonts w:hint="eastAsia" w:ascii="Times New Roman" w:hAnsi="Times New Roman" w:eastAsia="宋体"/>
                <w:b/>
                <w:bCs/>
                <w:sz w:val="21"/>
                <w:szCs w:val="21"/>
              </w:rPr>
              <w:t>合计</w:t>
            </w:r>
          </w:p>
        </w:tc>
        <w:tc>
          <w:tcPr>
            <w:tcW w:w="1341" w:type="dxa"/>
          </w:tcPr>
          <w:p w14:paraId="607FAE31">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sz w:val="21"/>
                <w:szCs w:val="21"/>
              </w:rPr>
            </w:pPr>
            <w:r>
              <w:rPr>
                <w:rFonts w:hint="eastAsia" w:ascii="Times New Roman" w:hAnsi="Times New Roman" w:eastAsia="宋体"/>
                <w:sz w:val="21"/>
                <w:szCs w:val="21"/>
              </w:rPr>
              <w:t>112640</w:t>
            </w:r>
          </w:p>
        </w:tc>
        <w:tc>
          <w:tcPr>
            <w:tcW w:w="4190" w:type="dxa"/>
          </w:tcPr>
          <w:p w14:paraId="4A30B61E">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sz w:val="21"/>
                <w:szCs w:val="21"/>
              </w:rPr>
            </w:pPr>
          </w:p>
        </w:tc>
      </w:tr>
    </w:tbl>
    <w:p w14:paraId="0D9C843A">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sz w:val="21"/>
          <w:szCs w:val="21"/>
        </w:rPr>
      </w:pPr>
      <w:r>
        <w:rPr>
          <w:rFonts w:hint="eastAsia" w:ascii="Times New Roman" w:hAnsi="Times New Roman" w:eastAsia="宋体"/>
          <w:sz w:val="21"/>
          <w:szCs w:val="21"/>
        </w:rPr>
        <w:t>注：扇子数量按照大于2025年广州、深圳、珠海三城市考生数量准备</w:t>
      </w:r>
    </w:p>
    <w:p w14:paraId="5E6BD4C3">
      <w:pPr>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sz w:val="21"/>
          <w:szCs w:val="21"/>
        </w:rPr>
      </w:pPr>
      <w:r>
        <w:rPr>
          <w:rFonts w:hint="eastAsia" w:ascii="Times New Roman" w:hAnsi="Times New Roman" w:eastAsia="宋体"/>
          <w:sz w:val="21"/>
          <w:szCs w:val="21"/>
        </w:rPr>
        <w:t>服装、鸭舌帽以及帆布包加上考点负责人，摄像师及其他负责人费用未涉及</w:t>
      </w:r>
    </w:p>
    <w:p w14:paraId="7EC2AE6F">
      <w:pPr>
        <w:pStyle w:val="15"/>
        <w:pageBreakBefore w:val="0"/>
        <w:numPr>
          <w:ilvl w:val="2"/>
          <w:numId w:val="6"/>
        </w:numPr>
        <w:kinsoku/>
        <w:wordWrap/>
        <w:overflowPunct/>
        <w:topLinePunct w:val="0"/>
        <w:autoSpaceDE/>
        <w:autoSpaceDN/>
        <w:bidi w:val="0"/>
        <w:adjustRightInd/>
        <w:snapToGrid/>
        <w:spacing w:line="360" w:lineRule="auto"/>
        <w:textAlignment w:val="auto"/>
        <w:rPr>
          <w:rFonts w:hint="eastAsia" w:ascii="Times New Roman" w:hAnsi="Times New Roman" w:eastAsia="宋体"/>
          <w:b/>
          <w:bCs/>
          <w:sz w:val="24"/>
          <w:szCs w:val="24"/>
        </w:rPr>
      </w:pPr>
      <w:r>
        <w:rPr>
          <w:rFonts w:hint="eastAsia" w:ascii="Times New Roman" w:hAnsi="Times New Roman" w:eastAsia="宋体"/>
          <w:b/>
          <w:bCs/>
          <w:sz w:val="24"/>
          <w:szCs w:val="24"/>
        </w:rPr>
        <w:t>应急预案</w:t>
      </w:r>
    </w:p>
    <w:p w14:paraId="79B2A41F">
      <w:pPr>
        <w:pageBreakBefore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sz w:val="21"/>
          <w:szCs w:val="21"/>
        </w:rPr>
      </w:pPr>
      <w:r>
        <w:rPr>
          <w:rFonts w:hint="eastAsia" w:ascii="Times New Roman" w:hAnsi="Times New Roman" w:eastAsia="宋体"/>
          <w:sz w:val="21"/>
          <w:szCs w:val="21"/>
        </w:rPr>
        <w:t>若人数不足可在社会中寻找志愿者或发布兼职；</w:t>
      </w:r>
    </w:p>
    <w:p w14:paraId="2A77F1D3">
      <w:pPr>
        <w:pageBreakBefore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sz w:val="21"/>
          <w:szCs w:val="21"/>
        </w:rPr>
      </w:pPr>
      <w:r>
        <w:rPr>
          <w:rFonts w:hint="eastAsia" w:ascii="Times New Roman" w:hAnsi="Times New Roman" w:eastAsia="宋体"/>
          <w:sz w:val="21"/>
          <w:szCs w:val="21"/>
        </w:rPr>
        <w:t>志愿者统一话术预防家长纠纷（</w:t>
      </w:r>
      <w:r>
        <w:rPr>
          <w:rFonts w:ascii="Times New Roman" w:hAnsi="Times New Roman" w:eastAsia="宋体"/>
          <w:sz w:val="21"/>
          <w:szCs w:val="21"/>
        </w:rPr>
        <w:t>如“家长您好，这是</w:t>
      </w:r>
      <w:r>
        <w:rPr>
          <w:rFonts w:hint="eastAsia" w:ascii="Times New Roman" w:hAnsi="Times New Roman" w:eastAsia="宋体"/>
          <w:sz w:val="21"/>
          <w:szCs w:val="21"/>
        </w:rPr>
        <w:t>我们</w:t>
      </w:r>
      <w:r>
        <w:rPr>
          <w:rFonts w:ascii="Times New Roman" w:hAnsi="Times New Roman" w:eastAsia="宋体"/>
          <w:sz w:val="21"/>
          <w:szCs w:val="21"/>
        </w:rPr>
        <w:t>学校为您准备的小心意”）</w:t>
      </w:r>
    </w:p>
    <w:p w14:paraId="01769561">
      <w:pPr>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宋体"/>
          <w:b w:val="0"/>
          <w:bCs w:val="0"/>
          <w:sz w:val="21"/>
          <w:szCs w:val="21"/>
          <w:lang w:val="en-US" w:eastAsia="zh-CN"/>
        </w:rPr>
      </w:pPr>
    </w:p>
    <w:p w14:paraId="0D10ACA4">
      <w:pPr>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b/>
          <w:bCs/>
          <w:sz w:val="21"/>
          <w:szCs w:val="21"/>
          <w:lang w:val="en-US" w:eastAsia="zh-CN"/>
        </w:rPr>
      </w:pPr>
    </w:p>
    <w:p w14:paraId="1875865A">
      <w:pPr>
        <w:pageBreakBefore w:val="0"/>
        <w:widowControl w:val="0"/>
        <w:numPr>
          <w:numId w:val="0"/>
        </w:numPr>
        <w:kinsoku/>
        <w:wordWrap/>
        <w:overflowPunct/>
        <w:topLinePunct w:val="0"/>
        <w:autoSpaceDE/>
        <w:autoSpaceDN/>
        <w:bidi w:val="0"/>
        <w:adjustRightInd/>
        <w:snapToGrid/>
        <w:spacing w:line="360" w:lineRule="auto"/>
        <w:ind w:leftChars="0" w:firstLine="420" w:firstLineChars="200"/>
        <w:textAlignment w:val="auto"/>
        <w:rPr>
          <w:rFonts w:hint="default" w:ascii="Times New Roman" w:hAnsi="Times New Roman" w:eastAsia="宋体" w:cs="宋体"/>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dolSong-Regular-Identity-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2B9925"/>
    <w:multiLevelType w:val="multilevel"/>
    <w:tmpl w:val="C52B9925"/>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10414F5E"/>
    <w:multiLevelType w:val="multilevel"/>
    <w:tmpl w:val="10414F5E"/>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31855FF2"/>
    <w:multiLevelType w:val="singleLevel"/>
    <w:tmpl w:val="31855FF2"/>
    <w:lvl w:ilvl="0" w:tentative="0">
      <w:start w:val="1"/>
      <w:numFmt w:val="decimal"/>
      <w:lvlText w:val="%1."/>
      <w:lvlJc w:val="left"/>
      <w:pPr>
        <w:ind w:left="425" w:hanging="425"/>
      </w:pPr>
      <w:rPr>
        <w:rFonts w:hint="default"/>
      </w:rPr>
    </w:lvl>
  </w:abstractNum>
  <w:abstractNum w:abstractNumId="3">
    <w:nsid w:val="3F1AE341"/>
    <w:multiLevelType w:val="singleLevel"/>
    <w:tmpl w:val="3F1AE341"/>
    <w:lvl w:ilvl="0" w:tentative="0">
      <w:start w:val="1"/>
      <w:numFmt w:val="bullet"/>
      <w:lvlText w:val=""/>
      <w:lvlJc w:val="left"/>
      <w:pPr>
        <w:ind w:left="420" w:hanging="420"/>
      </w:pPr>
      <w:rPr>
        <w:rFonts w:hint="default" w:ascii="Wingdings" w:hAnsi="Wingdings"/>
      </w:rPr>
    </w:lvl>
  </w:abstractNum>
  <w:abstractNum w:abstractNumId="4">
    <w:nsid w:val="48ED9D7E"/>
    <w:multiLevelType w:val="singleLevel"/>
    <w:tmpl w:val="48ED9D7E"/>
    <w:lvl w:ilvl="0" w:tentative="0">
      <w:start w:val="1"/>
      <w:numFmt w:val="decimal"/>
      <w:lvlText w:val="%1."/>
      <w:lvlJc w:val="left"/>
      <w:pPr>
        <w:ind w:left="425" w:hanging="425"/>
      </w:pPr>
      <w:rPr>
        <w:rFonts w:hint="default"/>
      </w:rPr>
    </w:lvl>
  </w:abstractNum>
  <w:abstractNum w:abstractNumId="5">
    <w:nsid w:val="63AE59ED"/>
    <w:multiLevelType w:val="multilevel"/>
    <w:tmpl w:val="63AE59ED"/>
    <w:lvl w:ilvl="0" w:tentative="0">
      <w:start w:val="4"/>
      <w:numFmt w:val="decimal"/>
      <w:lvlText w:val="%1"/>
      <w:lvlJc w:val="left"/>
      <w:pPr>
        <w:ind w:left="420" w:hanging="420"/>
      </w:pPr>
      <w:rPr>
        <w:rFonts w:hint="default"/>
      </w:rPr>
    </w:lvl>
    <w:lvl w:ilvl="1" w:tentative="0">
      <w:start w:val="2"/>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6">
    <w:nsid w:val="6FD3C446"/>
    <w:multiLevelType w:val="singleLevel"/>
    <w:tmpl w:val="6FD3C446"/>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3"/>
  </w:num>
  <w:num w:numId="4">
    <w:abstractNumId w:val="2"/>
  </w:num>
  <w:num w:numId="5">
    <w:abstractNumId w:val="6"/>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EB278C"/>
    <w:rsid w:val="17EB2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3"/>
    <w:qFormat/>
    <w:uiPriority w:val="0"/>
    <w:pPr>
      <w:keepNext/>
      <w:keepLines/>
      <w:numPr>
        <w:ilvl w:val="0"/>
        <w:numId w:val="1"/>
      </w:numPr>
      <w:spacing w:before="40" w:beforeLines="0" w:beforeAutospacing="0" w:after="40" w:afterLines="0" w:afterAutospacing="0" w:line="360" w:lineRule="auto"/>
      <w:ind w:left="432" w:hanging="432"/>
      <w:outlineLvl w:val="0"/>
    </w:pPr>
    <w:rPr>
      <w:rFonts w:eastAsia="宋体" w:asciiTheme="minorAscii" w:hAnsiTheme="minorAscii"/>
      <w:b/>
      <w:kern w:val="44"/>
      <w:sz w:val="28"/>
    </w:rPr>
  </w:style>
  <w:style w:type="paragraph" w:styleId="3">
    <w:name w:val="heading 2"/>
    <w:basedOn w:val="1"/>
    <w:next w:val="1"/>
    <w:unhideWhenUsed/>
    <w:qFormat/>
    <w:uiPriority w:val="0"/>
    <w:pPr>
      <w:keepNext/>
      <w:keepLines/>
      <w:numPr>
        <w:ilvl w:val="1"/>
        <w:numId w:val="1"/>
      </w:numPr>
      <w:spacing w:before="40" w:beforeLines="0" w:beforeAutospacing="0" w:after="40" w:afterLines="0" w:afterAutospacing="0" w:line="360" w:lineRule="auto"/>
      <w:ind w:left="575" w:hanging="575"/>
      <w:outlineLvl w:val="1"/>
    </w:pPr>
    <w:rPr>
      <w:rFonts w:ascii="Arial" w:hAnsi="Arial" w:eastAsia="宋体"/>
      <w:b/>
      <w:sz w:val="24"/>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character" w:customStyle="1" w:styleId="13">
    <w:name w:val="标题 1 Char"/>
    <w:link w:val="2"/>
    <w:qFormat/>
    <w:uiPriority w:val="0"/>
    <w:rPr>
      <w:rFonts w:eastAsia="宋体" w:asciiTheme="minorAscii" w:hAnsiTheme="minorAscii"/>
      <w:b/>
      <w:kern w:val="44"/>
      <w:sz w:val="28"/>
    </w:rPr>
  </w:style>
  <w:style w:type="table" w:customStyle="1" w:styleId="14">
    <w:name w:val="Plain Table 1"/>
    <w:basedOn w:val="11"/>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styleId="1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12</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2025-06-12T04:29:00Z</dcterms:created>
  <dc:creator>刘淼</dc:creator>
  <cp:lastModifiedBy>刘淼</cp:lastModifiedBy>
  <dcterms:modified xsi:type="dcterms:W3CDTF">2025-06-12T07:02:47Z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594298B902A2497E84EFF1DDFF261111_11</vt:lpwstr>
  </property>
  <property fmtid="{D5CDD505-2E9C-101B-9397-08002B2CF9AE}" pid="4" name="KSOTemplateDocerSaveRecord">
    <vt:lpwstr>eyJoZGlkIjoiYTk1N2IxZTk4OTc4YjVlYTE2MGM1Y2IwZjQwYjg3YTciLCJ1c2VySWQiOiIxNjY3MzcyMzk0In0=</vt:lpwstr>
  </property>
</Properties>
</file>