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Desafio 2 – Explorando e Analisando Dados para uso em Ciência de Dados</w:t>
      </w:r>
    </w:p>
    <w:p>
      <w:r>
        <w:t>Empresa: Melhores Compras | Dataset: vendas_linha_petshop_2020_2024.csv</w:t>
      </w:r>
    </w:p>
    <w:p/>
    <w:p>
      <w:pPr>
        <w:pStyle w:val="Heading1"/>
      </w:pPr>
      <w:r>
        <w:t>Pergunta 1 – Estratégia para criação da base de dados de treinamento, teste e validação</w:t>
      </w:r>
    </w:p>
    <w:p>
      <w:r>
        <w:rPr>
          <w:b w:val="0"/>
          <w:i w:val="0"/>
        </w:rPr>
        <w:t>Para construir um modelo preditivo robusto, os dados disponíveis devem ser divididos em três conjuntos mutuamente exclusivos: treinamento, teste e validação. A estratégia recomendada para o dataset da Melhores Compras é a seguinte: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Conjunto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Proporção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Finalidade</w:t>
            </w:r>
          </w:p>
        </w:tc>
      </w:tr>
      <w:tr>
        <w:tc>
          <w:tcPr>
            <w:tcW w:type="dxa" w:w="2880"/>
          </w:tcPr>
          <w:p>
            <w:r>
              <w:t>Treinamento</w:t>
            </w:r>
          </w:p>
        </w:tc>
        <w:tc>
          <w:tcPr>
            <w:tcW w:type="dxa" w:w="2880"/>
          </w:tcPr>
          <w:p>
            <w:r>
              <w:t>70 %</w:t>
            </w:r>
          </w:p>
        </w:tc>
        <w:tc>
          <w:tcPr>
            <w:tcW w:type="dxa" w:w="2880"/>
          </w:tcPr>
          <w:p>
            <w:r>
              <w:t>Utilizado para o ajuste dos parâmetros do modelo (coeficientes da regressão). Quanto maior essa fatia, mais o modelo aprende os padrões dos dados.</w:t>
            </w:r>
          </w:p>
        </w:tc>
      </w:tr>
      <w:tr>
        <w:tc>
          <w:tcPr>
            <w:tcW w:type="dxa" w:w="2880"/>
          </w:tcPr>
          <w:p>
            <w:r>
              <w:t>Teste</w:t>
            </w:r>
          </w:p>
        </w:tc>
        <w:tc>
          <w:tcPr>
            <w:tcW w:type="dxa" w:w="2880"/>
          </w:tcPr>
          <w:p>
            <w:r>
              <w:t>20 %</w:t>
            </w:r>
          </w:p>
        </w:tc>
        <w:tc>
          <w:tcPr>
            <w:tcW w:type="dxa" w:w="2880"/>
          </w:tcPr>
          <w:p>
            <w:r>
              <w:t>Avalia o desempenho do modelo em dados não vistos durante o treinamento. Fornece a estimativa honesta de generalização (R², RMSE).</w:t>
            </w:r>
          </w:p>
        </w:tc>
      </w:tr>
      <w:tr>
        <w:tc>
          <w:tcPr>
            <w:tcW w:type="dxa" w:w="2880"/>
          </w:tcPr>
          <w:p>
            <w:r>
              <w:t>Validação</w:t>
            </w:r>
          </w:p>
        </w:tc>
        <w:tc>
          <w:tcPr>
            <w:tcW w:type="dxa" w:w="2880"/>
          </w:tcPr>
          <w:p>
            <w:r>
              <w:t>10 %</w:t>
            </w:r>
          </w:p>
        </w:tc>
        <w:tc>
          <w:tcPr>
            <w:tcW w:type="dxa" w:w="2880"/>
          </w:tcPr>
          <w:p>
            <w:r>
              <w:t>Reservado para ajuste de hiperparâmetros e seleção de modelo, sem contaminar a avaliação final realizada na base de teste.</w:t>
            </w:r>
          </w:p>
        </w:tc>
      </w:tr>
    </w:tbl>
    <w:p/>
    <w:p>
      <w:r>
        <w:rPr>
          <w:b w:val="0"/>
          <w:i w:val="0"/>
        </w:rPr>
        <w:t>Justificativa: A proporção 70/20/10 é amplamente adotada na literatura de Machine Learning e também referenciada nos materiais do curso (Cap. 10 – Modelagem Preditiva). Com 250.059 registros disponíveis, cada conjunto terá, respectivamente, ~175.041, ~50.012 e ~25.006 linhas, volumes suficientes para treinar e avaliar modelos de forma estatisticamente confiável. O parâmetro random_state=42 garante reprodutibilidade na separação aleatória, conforme boas práticas do sklearn.</w:t>
      </w:r>
    </w:p>
    <w:p>
      <w:pPr>
        <w:pStyle w:val="Heading1"/>
      </w:pPr>
      <w:r>
        <w:t>Pergunta 2 – Variáveis numéricas e categóricas</w:t>
      </w:r>
    </w:p>
    <w:p>
      <w:r>
        <w:rPr>
          <w:b w:val="0"/>
          <w:i w:val="0"/>
        </w:rPr>
        <w:t>Variável numérica (quantitativa): representa quantidades mensuráveis, permite operações aritméticas (soma, média) e pode ser contínua (ex.: valor monetário) ou discreta (ex.: contagem de itens). Variável categórica (qualitativa): representa grupos ou categorias sem escala numérica natural. Podem ser nominais (sem ordem, ex.: forma de pagamento) ou ordinais (com ordem, ex.: nível de risco).</w:t>
      </w:r>
    </w:p>
    <w:p/>
    <w:p>
      <w:r>
        <w:rPr>
          <w:b/>
          <w:i w:val="0"/>
        </w:rPr>
        <w:t>Classificação das variáveis do arquivo vendas_linha_petshop_2020_2024.csv: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Coluna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Justificativa</w:t>
            </w:r>
          </w:p>
        </w:tc>
      </w:tr>
      <w:tr>
        <w:tc>
          <w:tcPr>
            <w:tcW w:type="dxa" w:w="2880"/>
          </w:tcPr>
          <w:p>
            <w:r>
              <w:t>cod_pedido</w:t>
            </w:r>
          </w:p>
        </w:tc>
        <w:tc>
          <w:tcPr>
            <w:tcW w:type="dxa" w:w="2880"/>
          </w:tcPr>
          <w:p>
            <w:r>
              <w:t>Numérica (discreta) *</w:t>
            </w:r>
          </w:p>
        </w:tc>
        <w:tc>
          <w:tcPr>
            <w:tcW w:type="dxa" w:w="2880"/>
          </w:tcPr>
          <w:p>
            <w:r>
              <w:t>Identificador inteiro único de pedido. *Apesar de numérico, não deve ser usado como feature preditiva.</w:t>
            </w:r>
          </w:p>
        </w:tc>
      </w:tr>
      <w:tr>
        <w:tc>
          <w:tcPr>
            <w:tcW w:type="dxa" w:w="2880"/>
          </w:tcPr>
          <w:p>
            <w:r>
              <w:t>valor</w:t>
            </w:r>
          </w:p>
        </w:tc>
        <w:tc>
          <w:tcPr>
            <w:tcW w:type="dxa" w:w="2880"/>
          </w:tcPr>
          <w:p>
            <w:r>
              <w:t>Numérica (contínua)</w:t>
            </w:r>
          </w:p>
        </w:tc>
        <w:tc>
          <w:tcPr>
            <w:tcW w:type="dxa" w:w="2880"/>
          </w:tcPr>
          <w:p>
            <w:r>
              <w:t>Valor unitário do produto em R$ – escala contínua de preços.</w:t>
            </w:r>
          </w:p>
        </w:tc>
      </w:tr>
      <w:tr>
        <w:tc>
          <w:tcPr>
            <w:tcW w:type="dxa" w:w="2880"/>
          </w:tcPr>
          <w:p>
            <w:r>
              <w:t>quantidade</w:t>
            </w:r>
          </w:p>
        </w:tc>
        <w:tc>
          <w:tcPr>
            <w:tcW w:type="dxa" w:w="2880"/>
          </w:tcPr>
          <w:p>
            <w:r>
              <w:t>Numérica (discreta)</w:t>
            </w:r>
          </w:p>
        </w:tc>
        <w:tc>
          <w:tcPr>
            <w:tcW w:type="dxa" w:w="2880"/>
          </w:tcPr>
          <w:p>
            <w:r>
              <w:t>Contagem de unidades vendidas.</w:t>
            </w:r>
          </w:p>
        </w:tc>
      </w:tr>
      <w:tr>
        <w:tc>
          <w:tcPr>
            <w:tcW w:type="dxa" w:w="2880"/>
          </w:tcPr>
          <w:p>
            <w:r>
              <w:t>valor_total_bruto</w:t>
            </w:r>
          </w:p>
        </w:tc>
        <w:tc>
          <w:tcPr>
            <w:tcW w:type="dxa" w:w="2880"/>
          </w:tcPr>
          <w:p>
            <w:r>
              <w:t>Numérica (contínua)</w:t>
            </w:r>
          </w:p>
        </w:tc>
        <w:tc>
          <w:tcPr>
            <w:tcW w:type="dxa" w:w="2880"/>
          </w:tcPr>
          <w:p>
            <w:r>
              <w:t>Multiplicação de valor × quantidade – escala monetária contínua.</w:t>
            </w:r>
          </w:p>
        </w:tc>
      </w:tr>
      <w:tr>
        <w:tc>
          <w:tcPr>
            <w:tcW w:type="dxa" w:w="2880"/>
          </w:tcPr>
          <w:p>
            <w:r>
              <w:t>valor_comissao</w:t>
            </w:r>
          </w:p>
        </w:tc>
        <w:tc>
          <w:tcPr>
            <w:tcW w:type="dxa" w:w="2880"/>
          </w:tcPr>
          <w:p>
            <w:r>
              <w:t>Numérica (contínua)</w:t>
            </w:r>
          </w:p>
        </w:tc>
        <w:tc>
          <w:tcPr>
            <w:tcW w:type="dxa" w:w="2880"/>
          </w:tcPr>
          <w:p>
            <w:r>
              <w:t>Valor da comissão em R$ – escala contínua.</w:t>
            </w:r>
          </w:p>
        </w:tc>
      </w:tr>
      <w:tr>
        <w:tc>
          <w:tcPr>
            <w:tcW w:type="dxa" w:w="2880"/>
          </w:tcPr>
          <w:p>
            <w:r>
              <w:t>lucro_liquido</w:t>
            </w:r>
          </w:p>
        </w:tc>
        <w:tc>
          <w:tcPr>
            <w:tcW w:type="dxa" w:w="2880"/>
          </w:tcPr>
          <w:p>
            <w:r>
              <w:t>Numérica (contínua)</w:t>
            </w:r>
          </w:p>
        </w:tc>
        <w:tc>
          <w:tcPr>
            <w:tcW w:type="dxa" w:w="2880"/>
          </w:tcPr>
          <w:p>
            <w:r>
              <w:t>Lucro líquido em R$ após impostos – escala contínua.</w:t>
            </w:r>
          </w:p>
        </w:tc>
      </w:tr>
      <w:tr>
        <w:tc>
          <w:tcPr>
            <w:tcW w:type="dxa" w:w="2880"/>
          </w:tcPr>
          <w:p>
            <w:r>
              <w:t>regiao_pais</w:t>
            </w:r>
          </w:p>
        </w:tc>
        <w:tc>
          <w:tcPr>
            <w:tcW w:type="dxa" w:w="2880"/>
          </w:tcPr>
          <w:p>
            <w:r>
              <w:t>Categórica (nominal)</w:t>
            </w:r>
          </w:p>
        </w:tc>
        <w:tc>
          <w:tcPr>
            <w:tcW w:type="dxa" w:w="2880"/>
          </w:tcPr>
          <w:p>
            <w:r>
              <w:t>5 regiões sem ordem natural: Norte, Sul, Nordeste, Sudeste, Centro-Oeste.</w:t>
            </w:r>
          </w:p>
        </w:tc>
      </w:tr>
      <w:tr>
        <w:tc>
          <w:tcPr>
            <w:tcW w:type="dxa" w:w="2880"/>
          </w:tcPr>
          <w:p>
            <w:r>
              <w:t>produto</w:t>
            </w:r>
          </w:p>
        </w:tc>
        <w:tc>
          <w:tcPr>
            <w:tcW w:type="dxa" w:w="2880"/>
          </w:tcPr>
          <w:p>
            <w:r>
              <w:t>Categórica (nominal)</w:t>
            </w:r>
          </w:p>
        </w:tc>
        <w:tc>
          <w:tcPr>
            <w:tcW w:type="dxa" w:w="2880"/>
          </w:tcPr>
          <w:p>
            <w:r>
              <w:t>Nome do produto – mais de 50.000 SKUs distintos.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Data/Hora</w:t>
            </w:r>
          </w:p>
        </w:tc>
        <w:tc>
          <w:tcPr>
            <w:tcW w:type="dxa" w:w="2880"/>
          </w:tcPr>
          <w:p>
            <w:r>
              <w:t>Timestamp do pedido. Pode ser decomposta em dia, mês, ano, dia da semana (numérico ou categórico).</w:t>
            </w:r>
          </w:p>
        </w:tc>
      </w:tr>
      <w:tr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Categórica (nominal)</w:t>
            </w:r>
          </w:p>
        </w:tc>
        <w:tc>
          <w:tcPr>
            <w:tcW w:type="dxa" w:w="2880"/>
          </w:tcPr>
          <w:p>
            <w:r>
              <w:t>25 estados brasileiros sem ordem natural.</w:t>
            </w:r>
          </w:p>
        </w:tc>
      </w:tr>
      <w:tr>
        <w:tc>
          <w:tcPr>
            <w:tcW w:type="dxa" w:w="2880"/>
          </w:tcPr>
          <w:p>
            <w:r>
              <w:t>formapagto</w:t>
            </w:r>
          </w:p>
        </w:tc>
        <w:tc>
          <w:tcPr>
            <w:tcW w:type="dxa" w:w="2880"/>
          </w:tcPr>
          <w:p>
            <w:r>
              <w:t>Categórica (nominal)</w:t>
            </w:r>
          </w:p>
        </w:tc>
        <w:tc>
          <w:tcPr>
            <w:tcW w:type="dxa" w:w="2880"/>
          </w:tcPr>
          <w:p>
            <w:r>
              <w:t>5 formas de pagamento: Cartão Crédito, Débito, Pix, Boleto, Dinheiro.</w:t>
            </w:r>
          </w:p>
        </w:tc>
      </w:tr>
      <w:tr>
        <w:tc>
          <w:tcPr>
            <w:tcW w:type="dxa" w:w="2880"/>
          </w:tcPr>
          <w:p>
            <w:r>
              <w:t>centro_distribuicao</w:t>
            </w:r>
          </w:p>
        </w:tc>
        <w:tc>
          <w:tcPr>
            <w:tcW w:type="dxa" w:w="2880"/>
          </w:tcPr>
          <w:p>
            <w:r>
              <w:t>Categórica (nominal)</w:t>
            </w:r>
          </w:p>
        </w:tc>
        <w:tc>
          <w:tcPr>
            <w:tcW w:type="dxa" w:w="2880"/>
          </w:tcPr>
          <w:p>
            <w:r>
              <w:t>5 centros de distribuição sem hierarquia.</w:t>
            </w:r>
          </w:p>
        </w:tc>
      </w:tr>
      <w:tr>
        <w:tc>
          <w:tcPr>
            <w:tcW w:type="dxa" w:w="2880"/>
          </w:tcPr>
          <w:p>
            <w:r>
              <w:t>responsavelpedido</w:t>
            </w:r>
          </w:p>
        </w:tc>
        <w:tc>
          <w:tcPr>
            <w:tcW w:type="dxa" w:w="2880"/>
          </w:tcPr>
          <w:p>
            <w:r>
              <w:t>Categórica (nominal)</w:t>
            </w:r>
          </w:p>
        </w:tc>
        <w:tc>
          <w:tcPr>
            <w:tcW w:type="dxa" w:w="2880"/>
          </w:tcPr>
          <w:p>
            <w:r>
              <w:t>Nome do responsável pelo pedido – alta cardinalidade.</w:t>
            </w:r>
          </w:p>
        </w:tc>
      </w:tr>
      <w:tr>
        <w:tc>
          <w:tcPr>
            <w:tcW w:type="dxa" w:w="2880"/>
          </w:tcPr>
          <w:p>
            <w:r>
              <w:t>categoriaprod</w:t>
            </w:r>
          </w:p>
        </w:tc>
        <w:tc>
          <w:tcPr>
            <w:tcW w:type="dxa" w:w="2880"/>
          </w:tcPr>
          <w:p>
            <w:r>
              <w:t>Categórica (nominal)</w:t>
            </w:r>
          </w:p>
        </w:tc>
        <w:tc>
          <w:tcPr>
            <w:tcW w:type="dxa" w:w="2880"/>
          </w:tcPr>
          <w:p>
            <w:r>
              <w:t>7 categorias de produto: Alimentação, Brinquedo, Acessório etc.</w:t>
            </w:r>
          </w:p>
        </w:tc>
      </w:tr>
    </w:tbl>
    <w:p>
      <w:pPr>
        <w:pStyle w:val="Heading1"/>
      </w:pPr>
      <w:r>
        <w:t>Pergunta 3 – Importância do cod_pedido em análises preditivas</w:t>
      </w:r>
    </w:p>
    <w:p>
      <w:r>
        <w:rPr>
          <w:b w:val="0"/>
          <w:i w:val="0"/>
        </w:rPr>
        <w:t>O cod_pedido é um identificador técnico único gerado pelo sistema de e-commerce para cada pedido transacionado. Sua importância em análises preditivas é, paradoxalmente, a de ser excluído como variável independente (feature) do modelo, pelos seguintes motivos:</w:t>
      </w:r>
    </w:p>
    <w:p>
      <w:pPr>
        <w:pStyle w:val="ListBullet"/>
      </w:pPr>
      <w:r>
        <w:rPr>
          <w:b/>
        </w:rPr>
        <w:t xml:space="preserve">Sem significado preditivo: </w:t>
      </w:r>
      <w:r>
        <w:t>O número sequencial do pedido não carrega informação de negócio capaz de explicar ou prever valores de vendas, lucro ou comportamento do consumidor.</w:t>
      </w:r>
    </w:p>
    <w:p>
      <w:pPr>
        <w:pStyle w:val="ListBullet"/>
      </w:pPr>
      <w:r>
        <w:rPr>
          <w:b/>
        </w:rPr>
        <w:t xml:space="preserve">Risco de overfitting: </w:t>
      </w:r>
      <w:r>
        <w:t>Incluir um identificador único como feature cria um mapeamento artificial pedido→resultado que se ajusta perfeitamente ao treino, mas falha completamente em dados novos.</w:t>
      </w:r>
    </w:p>
    <w:p>
      <w:pPr>
        <w:pStyle w:val="ListBullet"/>
      </w:pPr>
      <w:r>
        <w:rPr>
          <w:b/>
        </w:rPr>
        <w:t xml:space="preserve">Duplicidade controlada: </w:t>
      </w:r>
      <w:r>
        <w:t>No dataset foram encontrados 250,059 registros com {224918:,} códigos únicos (25.141 duplicatas). As duplicatas ocorrem porque um mesmo pedido pode conter múltiplos itens/linhas. Isso confirma que o campo identifica o pedido, não a linha de venda.</w:t>
      </w:r>
    </w:p>
    <w:p>
      <w:pPr>
        <w:pStyle w:val="ListBullet"/>
      </w:pPr>
      <w:r>
        <w:rPr>
          <w:b/>
        </w:rPr>
        <w:t xml:space="preserve">Uso correto: </w:t>
      </w:r>
      <w:r>
        <w:t>O cod_pedido deve ser utilizado apenas para operações de JOIN, deduplicação, rastreabilidade e auditoria dos dados, nunca como feature de entrada em modelos de Machine Learning.</w:t>
      </w:r>
    </w:p>
    <w:p>
      <w:pPr>
        <w:pStyle w:val="Heading1"/>
      </w:pPr>
      <w:r>
        <w:t>Pergunta 4 – Identificação de outliers</w:t>
      </w:r>
    </w:p>
    <w:p>
      <w:r>
        <w:rPr>
          <w:b w:val="0"/>
          <w:i w:val="0"/>
        </w:rPr>
        <w:t>Para identificar os outliers foram utilizados dois critérios complementares, ambos amplamente discutidos nos materiais do curso (Cap. 10 – Modelagem Preditiva):</w:t>
      </w:r>
    </w:p>
    <w:p>
      <w:pPr>
        <w:pStyle w:val="ListNumber"/>
      </w:pPr>
      <w:r>
        <w:rPr>
          <w:b/>
        </w:rPr>
        <w:t xml:space="preserve">Método IQR (Intervalo Interquartil): </w:t>
      </w:r>
      <w:r>
        <w:t>Para cada variável numérica, calculou-se o primeiro quartil (Q1) e o terceiro quartil (Q3). O Intervalo Interquartil é IQR = Q3 – Q1. Registros com valor fora do intervalo [Q1 – 1,5×IQR, Q3 + 1,5×IQR] são considerados outliers. Essa abordagem é robusta a distribuições assimétricas, comuns em dados de vendas.</w:t>
      </w:r>
    </w:p>
    <w:p>
      <w:pPr>
        <w:pStyle w:val="ListNumber"/>
      </w:pPr>
      <w:r>
        <w:rPr>
          <w:b/>
        </w:rPr>
        <w:t xml:space="preserve">Critério aplicado: </w:t>
      </w:r>
      <w:r>
        <w:t>Registros que apresentam pelo menos uma variável numérica fora do intervalo IQR.</w:t>
      </w:r>
    </w:p>
    <w:p/>
    <w:p>
      <w:r>
        <w:rPr>
          <w:b/>
          <w:i w:val="0"/>
        </w:rPr>
        <w:t>Resultados por variável: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Variável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IQR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Limite inferior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Outliers</w:t>
            </w:r>
          </w:p>
        </w:tc>
      </w:tr>
      <w:tr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28.00</w:t>
            </w:r>
          </w:p>
        </w:tc>
        <w:tc>
          <w:tcPr>
            <w:tcW w:type="dxa" w:w="1440"/>
          </w:tcPr>
          <w:p>
            <w:r>
              <w:t>83.20</w:t>
            </w:r>
          </w:p>
        </w:tc>
        <w:tc>
          <w:tcPr>
            <w:tcW w:type="dxa" w:w="1440"/>
          </w:tcPr>
          <w:p>
            <w:r>
              <w:t>55.20</w:t>
            </w:r>
          </w:p>
        </w:tc>
        <w:tc>
          <w:tcPr>
            <w:tcW w:type="dxa" w:w="1440"/>
          </w:tcPr>
          <w:p>
            <w:r>
              <w:t>-54.80</w:t>
            </w:r>
          </w:p>
        </w:tc>
        <w:tc>
          <w:tcPr>
            <w:tcW w:type="dxa" w:w="1440"/>
          </w:tcPr>
          <w:p>
            <w:r>
              <w:t>18787</w:t>
            </w:r>
          </w:p>
        </w:tc>
      </w:tr>
      <w:tr>
        <w:tc>
          <w:tcPr>
            <w:tcW w:type="dxa" w:w="1440"/>
          </w:tcPr>
          <w:p>
            <w:r>
              <w:t>quantidade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3.00</w:t>
            </w:r>
          </w:p>
        </w:tc>
        <w:tc>
          <w:tcPr>
            <w:tcW w:type="dxa" w:w="1440"/>
          </w:tcPr>
          <w:p>
            <w:r>
              <w:t>2.00</w:t>
            </w:r>
          </w:p>
        </w:tc>
        <w:tc>
          <w:tcPr>
            <w:tcW w:type="dxa" w:w="1440"/>
          </w:tcPr>
          <w:p>
            <w:r>
              <w:t>-2.00</w:t>
            </w:r>
          </w:p>
        </w:tc>
        <w:tc>
          <w:tcPr>
            <w:tcW w:type="dxa" w:w="1440"/>
          </w:tcPr>
          <w:p>
            <w:r>
              <w:t>4700</w:t>
            </w:r>
          </w:p>
        </w:tc>
      </w:tr>
      <w:tr>
        <w:tc>
          <w:tcPr>
            <w:tcW w:type="dxa" w:w="1440"/>
          </w:tcPr>
          <w:p>
            <w:r>
              <w:t>valor_total_bruto</w:t>
            </w:r>
          </w:p>
        </w:tc>
        <w:tc>
          <w:tcPr>
            <w:tcW w:type="dxa" w:w="1440"/>
          </w:tcPr>
          <w:p>
            <w:r>
              <w:t>37.70</w:t>
            </w:r>
          </w:p>
        </w:tc>
        <w:tc>
          <w:tcPr>
            <w:tcW w:type="dxa" w:w="1440"/>
          </w:tcPr>
          <w:p>
            <w:r>
              <w:t>122.36</w:t>
            </w:r>
          </w:p>
        </w:tc>
        <w:tc>
          <w:tcPr>
            <w:tcW w:type="dxa" w:w="1440"/>
          </w:tcPr>
          <w:p>
            <w:r>
              <w:t>84.66</w:t>
            </w:r>
          </w:p>
        </w:tc>
        <w:tc>
          <w:tcPr>
            <w:tcW w:type="dxa" w:w="1440"/>
          </w:tcPr>
          <w:p>
            <w:r>
              <w:t>-89.29</w:t>
            </w:r>
          </w:p>
        </w:tc>
        <w:tc>
          <w:tcPr>
            <w:tcW w:type="dxa" w:w="1440"/>
          </w:tcPr>
          <w:p>
            <w:r>
              <w:t>26194</w:t>
            </w:r>
          </w:p>
        </w:tc>
      </w:tr>
      <w:tr>
        <w:tc>
          <w:tcPr>
            <w:tcW w:type="dxa" w:w="1440"/>
          </w:tcPr>
          <w:p>
            <w:r>
              <w:t>valor_comissao</w:t>
            </w:r>
          </w:p>
        </w:tc>
        <w:tc>
          <w:tcPr>
            <w:tcW w:type="dxa" w:w="1440"/>
          </w:tcPr>
          <w:p>
            <w:r>
              <w:t>0.66</w:t>
            </w:r>
          </w:p>
        </w:tc>
        <w:tc>
          <w:tcPr>
            <w:tcW w:type="dxa" w:w="1440"/>
          </w:tcPr>
          <w:p>
            <w:r>
              <w:t>3.84</w:t>
            </w:r>
          </w:p>
        </w:tc>
        <w:tc>
          <w:tcPr>
            <w:tcW w:type="dxa" w:w="1440"/>
          </w:tcPr>
          <w:p>
            <w:r>
              <w:t>3.18</w:t>
            </w:r>
          </w:p>
        </w:tc>
        <w:tc>
          <w:tcPr>
            <w:tcW w:type="dxa" w:w="1440"/>
          </w:tcPr>
          <w:p>
            <w:r>
              <w:t>-4.11</w:t>
            </w:r>
          </w:p>
        </w:tc>
        <w:tc>
          <w:tcPr>
            <w:tcW w:type="dxa" w:w="1440"/>
          </w:tcPr>
          <w:p>
            <w:r>
              <w:t>19720</w:t>
            </w:r>
          </w:p>
        </w:tc>
      </w:tr>
      <w:tr>
        <w:tc>
          <w:tcPr>
            <w:tcW w:type="dxa" w:w="1440"/>
          </w:tcPr>
          <w:p>
            <w:r>
              <w:t>lucro_liquido</w:t>
            </w:r>
          </w:p>
        </w:tc>
        <w:tc>
          <w:tcPr>
            <w:tcW w:type="dxa" w:w="1440"/>
          </w:tcPr>
          <w:p>
            <w:r>
              <w:t>16.64</w:t>
            </w:r>
          </w:p>
        </w:tc>
        <w:tc>
          <w:tcPr>
            <w:tcW w:type="dxa" w:w="1440"/>
          </w:tcPr>
          <w:p>
            <w:r>
              <w:t>54.60</w:t>
            </w:r>
          </w:p>
        </w:tc>
        <w:tc>
          <w:tcPr>
            <w:tcW w:type="dxa" w:w="1440"/>
          </w:tcPr>
          <w:p>
            <w:r>
              <w:t>37.96</w:t>
            </w:r>
          </w:p>
        </w:tc>
        <w:tc>
          <w:tcPr>
            <w:tcW w:type="dxa" w:w="1440"/>
          </w:tcPr>
          <w:p>
            <w:r>
              <w:t>-40.30</w:t>
            </w:r>
          </w:p>
        </w:tc>
        <w:tc>
          <w:tcPr>
            <w:tcW w:type="dxa" w:w="1440"/>
          </w:tcPr>
          <w:p>
            <w:r>
              <w:t>23889</w:t>
            </w:r>
          </w:p>
        </w:tc>
      </w:tr>
    </w:tbl>
    <w:p/>
    <w:p>
      <w:r>
        <w:rPr>
          <w:b w:val="0"/>
          <w:i w:val="0"/>
        </w:rPr>
        <w:t>Total de registros com pelo menos um valor discrepante (outlier): 27,431 registros (11.0% do total de 250,059 linhas). O código Python a seguir reproduz a análise:</w:t>
      </w:r>
    </w:p>
    <w:p>
      <w:pPr>
        <w:pStyle w:val="NoSpacing"/>
      </w:pPr>
      <w:r>
        <w:rPr>
          <w:rFonts w:ascii="Courier New" w:hAnsi="Courier New"/>
          <w:sz w:val="18"/>
        </w:rPr>
        <w:t>Q1 = df[col].quantile(0.25)</w:t>
        <w:br/>
        <w:t>Q3 = df[col].quantile(0.75)</w:t>
        <w:br/>
        <w:t>IQR = Q3 - Q1</w:t>
        <w:br/>
        <w:t>outliers = (df[col] &lt; Q1 - 1.5*IQR) | (df[col] &gt; Q3 + 1.5*IQR)</w:t>
      </w:r>
    </w:p>
    <w:p>
      <w:pPr>
        <w:pStyle w:val="Heading1"/>
      </w:pPr>
      <w:r>
        <w:t>Pergunta 5 – Estratégia para tratar os outliers identificados</w:t>
      </w:r>
    </w:p>
    <w:p>
      <w:r>
        <w:rPr>
          <w:b w:val="0"/>
          <w:i w:val="0"/>
        </w:rPr>
        <w:t>Existem diversas estratégias para tratamento de outliers. A escolha ideal depende da natureza do dado e do objetivo do modelo. Para o contexto da Melhores Compras, propõem-se as seguintes abordagens, em ordem de preferência:</w:t>
      </w:r>
    </w:p>
    <w:p>
      <w:r>
        <w:rPr>
          <w:b/>
        </w:rPr>
        <w:t>1. Investigação e contextualização (passo obrigatório):</w:t>
        <w:br/>
      </w:r>
      <w:r>
        <w:t>Antes de qualquer tratamento, é essencial verificar se os outliers são erros de entrada de dados (ex.: quantidade = -1.000 ou quantidade = 1.000) ou eventos reais (ex.: compras em grande volume por revendedores). No dataset, foram encontradas quantidades negativas (-1.000) e extremamente altas (1.000), sugerindo possíveis erros de digitação que devem ser investigados.</w:t>
      </w:r>
    </w:p>
    <w:p>
      <w:r>
        <w:rPr>
          <w:b/>
        </w:rPr>
        <w:t>2. Remoção (para erros comprovados):</w:t>
        <w:br/>
      </w:r>
      <w:r>
        <w:t>Registros cujos valores sejam claramente inconsistentes com o domínio do negócio (ex.: quantidade negativa, valor unitário = R$ 0,00) devem ser removidos após validação da equipe de negócio. Cuidado: a remoção deve ser documentada e não deve reduzir o dataset de forma prejudicial ao modelo.</w:t>
      </w:r>
    </w:p>
    <w:p>
      <w:r>
        <w:rPr>
          <w:b/>
        </w:rPr>
        <w:t>3. Winsorização / Capping (para distribuições com caudas longas):</w:t>
        <w:br/>
      </w:r>
      <w:r>
        <w:t>Substituir valores extremos pelos percentis limites (ex.: P1 e P99). Essa técnica preserva a linha no dataset enquanto suaviza o impacto dos extremos no treinamento do modelo, sendo recomendada para variáveis como valor_comissao e lucro_liquido, que apresentam caudas muito longas.</w:t>
      </w:r>
    </w:p>
    <w:p>
      <w:r>
        <w:rPr>
          <w:b/>
        </w:rPr>
        <w:t>4. Transformação logarítmica (para variáveis fortemente assimétricas):</w:t>
        <w:br/>
      </w:r>
      <w:r>
        <w:t>Aplicar log(1 + x) nas variáveis monetárias (valor, valor_total_bruto, lucro_liquido) comprime a escala e reduz a influência de valores extremos, melhorando o desempenho de modelos lineares.</w:t>
      </w:r>
    </w:p>
    <w:p>
      <w:r>
        <w:rPr>
          <w:b/>
        </w:rPr>
        <w:t>5. Imputação pela mediana (para outliers em variáveis com missings):</w:t>
        <w:br/>
      </w:r>
      <w:r>
        <w:t>Para variáveis como valor (99.673 valores nulos após conversão), recomenda-se imputar a mediana por categoria de produto, evitando distorção causada por outliers que afetariam a média.</w:t>
      </w:r>
    </w:p>
    <w:p/>
    <w:p>
      <w:r>
        <w:rPr>
          <w:b w:val="0"/>
          <w:i w:val="0"/>
        </w:rPr>
        <w:t>Recomendação final: para o modelo preditivo da Melhores Compras, a estratégia recomendada é (1) investigar e documentar os outliers com a equipe de negócio, (2) remover erros evidentes de digitação, e (3) aplicar winsorização nos percentis 1% e 99% nas variáveis monetárias antes do treinamento do modelo. Toda transformação deve ser registrada no pipeline de preparação dos dados para garantir rastreabilidade e reprodutibilidade.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