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36207" w14:textId="706AB0D7" w:rsidR="004A3952" w:rsidRDefault="004A3952" w:rsidP="004A3952">
      <w:pPr>
        <w:spacing w:line="360" w:lineRule="auto"/>
        <w:rPr>
          <w:rFonts w:ascii="Calibri" w:eastAsia="Calibri" w:hAnsi="Calibri" w:cs="Calibri"/>
        </w:rPr>
      </w:pPr>
      <w:r w:rsidRPr="00B30FD2">
        <w:rPr>
          <w:rFonts w:ascii="Calibri" w:eastAsia="Calibri" w:hAnsi="Calibri" w:cs="Calibri"/>
          <w:b/>
        </w:rPr>
        <w:t xml:space="preserve">NOME: </w:t>
      </w:r>
      <w:r w:rsidR="00A373B0">
        <w:rPr>
          <w:rFonts w:ascii="Calibri" w:eastAsia="Calibri" w:hAnsi="Calibri" w:cs="Calibri"/>
        </w:rPr>
        <w:t>Manual de Boas Práticas: Fechamento de Teto.</w:t>
      </w:r>
    </w:p>
    <w:p w14:paraId="480F0A43" w14:textId="387152EF" w:rsidR="002D0BE4" w:rsidRPr="002D0BE4" w:rsidRDefault="002D0BE4" w:rsidP="004A3952">
      <w:pPr>
        <w:spacing w:line="360" w:lineRule="auto"/>
        <w:rPr>
          <w:rFonts w:ascii="Calibri" w:eastAsia="Calibri" w:hAnsi="Calibri" w:cs="Calibri"/>
          <w:b/>
        </w:rPr>
      </w:pPr>
      <w:r>
        <w:rPr>
          <w:rFonts w:ascii="Calibri" w:eastAsia="Calibri" w:hAnsi="Calibri" w:cs="Calibri"/>
          <w:b/>
        </w:rPr>
        <w:t xml:space="preserve">AUTOR: </w:t>
      </w:r>
      <w:r>
        <w:rPr>
          <w:rFonts w:ascii="Calibri" w:eastAsia="Calibri" w:hAnsi="Calibri" w:cs="Calibri"/>
        </w:rPr>
        <w:t>Raquel Faria Nunes</w:t>
      </w:r>
    </w:p>
    <w:p w14:paraId="5A949D27" w14:textId="0DF3A268" w:rsidR="004A3952" w:rsidRPr="00B30FD2" w:rsidRDefault="004A3952" w:rsidP="004A3952">
      <w:pPr>
        <w:spacing w:line="360" w:lineRule="auto"/>
        <w:rPr>
          <w:rFonts w:ascii="Calibri" w:eastAsia="Calibri" w:hAnsi="Calibri" w:cs="Calibri"/>
        </w:rPr>
      </w:pPr>
      <w:r>
        <w:rPr>
          <w:rFonts w:ascii="Calibri" w:eastAsia="Calibri" w:hAnsi="Calibri" w:cs="Calibri"/>
          <w:b/>
        </w:rPr>
        <w:t>ESCOPO:</w:t>
      </w:r>
      <w:r>
        <w:rPr>
          <w:rFonts w:ascii="Calibri" w:eastAsia="Calibri" w:hAnsi="Calibri" w:cs="Calibri"/>
        </w:rPr>
        <w:t xml:space="preserve"> </w:t>
      </w:r>
      <w:r w:rsidR="00A373B0">
        <w:rPr>
          <w:rFonts w:ascii="Calibri" w:eastAsia="Calibri" w:hAnsi="Calibri" w:cs="Calibri"/>
        </w:rPr>
        <w:t>Manual de orientação de boas práticas para execução das atividades de Fechamento de Teto MAC, com instrutivos e documentação de código.</w:t>
      </w:r>
      <w:bookmarkStart w:id="0" w:name="_GoBack"/>
      <w:bookmarkEnd w:id="0"/>
    </w:p>
    <w:p w14:paraId="33921159" w14:textId="0482669B" w:rsidR="00A373B0" w:rsidRDefault="004A3952" w:rsidP="004A3952">
      <w:pPr>
        <w:spacing w:line="360" w:lineRule="auto"/>
        <w:rPr>
          <w:rFonts w:ascii="Calibri" w:eastAsia="Calibri" w:hAnsi="Calibri" w:cs="Calibri"/>
        </w:rPr>
      </w:pPr>
      <w:r>
        <w:rPr>
          <w:rFonts w:ascii="Calibri" w:eastAsia="Calibri" w:hAnsi="Calibri" w:cs="Calibri"/>
          <w:b/>
        </w:rPr>
        <w:t>RESPONSABILIDADE:</w:t>
      </w:r>
      <w:r>
        <w:rPr>
          <w:rFonts w:ascii="Calibri" w:eastAsia="Calibri" w:hAnsi="Calibri" w:cs="Calibri"/>
        </w:rPr>
        <w:t xml:space="preserve"> </w:t>
      </w:r>
    </w:p>
    <w:p w14:paraId="19A6FC9C" w14:textId="67A48346" w:rsidR="00A373B0" w:rsidRPr="00A373B0" w:rsidRDefault="00A373B0" w:rsidP="004A3952">
      <w:pPr>
        <w:spacing w:line="360" w:lineRule="auto"/>
        <w:rPr>
          <w:rFonts w:ascii="Calibri" w:eastAsia="Calibri" w:hAnsi="Calibri" w:cs="Calibri"/>
        </w:rPr>
      </w:pPr>
      <w:r>
        <w:rPr>
          <w:rFonts w:ascii="Calibri" w:eastAsia="Calibri" w:hAnsi="Calibri" w:cs="Calibri"/>
          <w:b/>
        </w:rPr>
        <w:t xml:space="preserve">REQUISITOS: </w:t>
      </w:r>
      <w:r>
        <w:rPr>
          <w:rFonts w:ascii="Calibri" w:eastAsia="Calibri" w:hAnsi="Calibri" w:cs="Calibri"/>
        </w:rPr>
        <w:t>Conhecimento da Regra de Negócio de Programação de Recursos Federais para os municípios do Estado de Minas Gerais, conhecimentos dos fundamentos de programação em SQL com aplicabilidade em Access.</w:t>
      </w:r>
    </w:p>
    <w:p w14:paraId="11EEE626" w14:textId="77777777" w:rsidR="00A373B0" w:rsidRPr="00DE3C3C" w:rsidRDefault="00A373B0" w:rsidP="004A3952">
      <w:pPr>
        <w:spacing w:line="360" w:lineRule="auto"/>
        <w:rPr>
          <w:rFonts w:ascii="Calibri" w:eastAsia="Calibri" w:hAnsi="Calibri" w:cs="Calibri"/>
        </w:rPr>
      </w:pPr>
    </w:p>
    <w:p w14:paraId="0AE1974F" w14:textId="3F40D82E" w:rsidR="00EB792A" w:rsidRDefault="00706151" w:rsidP="004A7F50">
      <w:pPr>
        <w:pBdr>
          <w:top w:val="nil"/>
          <w:left w:val="nil"/>
          <w:bottom w:val="nil"/>
          <w:right w:val="nil"/>
          <w:between w:val="nil"/>
        </w:pBdr>
        <w:spacing w:after="120"/>
        <w:ind w:left="360" w:firstLine="360"/>
        <w:jc w:val="center"/>
        <w:rPr>
          <w:rFonts w:ascii="Calibri" w:eastAsia="Calibri" w:hAnsi="Calibri" w:cs="Calibri"/>
          <w:b/>
          <w:sz w:val="32"/>
          <w:szCs w:val="32"/>
        </w:rPr>
      </w:pPr>
      <w:r w:rsidRPr="007B5FA2">
        <w:rPr>
          <w:rFonts w:ascii="Calibri" w:eastAsia="Calibri" w:hAnsi="Calibri" w:cs="Calibri"/>
          <w:b/>
          <w:sz w:val="32"/>
          <w:szCs w:val="32"/>
        </w:rPr>
        <w:t>O F</w:t>
      </w:r>
      <w:r w:rsidR="004A7F50">
        <w:rPr>
          <w:rFonts w:ascii="Calibri" w:eastAsia="Calibri" w:hAnsi="Calibri" w:cs="Calibri"/>
          <w:b/>
          <w:sz w:val="32"/>
          <w:szCs w:val="32"/>
        </w:rPr>
        <w:t>ECHAMENTO DE TETO E O BANCO PPI</w:t>
      </w:r>
    </w:p>
    <w:p w14:paraId="35B223F8" w14:textId="77777777" w:rsidR="004A7F50" w:rsidRPr="004A7F50" w:rsidRDefault="004A7F50" w:rsidP="004A7F50">
      <w:pPr>
        <w:pBdr>
          <w:top w:val="nil"/>
          <w:left w:val="nil"/>
          <w:bottom w:val="nil"/>
          <w:right w:val="nil"/>
          <w:between w:val="nil"/>
        </w:pBdr>
        <w:spacing w:after="120"/>
        <w:ind w:left="360" w:firstLine="360"/>
        <w:jc w:val="center"/>
        <w:rPr>
          <w:rFonts w:ascii="Calibri" w:eastAsia="Calibri" w:hAnsi="Calibri" w:cs="Calibri"/>
          <w:b/>
          <w:sz w:val="32"/>
          <w:szCs w:val="32"/>
        </w:rPr>
      </w:pPr>
    </w:p>
    <w:p w14:paraId="0B7677B0" w14:textId="4E4A7B2D" w:rsidR="00EB792A" w:rsidRPr="007B5FA2" w:rsidRDefault="00E9586D" w:rsidP="00E9586D">
      <w:pPr>
        <w:spacing w:after="120" w:line="360" w:lineRule="auto"/>
        <w:jc w:val="both"/>
        <w:rPr>
          <w:rFonts w:ascii="Calibri" w:eastAsia="Calibri" w:hAnsi="Calibri" w:cs="Calibri"/>
          <w:b/>
          <w:sz w:val="28"/>
          <w:szCs w:val="28"/>
        </w:rPr>
      </w:pPr>
      <w:r>
        <w:rPr>
          <w:rFonts w:ascii="Calibri" w:eastAsia="Calibri" w:hAnsi="Calibri" w:cs="Calibri"/>
          <w:b/>
        </w:rPr>
        <w:tab/>
      </w:r>
      <w:r w:rsidRPr="007B5FA2">
        <w:rPr>
          <w:rFonts w:ascii="Calibri" w:eastAsia="Calibri" w:hAnsi="Calibri" w:cs="Calibri"/>
          <w:b/>
          <w:sz w:val="28"/>
          <w:szCs w:val="28"/>
        </w:rPr>
        <w:t>Introdução</w:t>
      </w:r>
    </w:p>
    <w:p w14:paraId="6EB4D8D9" w14:textId="77777777" w:rsidR="00706151" w:rsidRDefault="00706151" w:rsidP="00E9586D">
      <w:pPr>
        <w:pBdr>
          <w:top w:val="nil"/>
          <w:left w:val="nil"/>
          <w:bottom w:val="nil"/>
          <w:right w:val="nil"/>
          <w:between w:val="nil"/>
        </w:pBdr>
        <w:spacing w:after="120" w:line="360" w:lineRule="auto"/>
        <w:ind w:firstLine="708"/>
        <w:jc w:val="both"/>
        <w:rPr>
          <w:rFonts w:ascii="Calibri" w:eastAsia="Calibri" w:hAnsi="Calibri" w:cs="Calibri"/>
        </w:rPr>
      </w:pPr>
      <w:r>
        <w:rPr>
          <w:rFonts w:ascii="Calibri" w:eastAsia="Calibri" w:hAnsi="Calibri" w:cs="Calibri"/>
        </w:rPr>
        <w:t xml:space="preserve">A PPI/MG, desde sua implantação, desenvolve mensalmente o processo de retroalimentação de dados junto ao Ministério da Saúde. Este processo é chamado de “Fechamento de Teto”. Envolve a consolidação das Portarias Ministeriais, Remanejamentos e Deliberações CIB/SUS-MG, além dos eventuais acertos decorrentes de apurações de produção. A SES/MG tem como rotina a programação de Portarias Ministeriais por meio de sua aplicação literal ou através de Deliberação CIB/SUS-MG. Consolidados os lançamentos e conferências efetuadas, a Diretoria de Programação Pactuada Integrada encaminha para a </w:t>
      </w:r>
      <w:proofErr w:type="spellStart"/>
      <w:r>
        <w:rPr>
          <w:rFonts w:ascii="Calibri" w:eastAsia="Calibri" w:hAnsi="Calibri" w:cs="Calibri"/>
        </w:rPr>
        <w:t>Prodemge</w:t>
      </w:r>
      <w:proofErr w:type="spellEnd"/>
      <w:r>
        <w:rPr>
          <w:rFonts w:ascii="Calibri" w:eastAsia="Calibri" w:hAnsi="Calibri" w:cs="Calibri"/>
        </w:rPr>
        <w:t xml:space="preserve"> e para o Ministério da Saúde os arquivos finais; este acata e publica uma portaria específica, considerando as alterações de teto dos municípios envolvidos, para que a CIB-MG seja documentalmente notificada e prossiga com os fluxos.</w:t>
      </w:r>
    </w:p>
    <w:p w14:paraId="2AEFE1B0" w14:textId="77777777" w:rsidR="00706151" w:rsidRDefault="00706151" w:rsidP="00E9586D">
      <w:pPr>
        <w:pBdr>
          <w:top w:val="nil"/>
          <w:left w:val="nil"/>
          <w:bottom w:val="nil"/>
          <w:right w:val="nil"/>
          <w:between w:val="nil"/>
        </w:pBdr>
        <w:spacing w:after="120" w:line="360" w:lineRule="auto"/>
        <w:ind w:firstLine="708"/>
        <w:jc w:val="both"/>
        <w:rPr>
          <w:sz w:val="20"/>
          <w:szCs w:val="20"/>
        </w:rPr>
      </w:pPr>
    </w:p>
    <w:p w14:paraId="4FB1E34B" w14:textId="77777777" w:rsidR="00706151" w:rsidRDefault="00706151" w:rsidP="0070615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1B408D0" wp14:editId="42C2CA7C">
            <wp:extent cx="5089622" cy="3366049"/>
            <wp:effectExtent l="0" t="0" r="0" b="0"/>
            <wp:docPr id="11" name="image17.png" descr="Forma&#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11" name="image17.png" descr="Forma&#10;&#10;Descrição gerada automaticamente com confiança baixa"/>
                    <pic:cNvPicPr preferRelativeResize="0"/>
                  </pic:nvPicPr>
                  <pic:blipFill>
                    <a:blip r:embed="rId8"/>
                    <a:srcRect/>
                    <a:stretch>
                      <a:fillRect/>
                    </a:stretch>
                  </pic:blipFill>
                  <pic:spPr>
                    <a:xfrm>
                      <a:off x="0" y="0"/>
                      <a:ext cx="5089622" cy="3366049"/>
                    </a:xfrm>
                    <a:prstGeom prst="rect">
                      <a:avLst/>
                    </a:prstGeom>
                    <a:ln/>
                  </pic:spPr>
                </pic:pic>
              </a:graphicData>
            </a:graphic>
          </wp:inline>
        </w:drawing>
      </w:r>
    </w:p>
    <w:p w14:paraId="7669A396" w14:textId="77777777" w:rsidR="00706151" w:rsidRDefault="00706151" w:rsidP="00706151">
      <w:pPr>
        <w:spacing w:after="120" w:line="360" w:lineRule="auto"/>
        <w:jc w:val="both"/>
        <w:rPr>
          <w:rFonts w:ascii="Calibri" w:eastAsia="Calibri" w:hAnsi="Calibri" w:cs="Calibri"/>
          <w:b/>
        </w:rPr>
      </w:pPr>
      <w:r>
        <w:rPr>
          <w:rFonts w:ascii="Calibri" w:eastAsia="Calibri" w:hAnsi="Calibri" w:cs="Calibri"/>
          <w:b/>
        </w:rPr>
        <w:t>Controle do Banco da PPI</w:t>
      </w:r>
    </w:p>
    <w:p w14:paraId="4DB5AE8C" w14:textId="77777777" w:rsidR="00706151" w:rsidRDefault="00706151" w:rsidP="00706151">
      <w:pPr>
        <w:spacing w:after="120" w:line="360" w:lineRule="auto"/>
        <w:ind w:firstLine="720"/>
        <w:jc w:val="both"/>
        <w:rPr>
          <w:rFonts w:ascii="Calibri" w:eastAsia="Calibri" w:hAnsi="Calibri" w:cs="Calibri"/>
        </w:rPr>
      </w:pPr>
      <w:r>
        <w:rPr>
          <w:rFonts w:ascii="Calibri" w:eastAsia="Calibri" w:hAnsi="Calibri" w:cs="Calibri"/>
        </w:rPr>
        <w:t>O Banco da PPI é a ferramenta que mantém todo o histórico das movimentações físico/financeiras do teto MAC/PPI ao longo dos anos desde 2003. O controle é feito mensalmente com a incorporação de novas portarias, remanejamentos, descentralização da gestão para municípios e revisões deliberadas sendo encaminhado ao Ministério da Saúde de acordo com o cronograma de envio de teto do Governo Federal.</w:t>
      </w:r>
    </w:p>
    <w:p w14:paraId="4DF610D8" w14:textId="77777777" w:rsidR="00706151" w:rsidRDefault="00706151" w:rsidP="00706151">
      <w:pPr>
        <w:spacing w:after="120" w:line="36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rPr>
        <w:tab/>
        <w:t>Cabe a DPPI, além do compilado e envio do teto mensal, organizar os dados físicos e financeiros por município de atendimento e origem, assunto, complexidade, modalidade de registro, portaria, remanejamento, deliberação e forma de programação; além disto, é necessário verificar as discrepâncias financeiras ocorridas por alocações erradas, impactos de remanejamentos, “</w:t>
      </w:r>
      <w:proofErr w:type="spellStart"/>
      <w:r>
        <w:rPr>
          <w:rFonts w:ascii="Calibri" w:eastAsia="Calibri" w:hAnsi="Calibri" w:cs="Calibri"/>
        </w:rPr>
        <w:t>plenagens</w:t>
      </w:r>
      <w:proofErr w:type="spellEnd"/>
      <w:r>
        <w:rPr>
          <w:rFonts w:ascii="Calibri" w:eastAsia="Calibri" w:hAnsi="Calibri" w:cs="Calibri"/>
        </w:rPr>
        <w:t xml:space="preserve">” e revisões. </w:t>
      </w:r>
    </w:p>
    <w:p w14:paraId="73F0FC17" w14:textId="77777777" w:rsidR="00706151" w:rsidRDefault="00706151" w:rsidP="00706151">
      <w:pPr>
        <w:spacing w:after="120" w:line="360" w:lineRule="auto"/>
        <w:jc w:val="both"/>
        <w:rPr>
          <w:rFonts w:ascii="Calibri" w:eastAsia="Calibri" w:hAnsi="Calibri" w:cs="Calibri"/>
        </w:rPr>
      </w:pPr>
      <w:r>
        <w:rPr>
          <w:rFonts w:ascii="Calibri" w:eastAsia="Calibri" w:hAnsi="Calibri" w:cs="Calibri"/>
          <w:b/>
        </w:rPr>
        <w:t>Divulgação das metas físicas e financeiras da Programação Pactuada e Integrada</w:t>
      </w:r>
      <w:r>
        <w:rPr>
          <w:rFonts w:ascii="Calibri" w:eastAsia="Calibri" w:hAnsi="Calibri" w:cs="Calibri"/>
        </w:rPr>
        <w:t>:</w:t>
      </w:r>
    </w:p>
    <w:p w14:paraId="29F9EFBD" w14:textId="5B2BEEBF" w:rsidR="00D91A17" w:rsidRDefault="00706151" w:rsidP="00706151">
      <w:pPr>
        <w:spacing w:after="120" w:line="360" w:lineRule="auto"/>
        <w:ind w:firstLine="720"/>
        <w:jc w:val="both"/>
        <w:rPr>
          <w:rFonts w:ascii="Calibri" w:eastAsia="Calibri" w:hAnsi="Calibri" w:cs="Calibri"/>
        </w:rPr>
      </w:pPr>
      <w:r>
        <w:rPr>
          <w:rFonts w:ascii="Calibri" w:eastAsia="Calibri" w:hAnsi="Calibri" w:cs="Calibri"/>
        </w:rPr>
        <w:t>Alimentação mensal e manutenção periódica no site da PPI/MG. No atual cenário</w:t>
      </w:r>
      <w:r w:rsidR="00D91A17">
        <w:rPr>
          <w:rFonts w:ascii="Calibri" w:eastAsia="Calibri" w:hAnsi="Calibri" w:cs="Calibri"/>
        </w:rPr>
        <w:t xml:space="preserve"> é disponibilizado em duas frentes: o sítio eletrônico alocado no servidor da SES e a sua mais nova versão hospedada no servidor da </w:t>
      </w:r>
      <w:proofErr w:type="spellStart"/>
      <w:r w:rsidR="00D91A17">
        <w:rPr>
          <w:rFonts w:ascii="Calibri" w:eastAsia="Calibri" w:hAnsi="Calibri" w:cs="Calibri"/>
        </w:rPr>
        <w:t>Prodemge</w:t>
      </w:r>
      <w:proofErr w:type="spellEnd"/>
      <w:r w:rsidR="00D91A17">
        <w:rPr>
          <w:rFonts w:ascii="Calibri" w:eastAsia="Calibri" w:hAnsi="Calibri" w:cs="Calibri"/>
        </w:rPr>
        <w:t>.</w:t>
      </w:r>
    </w:p>
    <w:p w14:paraId="7F040573" w14:textId="35E55F02" w:rsidR="00706151" w:rsidRDefault="00D91A17" w:rsidP="00706151">
      <w:pPr>
        <w:spacing w:after="120" w:line="360" w:lineRule="auto"/>
        <w:ind w:firstLine="720"/>
        <w:jc w:val="both"/>
        <w:rPr>
          <w:rFonts w:ascii="Calibri" w:eastAsia="Calibri" w:hAnsi="Calibri" w:cs="Calibri"/>
        </w:rPr>
      </w:pPr>
      <w:r>
        <w:rPr>
          <w:rFonts w:ascii="Calibri" w:eastAsia="Calibri" w:hAnsi="Calibri" w:cs="Calibri"/>
        </w:rPr>
        <w:lastRenderedPageBreak/>
        <w:t>O</w:t>
      </w:r>
      <w:r w:rsidR="00706151">
        <w:rPr>
          <w:rFonts w:ascii="Calibri" w:eastAsia="Calibri" w:hAnsi="Calibri" w:cs="Calibri"/>
        </w:rPr>
        <w:t xml:space="preserve"> sítio eletrônico</w:t>
      </w:r>
      <w:r>
        <w:rPr>
          <w:rFonts w:ascii="Calibri" w:eastAsia="Calibri" w:hAnsi="Calibri" w:cs="Calibri"/>
        </w:rPr>
        <w:t xml:space="preserve"> antigo</w:t>
      </w:r>
      <w:r w:rsidR="00706151">
        <w:rPr>
          <w:rFonts w:ascii="Calibri" w:eastAsia="Calibri" w:hAnsi="Calibri" w:cs="Calibri"/>
        </w:rPr>
        <w:t xml:space="preserve"> não consegue expor informações mais detalhadas, garantia de manutenção dos dados, concatenação de dados com outras plataformas e disponibilidade de 24 horas no ar, visto que </w:t>
      </w:r>
      <w:r>
        <w:rPr>
          <w:rFonts w:ascii="Calibri" w:eastAsia="Calibri" w:hAnsi="Calibri" w:cs="Calibri"/>
        </w:rPr>
        <w:t>o</w:t>
      </w:r>
      <w:r w:rsidR="00706151">
        <w:rPr>
          <w:rFonts w:ascii="Calibri" w:eastAsia="Calibri" w:hAnsi="Calibri" w:cs="Calibri"/>
        </w:rPr>
        <w:t xml:space="preserve"> servidor da Sa</w:t>
      </w:r>
      <w:r>
        <w:rPr>
          <w:rFonts w:ascii="Calibri" w:eastAsia="Calibri" w:hAnsi="Calibri" w:cs="Calibri"/>
        </w:rPr>
        <w:t>úde</w:t>
      </w:r>
      <w:r w:rsidR="00706151">
        <w:rPr>
          <w:rFonts w:ascii="Calibri" w:eastAsia="Calibri" w:hAnsi="Calibri" w:cs="Calibri"/>
        </w:rPr>
        <w:t xml:space="preserve"> cai com frequência e não permite que nossos técnicos façam atualizações diretamente no servidor. Para isto, a DPPI se uniu a PRODEMGE para colocar em produção o novo site da PPI/MG no âmbito da PRODEMGE. No momento, encontra-se em </w:t>
      </w:r>
      <w:r>
        <w:rPr>
          <w:rFonts w:ascii="Calibri" w:eastAsia="Calibri" w:hAnsi="Calibri" w:cs="Calibri"/>
        </w:rPr>
        <w:t xml:space="preserve">pleno funcionamento, com ajustes finais sendo executados </w:t>
      </w:r>
      <w:proofErr w:type="gramStart"/>
      <w:r>
        <w:rPr>
          <w:rFonts w:ascii="Calibri" w:eastAsia="Calibri" w:hAnsi="Calibri" w:cs="Calibri"/>
        </w:rPr>
        <w:t>a</w:t>
      </w:r>
      <w:proofErr w:type="gramEnd"/>
      <w:r>
        <w:rPr>
          <w:rFonts w:ascii="Calibri" w:eastAsia="Calibri" w:hAnsi="Calibri" w:cs="Calibri"/>
        </w:rPr>
        <w:t xml:space="preserve"> medida que sã</w:t>
      </w:r>
      <w:r w:rsidR="00D3174D">
        <w:rPr>
          <w:rFonts w:ascii="Calibri" w:eastAsia="Calibri" w:hAnsi="Calibri" w:cs="Calibri"/>
        </w:rPr>
        <w:t>o encontradas inconformidades</w:t>
      </w:r>
      <w:r w:rsidR="00706151">
        <w:rPr>
          <w:rFonts w:ascii="Calibri" w:eastAsia="Calibri" w:hAnsi="Calibri" w:cs="Calibri"/>
        </w:rPr>
        <w:t>.</w:t>
      </w:r>
    </w:p>
    <w:p w14:paraId="5851F9CC" w14:textId="537EEB56" w:rsidR="00706151" w:rsidRDefault="00D3174D" w:rsidP="00706151">
      <w:pPr>
        <w:spacing w:after="120" w:line="360" w:lineRule="auto"/>
        <w:jc w:val="both"/>
        <w:rPr>
          <w:rFonts w:ascii="Calibri" w:eastAsia="Calibri" w:hAnsi="Calibri" w:cs="Calibri"/>
          <w:b/>
        </w:rPr>
      </w:pPr>
      <w:r>
        <w:rPr>
          <w:rFonts w:ascii="Calibri" w:eastAsia="Calibri" w:hAnsi="Calibri" w:cs="Calibri"/>
          <w:b/>
        </w:rPr>
        <w:t xml:space="preserve">Alimentação do </w:t>
      </w:r>
      <w:proofErr w:type="spellStart"/>
      <w:r>
        <w:rPr>
          <w:rFonts w:ascii="Calibri" w:eastAsia="Calibri" w:hAnsi="Calibri" w:cs="Calibri"/>
          <w:b/>
        </w:rPr>
        <w:t>SUSF</w:t>
      </w:r>
      <w:r w:rsidR="00706151">
        <w:rPr>
          <w:rFonts w:ascii="Calibri" w:eastAsia="Calibri" w:hAnsi="Calibri" w:cs="Calibri"/>
          <w:b/>
        </w:rPr>
        <w:t>ácilMG</w:t>
      </w:r>
      <w:proofErr w:type="spellEnd"/>
      <w:r w:rsidR="00706151">
        <w:rPr>
          <w:rFonts w:ascii="Calibri" w:eastAsia="Calibri" w:hAnsi="Calibri" w:cs="Calibri"/>
          <w:b/>
        </w:rPr>
        <w:t>:</w:t>
      </w:r>
    </w:p>
    <w:p w14:paraId="5BE8EC09" w14:textId="64263E70" w:rsidR="00706151" w:rsidRDefault="00706151" w:rsidP="00706151">
      <w:pPr>
        <w:spacing w:after="120" w:line="360" w:lineRule="auto"/>
        <w:ind w:firstLine="720"/>
        <w:jc w:val="both"/>
        <w:rPr>
          <w:rFonts w:ascii="Calibri" w:eastAsia="Calibri" w:hAnsi="Calibri" w:cs="Calibri"/>
        </w:rPr>
      </w:pPr>
      <w:r>
        <w:rPr>
          <w:rFonts w:ascii="Calibri" w:eastAsia="Calibri" w:hAnsi="Calibri" w:cs="Calibri"/>
        </w:rPr>
        <w:t>Mensalmente, após o fechamento do teto, a DPPI envia para a PRODEMGE o banco de dados contendo as metas físicas, município de atendimento e origem por especialidade e co</w:t>
      </w:r>
      <w:r w:rsidR="00D3174D">
        <w:rPr>
          <w:rFonts w:ascii="Calibri" w:eastAsia="Calibri" w:hAnsi="Calibri" w:cs="Calibri"/>
        </w:rPr>
        <w:t xml:space="preserve">mplexidade para alimentar o </w:t>
      </w:r>
      <w:proofErr w:type="spellStart"/>
      <w:r w:rsidR="00D3174D">
        <w:rPr>
          <w:rFonts w:ascii="Calibri" w:eastAsia="Calibri" w:hAnsi="Calibri" w:cs="Calibri"/>
        </w:rPr>
        <w:t>SUSF</w:t>
      </w:r>
      <w:r>
        <w:rPr>
          <w:rFonts w:ascii="Calibri" w:eastAsia="Calibri" w:hAnsi="Calibri" w:cs="Calibri"/>
        </w:rPr>
        <w:t>ácilMG</w:t>
      </w:r>
      <w:proofErr w:type="spellEnd"/>
      <w:r>
        <w:rPr>
          <w:rFonts w:ascii="Calibri" w:eastAsia="Calibri" w:hAnsi="Calibri" w:cs="Calibri"/>
        </w:rPr>
        <w:t>.</w:t>
      </w:r>
    </w:p>
    <w:p w14:paraId="709E653D" w14:textId="77777777" w:rsidR="00706151" w:rsidRDefault="00706151">
      <w:pPr>
        <w:jc w:val="center"/>
        <w:rPr>
          <w:b/>
          <w:sz w:val="28"/>
          <w:szCs w:val="28"/>
        </w:rPr>
      </w:pPr>
    </w:p>
    <w:p w14:paraId="48F577B2" w14:textId="0058ECF4" w:rsidR="00C87E24" w:rsidRPr="00C87E24" w:rsidRDefault="00C87E24" w:rsidP="007B5FA2">
      <w:pPr>
        <w:spacing w:after="200" w:line="360" w:lineRule="auto"/>
        <w:rPr>
          <w:rFonts w:ascii="Calibri" w:eastAsia="Calibri" w:hAnsi="Calibri" w:cs="Calibri"/>
          <w:b/>
          <w:sz w:val="28"/>
          <w:szCs w:val="28"/>
        </w:rPr>
      </w:pPr>
      <w:r w:rsidRPr="00C87E24">
        <w:rPr>
          <w:rFonts w:ascii="Calibri" w:eastAsia="Calibri" w:hAnsi="Calibri" w:cs="Calibri"/>
          <w:b/>
          <w:sz w:val="28"/>
          <w:szCs w:val="28"/>
        </w:rPr>
        <w:t>T</w:t>
      </w:r>
      <w:r w:rsidR="007B5FA2">
        <w:rPr>
          <w:rFonts w:ascii="Calibri" w:eastAsia="Calibri" w:hAnsi="Calibri" w:cs="Calibri"/>
          <w:b/>
          <w:sz w:val="28"/>
          <w:szCs w:val="28"/>
        </w:rPr>
        <w:t>abelas</w:t>
      </w:r>
    </w:p>
    <w:p w14:paraId="43C310FA" w14:textId="37F4E4AC" w:rsidR="00955666" w:rsidRDefault="00DD0751" w:rsidP="00E9586D">
      <w:pPr>
        <w:spacing w:after="200" w:line="360" w:lineRule="auto"/>
        <w:jc w:val="both"/>
        <w:rPr>
          <w:rFonts w:ascii="Calibri" w:eastAsia="Calibri" w:hAnsi="Calibri" w:cs="Calibri"/>
          <w:b/>
        </w:rPr>
      </w:pPr>
      <w:r>
        <w:rPr>
          <w:rFonts w:ascii="Calibri" w:eastAsia="Calibri" w:hAnsi="Calibri" w:cs="Calibri"/>
          <w:b/>
        </w:rPr>
        <w:t>Tabelas que alimentam o programa SFT:</w:t>
      </w:r>
    </w:p>
    <w:p w14:paraId="61E508A6" w14:textId="77777777" w:rsidR="00C87E24" w:rsidRPr="008452F3" w:rsidRDefault="00C87E24" w:rsidP="00C87E24">
      <w:pPr>
        <w:spacing w:after="160" w:line="360" w:lineRule="auto"/>
        <w:ind w:firstLine="709"/>
        <w:jc w:val="both"/>
        <w:rPr>
          <w:rFonts w:ascii="Calibri" w:eastAsia="Calibri" w:hAnsi="Calibri" w:cs="Calibri"/>
        </w:rPr>
      </w:pPr>
      <w:r w:rsidRPr="008452F3">
        <w:rPr>
          <w:rFonts w:ascii="Calibri" w:eastAsia="Calibri" w:hAnsi="Calibri" w:cs="Calibri"/>
        </w:rPr>
        <w:t xml:space="preserve">A tabela </w:t>
      </w:r>
      <w:r w:rsidRPr="008452F3">
        <w:rPr>
          <w:rFonts w:ascii="Calibri" w:eastAsia="Calibri" w:hAnsi="Calibri" w:cs="Calibri"/>
          <w:b/>
        </w:rPr>
        <w:t>RMN (Remanejamento)</w:t>
      </w:r>
      <w:r w:rsidRPr="008452F3">
        <w:rPr>
          <w:rFonts w:ascii="Calibri" w:eastAsia="Calibri" w:hAnsi="Calibri" w:cs="Calibri"/>
        </w:rPr>
        <w:t xml:space="preserve"> registra os dados oriundos dos remanejamentos manuais que definem novas programações e alterações de metas físicas e financeiras. Nesta tabela também são registradas as movimentações decorrentes das descentralizações dos municípios. Ao fim do processamento, ela irá gerar duas tabelas chamadas </w:t>
      </w:r>
      <w:proofErr w:type="spellStart"/>
      <w:r w:rsidRPr="008452F3">
        <w:rPr>
          <w:rFonts w:ascii="Calibri" w:eastAsia="Calibri" w:hAnsi="Calibri" w:cs="Calibri"/>
        </w:rPr>
        <w:t>tbRemanejamento</w:t>
      </w:r>
      <w:proofErr w:type="spellEnd"/>
      <w:r w:rsidRPr="008452F3">
        <w:rPr>
          <w:rFonts w:ascii="Calibri" w:eastAsia="Calibri" w:hAnsi="Calibri" w:cs="Calibri"/>
        </w:rPr>
        <w:t xml:space="preserve"> e </w:t>
      </w:r>
      <w:proofErr w:type="spellStart"/>
      <w:r w:rsidRPr="008452F3">
        <w:rPr>
          <w:rFonts w:ascii="Calibri" w:eastAsia="Calibri" w:hAnsi="Calibri" w:cs="Calibri"/>
        </w:rPr>
        <w:t>txRemanejamento</w:t>
      </w:r>
      <w:proofErr w:type="spellEnd"/>
      <w:r w:rsidRPr="008452F3">
        <w:rPr>
          <w:rFonts w:ascii="Calibri" w:eastAsia="Calibri" w:hAnsi="Calibri" w:cs="Calibri"/>
        </w:rPr>
        <w:t>, que é o histórico de movimentações realizadas dentro daquela competência.</w:t>
      </w:r>
    </w:p>
    <w:p w14:paraId="2A89B314" w14:textId="77777777" w:rsidR="00C87E24" w:rsidRPr="008452F3" w:rsidRDefault="00C87E24" w:rsidP="00C87E24">
      <w:pPr>
        <w:spacing w:after="160" w:line="360" w:lineRule="auto"/>
        <w:ind w:firstLine="709"/>
        <w:jc w:val="both"/>
        <w:rPr>
          <w:rFonts w:ascii="Calibri" w:eastAsia="Calibri" w:hAnsi="Calibri" w:cs="Calibri"/>
        </w:rPr>
      </w:pPr>
      <w:r w:rsidRPr="008452F3">
        <w:rPr>
          <w:rFonts w:ascii="Calibri" w:eastAsia="Calibri" w:hAnsi="Calibri" w:cs="Calibri"/>
        </w:rPr>
        <w:t xml:space="preserve">A tabela </w:t>
      </w:r>
      <w:r w:rsidRPr="008452F3">
        <w:rPr>
          <w:rFonts w:ascii="Calibri" w:eastAsia="Calibri" w:hAnsi="Calibri" w:cs="Calibri"/>
          <w:b/>
        </w:rPr>
        <w:t>MNUT (Manutenção)</w:t>
      </w:r>
      <w:r w:rsidRPr="008452F3">
        <w:rPr>
          <w:rFonts w:ascii="Calibri" w:eastAsia="Calibri" w:hAnsi="Calibri" w:cs="Calibri"/>
        </w:rPr>
        <w:t xml:space="preserve"> é uma tabela para manutenção das tabelas. É preenchida manualmente e utilizada pelo Sistema de Fechamento para inserir e alterar qualquer tabela que compõem o Banco Oficial PPI. As alterações são orientadas pelos códigos de </w:t>
      </w:r>
      <w:proofErr w:type="spellStart"/>
      <w:r w:rsidRPr="008452F3">
        <w:rPr>
          <w:rFonts w:ascii="Calibri" w:eastAsia="Calibri" w:hAnsi="Calibri" w:cs="Calibri"/>
        </w:rPr>
        <w:t>SeparaRemanejamento</w:t>
      </w:r>
      <w:proofErr w:type="spellEnd"/>
      <w:r w:rsidRPr="008452F3">
        <w:rPr>
          <w:rFonts w:ascii="Calibri" w:eastAsia="Calibri" w:hAnsi="Calibri" w:cs="Calibri"/>
        </w:rPr>
        <w:t xml:space="preserve"> e Documento para permitir um histórico de movimentação e alteração.</w:t>
      </w:r>
    </w:p>
    <w:p w14:paraId="7FA7D9E2" w14:textId="77777777" w:rsidR="00C87E24" w:rsidRPr="008452F3" w:rsidRDefault="00C87E24" w:rsidP="00C87E24">
      <w:pPr>
        <w:spacing w:after="160" w:line="360" w:lineRule="auto"/>
        <w:ind w:firstLine="709"/>
        <w:jc w:val="both"/>
        <w:rPr>
          <w:rFonts w:ascii="Calibri" w:eastAsia="Calibri" w:hAnsi="Calibri" w:cs="Calibri"/>
        </w:rPr>
      </w:pPr>
      <w:r w:rsidRPr="008452F3">
        <w:rPr>
          <w:rFonts w:ascii="Calibri" w:eastAsia="Calibri" w:hAnsi="Calibri" w:cs="Calibri"/>
        </w:rPr>
        <w:t xml:space="preserve">A tabela </w:t>
      </w:r>
      <w:r w:rsidRPr="008452F3">
        <w:rPr>
          <w:rFonts w:ascii="Calibri" w:eastAsia="Calibri" w:hAnsi="Calibri" w:cs="Calibri"/>
          <w:b/>
        </w:rPr>
        <w:t>PTSM (Portarias SISMAC)</w:t>
      </w:r>
      <w:r w:rsidRPr="008452F3">
        <w:rPr>
          <w:rFonts w:ascii="Calibri" w:eastAsia="Calibri" w:hAnsi="Calibri" w:cs="Calibri"/>
        </w:rPr>
        <w:t xml:space="preserve"> é o retrato exato do Relatório de Portarias que o SISMAC fornece ao pesquisar as portarias publicadas para o Estado de Minas Gerais. Apresenta um consolidado de informações sobre as novas portarias incluídas, portarias com valores alterados e aquelas que foram desativadas. Ou seja, o quanto de dinheiro que o Ministério da Saúde está alocando para Minas Gerais.</w:t>
      </w:r>
    </w:p>
    <w:p w14:paraId="655EA836" w14:textId="77777777" w:rsidR="00C87E24" w:rsidRPr="008452F3" w:rsidRDefault="00C87E24" w:rsidP="00C87E24">
      <w:pPr>
        <w:spacing w:after="160" w:line="360" w:lineRule="auto"/>
        <w:ind w:firstLine="709"/>
        <w:jc w:val="both"/>
        <w:rPr>
          <w:rFonts w:ascii="Calibri" w:eastAsia="Calibri" w:hAnsi="Calibri" w:cs="Calibri"/>
        </w:rPr>
      </w:pPr>
      <w:r w:rsidRPr="008452F3">
        <w:rPr>
          <w:rFonts w:ascii="Calibri" w:eastAsia="Calibri" w:hAnsi="Calibri" w:cs="Calibri"/>
        </w:rPr>
        <w:lastRenderedPageBreak/>
        <w:t>Ela deve ser um instrumento a ser utilizado para os testes de consistência do Sistema de Fechamento de Teto</w:t>
      </w:r>
      <w:r>
        <w:rPr>
          <w:rFonts w:ascii="Calibri" w:eastAsia="Calibri" w:hAnsi="Calibri" w:cs="Calibri"/>
        </w:rPr>
        <w:t xml:space="preserve">. </w:t>
      </w:r>
      <w:r w:rsidRPr="008452F3">
        <w:rPr>
          <w:rFonts w:ascii="Calibri" w:eastAsia="Calibri" w:hAnsi="Calibri" w:cs="Calibri"/>
        </w:rPr>
        <w:t xml:space="preserve">Por meio dos Testes “PPI x Remanejamento </w:t>
      </w:r>
      <w:proofErr w:type="gramStart"/>
      <w:r w:rsidRPr="008452F3">
        <w:rPr>
          <w:rFonts w:ascii="Calibri" w:eastAsia="Calibri" w:hAnsi="Calibri" w:cs="Calibri"/>
        </w:rPr>
        <w:t>x</w:t>
      </w:r>
      <w:proofErr w:type="gramEnd"/>
      <w:r w:rsidRPr="008452F3">
        <w:rPr>
          <w:rFonts w:ascii="Calibri" w:eastAsia="Calibri" w:hAnsi="Calibri" w:cs="Calibri"/>
        </w:rPr>
        <w:t xml:space="preserve"> Portaria “ e “SISMAC X </w:t>
      </w:r>
      <w:proofErr w:type="spellStart"/>
      <w:r w:rsidRPr="008452F3">
        <w:rPr>
          <w:rFonts w:ascii="Calibri" w:eastAsia="Calibri" w:hAnsi="Calibri" w:cs="Calibri"/>
        </w:rPr>
        <w:t>tbDocumento</w:t>
      </w:r>
      <w:proofErr w:type="spellEnd"/>
      <w:r w:rsidRPr="008452F3">
        <w:rPr>
          <w:rFonts w:ascii="Calibri" w:eastAsia="Calibri" w:hAnsi="Calibri" w:cs="Calibri"/>
        </w:rPr>
        <w:t>”, esta tabela, depois de preenchida, deve ser capaz de confrontar as tabelas Documento, Separa Remanejamento e Remanejamento para identificar se todas as portarias lançadas pelo Ministério da Saúde no site SISMAC encontram-se cadastradas e seus valores atualizados.</w:t>
      </w:r>
    </w:p>
    <w:p w14:paraId="7B681C38" w14:textId="77777777" w:rsidR="00C87E24" w:rsidRDefault="00C87E24" w:rsidP="00C87E24">
      <w:pPr>
        <w:spacing w:after="160" w:line="360" w:lineRule="auto"/>
        <w:ind w:firstLine="709"/>
        <w:jc w:val="both"/>
        <w:rPr>
          <w:rFonts w:ascii="Calibri" w:eastAsia="Calibri" w:hAnsi="Calibri" w:cs="Calibri"/>
        </w:rPr>
      </w:pPr>
      <w:r w:rsidRPr="008452F3">
        <w:rPr>
          <w:rFonts w:ascii="Calibri" w:eastAsia="Calibri" w:hAnsi="Calibri" w:cs="Calibri"/>
        </w:rPr>
        <w:t xml:space="preserve">A tabela </w:t>
      </w:r>
      <w:r w:rsidRPr="008452F3">
        <w:rPr>
          <w:rFonts w:ascii="Calibri" w:eastAsia="Calibri" w:hAnsi="Calibri" w:cs="Calibri"/>
          <w:b/>
        </w:rPr>
        <w:t>QDSM (Quadro SISMAC)</w:t>
      </w:r>
      <w:r w:rsidRPr="008452F3">
        <w:rPr>
          <w:rFonts w:ascii="Calibri" w:eastAsia="Calibri" w:hAnsi="Calibri" w:cs="Calibri"/>
        </w:rPr>
        <w:t xml:space="preserve"> é o retrato dos valores ambulatoriais e hospitalares lançados por municípios na competência em questão. A partir daí estes valores serão testados com o que foi programado no Remanejamento. Ela deve ser um instrumento a ser utilizado para os testes de consistência do Sistema de Fechamento de Teto</w:t>
      </w:r>
      <w:r>
        <w:rPr>
          <w:rFonts w:ascii="Calibri" w:eastAsia="Calibri" w:hAnsi="Calibri" w:cs="Calibri"/>
        </w:rPr>
        <w:t xml:space="preserve">. </w:t>
      </w:r>
      <w:r w:rsidRPr="008452F3">
        <w:rPr>
          <w:rFonts w:ascii="Calibri" w:eastAsia="Calibri" w:hAnsi="Calibri" w:cs="Calibri"/>
        </w:rPr>
        <w:t xml:space="preserve">Por meio do Teste “PPI x Remanejamento </w:t>
      </w:r>
      <w:proofErr w:type="gramStart"/>
      <w:r w:rsidRPr="008452F3">
        <w:rPr>
          <w:rFonts w:ascii="Calibri" w:eastAsia="Calibri" w:hAnsi="Calibri" w:cs="Calibri"/>
        </w:rPr>
        <w:t>x</w:t>
      </w:r>
      <w:proofErr w:type="gramEnd"/>
      <w:r w:rsidRPr="008452F3">
        <w:rPr>
          <w:rFonts w:ascii="Calibri" w:eastAsia="Calibri" w:hAnsi="Calibri" w:cs="Calibri"/>
        </w:rPr>
        <w:t xml:space="preserve"> Portaria”, esta tabela, depois de preenchida, deve ser capaz de confrontar as tabelas Documento, Separa Remanejamento e Remanejamento para identificar se todos os valores cadastrados e remanejados foram lançados corretamente.</w:t>
      </w:r>
    </w:p>
    <w:p w14:paraId="5CF83015" w14:textId="2C506B14" w:rsidR="000D60E4" w:rsidRDefault="00C87E24" w:rsidP="00C87E24">
      <w:pPr>
        <w:spacing w:line="360" w:lineRule="auto"/>
        <w:ind w:firstLine="709"/>
        <w:jc w:val="both"/>
        <w:rPr>
          <w:rFonts w:ascii="Calibri" w:eastAsia="Calibri" w:hAnsi="Calibri" w:cs="Calibri"/>
        </w:rPr>
      </w:pPr>
      <w:r>
        <w:rPr>
          <w:rFonts w:ascii="Calibri" w:eastAsia="Calibri" w:hAnsi="Calibri" w:cs="Calibri"/>
        </w:rPr>
        <w:t xml:space="preserve">Em relação ao </w:t>
      </w:r>
      <w:r w:rsidRPr="008452F3">
        <w:rPr>
          <w:rFonts w:ascii="Calibri" w:eastAsia="Calibri" w:hAnsi="Calibri" w:cs="Calibri"/>
          <w:b/>
        </w:rPr>
        <w:t>GERA</w:t>
      </w:r>
      <w:r>
        <w:rPr>
          <w:rFonts w:ascii="Calibri" w:eastAsia="Calibri" w:hAnsi="Calibri" w:cs="Calibri"/>
        </w:rPr>
        <w:t>, trata-se de um relatório de exportação, gerado pelo GERASUS (</w:t>
      </w:r>
      <w:hyperlink r:id="rId9" w:history="1">
        <w:r w:rsidRPr="00F6730A">
          <w:rPr>
            <w:rStyle w:val="Hyperlink"/>
            <w:rFonts w:ascii="Calibri" w:eastAsia="Calibri" w:hAnsi="Calibri" w:cs="Calibri"/>
          </w:rPr>
          <w:t>http://www.gerasus.saude.mg.gov.br</w:t>
        </w:r>
      </w:hyperlink>
      <w:r>
        <w:rPr>
          <w:rFonts w:ascii="Calibri" w:eastAsia="Calibri" w:hAnsi="Calibri" w:cs="Calibri"/>
        </w:rPr>
        <w:t>), dos remanejamentos automáticos efetuados.</w:t>
      </w:r>
    </w:p>
    <w:p w14:paraId="3173A9EB" w14:textId="7F4FD90B" w:rsidR="00935D9F" w:rsidRDefault="00935D9F">
      <w:pPr>
        <w:spacing w:after="200" w:line="360" w:lineRule="auto"/>
        <w:jc w:val="both"/>
        <w:rPr>
          <w:rFonts w:ascii="Calibri" w:eastAsia="Calibri" w:hAnsi="Calibri" w:cs="Calibri"/>
        </w:rPr>
      </w:pPr>
    </w:p>
    <w:p w14:paraId="3D4A6A86" w14:textId="071D3491" w:rsidR="00935D9F" w:rsidRDefault="009948F8">
      <w:pPr>
        <w:spacing w:after="200" w:line="360" w:lineRule="auto"/>
        <w:jc w:val="both"/>
        <w:rPr>
          <w:rFonts w:ascii="Calibri" w:eastAsia="Calibri" w:hAnsi="Calibri" w:cs="Calibri"/>
          <w:b/>
        </w:rPr>
      </w:pPr>
      <w:r>
        <w:rPr>
          <w:rFonts w:ascii="Calibri" w:eastAsia="Calibri" w:hAnsi="Calibri" w:cs="Calibri"/>
          <w:b/>
        </w:rPr>
        <w:t>Tabelas do Banco de dados da PPI/MG:</w:t>
      </w:r>
    </w:p>
    <w:p w14:paraId="03E71798" w14:textId="77777777" w:rsidR="00DD0751" w:rsidRDefault="00DD0751" w:rsidP="00DD0751">
      <w:pPr>
        <w:spacing w:after="200" w:line="360" w:lineRule="auto"/>
        <w:jc w:val="both"/>
        <w:rPr>
          <w:rFonts w:ascii="Calibri" w:eastAsia="Calibri" w:hAnsi="Calibri" w:cs="Calibri"/>
        </w:rPr>
      </w:pPr>
      <w:r w:rsidRPr="00CC165C">
        <w:rPr>
          <w:rFonts w:ascii="Calibri" w:eastAsia="Calibri" w:hAnsi="Calibri" w:cs="Calibri"/>
          <w:b/>
          <w:bCs/>
        </w:rPr>
        <w:t xml:space="preserve">Tabelas </w:t>
      </w:r>
      <w:r>
        <w:rPr>
          <w:rFonts w:ascii="Calibri" w:eastAsia="Calibri" w:hAnsi="Calibri" w:cs="Calibri"/>
          <w:b/>
          <w:bCs/>
        </w:rPr>
        <w:t>D</w:t>
      </w:r>
      <w:r w:rsidRPr="00CC165C">
        <w:rPr>
          <w:rFonts w:ascii="Calibri" w:eastAsia="Calibri" w:hAnsi="Calibri" w:cs="Calibri"/>
          <w:b/>
          <w:bCs/>
        </w:rPr>
        <w:t>escritivas:</w:t>
      </w:r>
      <w:r>
        <w:rPr>
          <w:rFonts w:ascii="Calibri" w:eastAsia="Calibri" w:hAnsi="Calibri" w:cs="Calibri"/>
        </w:rPr>
        <w:t xml:space="preserve"> voltadas para tradução de códigos de diversas tabelas. Ou seja, o que em outras tabelas aparecerá apenas o código, nesta temos o “significado” de cada código. Logo, se faz importante ter elas abertas durante uma consulta para verificar do que se trata cada código e tornar o resultado mais compreensível.</w:t>
      </w:r>
    </w:p>
    <w:p w14:paraId="5380D9AA" w14:textId="77777777" w:rsidR="00DD0751" w:rsidRDefault="00DD0751" w:rsidP="00DD0751">
      <w:pPr>
        <w:spacing w:after="200" w:line="360" w:lineRule="auto"/>
        <w:jc w:val="both"/>
        <w:rPr>
          <w:rFonts w:ascii="Calibri" w:eastAsia="Calibri" w:hAnsi="Calibri" w:cs="Calibri"/>
        </w:rPr>
      </w:pPr>
      <w:r w:rsidRPr="00CC165C">
        <w:rPr>
          <w:rFonts w:ascii="Calibri" w:eastAsia="Calibri" w:hAnsi="Calibri" w:cs="Calibri"/>
          <w:b/>
          <w:bCs/>
        </w:rPr>
        <w:t xml:space="preserve">Tabelas de </w:t>
      </w:r>
      <w:r>
        <w:rPr>
          <w:rFonts w:ascii="Calibri" w:eastAsia="Calibri" w:hAnsi="Calibri" w:cs="Calibri"/>
          <w:b/>
          <w:bCs/>
        </w:rPr>
        <w:t>D</w:t>
      </w:r>
      <w:r w:rsidRPr="00CC165C">
        <w:rPr>
          <w:rFonts w:ascii="Calibri" w:eastAsia="Calibri" w:hAnsi="Calibri" w:cs="Calibri"/>
          <w:b/>
          <w:bCs/>
        </w:rPr>
        <w:t>ados:</w:t>
      </w:r>
      <w:r>
        <w:rPr>
          <w:rFonts w:ascii="Calibri" w:eastAsia="Calibri" w:hAnsi="Calibri" w:cs="Calibri"/>
        </w:rPr>
        <w:t xml:space="preserve"> contêm informações que, ligadas às tabelas descritivas, retornam informações completas relativas às </w:t>
      </w:r>
      <w:proofErr w:type="spellStart"/>
      <w:r>
        <w:rPr>
          <w:rFonts w:ascii="Calibri" w:eastAsia="Calibri" w:hAnsi="Calibri" w:cs="Calibri"/>
        </w:rPr>
        <w:t>pactuações</w:t>
      </w:r>
      <w:proofErr w:type="spellEnd"/>
      <w:r>
        <w:rPr>
          <w:rFonts w:ascii="Calibri" w:eastAsia="Calibri" w:hAnsi="Calibri" w:cs="Calibri"/>
        </w:rPr>
        <w:t xml:space="preserve"> e/ou alterações na PPI. De forma isolada, é possível ainda obter informações relevantes em uma consulta isolada.</w:t>
      </w:r>
    </w:p>
    <w:p w14:paraId="112B387C" w14:textId="77777777" w:rsidR="00DD0751" w:rsidRDefault="00DD0751" w:rsidP="00DD0751">
      <w:pPr>
        <w:spacing w:after="200" w:line="360" w:lineRule="auto"/>
        <w:jc w:val="both"/>
        <w:rPr>
          <w:rFonts w:ascii="Calibri" w:eastAsia="Calibri" w:hAnsi="Calibri" w:cs="Calibri"/>
        </w:rPr>
      </w:pPr>
      <w:r w:rsidRPr="00CC165C">
        <w:rPr>
          <w:rFonts w:ascii="Calibri" w:eastAsia="Calibri" w:hAnsi="Calibri" w:cs="Calibri"/>
          <w:b/>
          <w:bCs/>
        </w:rPr>
        <w:t xml:space="preserve">Tabelas de </w:t>
      </w:r>
      <w:r>
        <w:rPr>
          <w:rFonts w:ascii="Calibri" w:eastAsia="Calibri" w:hAnsi="Calibri" w:cs="Calibri"/>
          <w:b/>
          <w:bCs/>
        </w:rPr>
        <w:t>C</w:t>
      </w:r>
      <w:r w:rsidRPr="00CC165C">
        <w:rPr>
          <w:rFonts w:ascii="Calibri" w:eastAsia="Calibri" w:hAnsi="Calibri" w:cs="Calibri"/>
          <w:b/>
          <w:bCs/>
        </w:rPr>
        <w:t xml:space="preserve">onexão ou </w:t>
      </w:r>
      <w:r>
        <w:rPr>
          <w:rFonts w:ascii="Calibri" w:eastAsia="Calibri" w:hAnsi="Calibri" w:cs="Calibri"/>
          <w:b/>
          <w:bCs/>
        </w:rPr>
        <w:t>T</w:t>
      </w:r>
      <w:r w:rsidRPr="00CC165C">
        <w:rPr>
          <w:rFonts w:ascii="Calibri" w:eastAsia="Calibri" w:hAnsi="Calibri" w:cs="Calibri"/>
          <w:b/>
          <w:bCs/>
        </w:rPr>
        <w:t>radutoras:</w:t>
      </w:r>
      <w:r>
        <w:rPr>
          <w:rFonts w:ascii="Calibri" w:eastAsia="Calibri" w:hAnsi="Calibri" w:cs="Calibri"/>
        </w:rPr>
        <w:t xml:space="preserve"> fazem a ponte entre tabelas tradutoras e tabelas de dados. Por exemplo, precisamos saber o código da Assistência de um determinado Procedimento ou Forma de Organização. Neste caso, acessamos a </w:t>
      </w:r>
      <w:proofErr w:type="spellStart"/>
      <w:r>
        <w:rPr>
          <w:rFonts w:ascii="Calibri" w:eastAsia="Calibri" w:hAnsi="Calibri" w:cs="Calibri"/>
        </w:rPr>
        <w:t>tbAssistência</w:t>
      </w:r>
      <w:proofErr w:type="spellEnd"/>
      <w:r>
        <w:rPr>
          <w:rFonts w:ascii="Calibri" w:eastAsia="Calibri" w:hAnsi="Calibri" w:cs="Calibri"/>
        </w:rPr>
        <w:t xml:space="preserve">, filtramos o número da FOG ou Procedimento e obtemos a Assistência dele. Com este código em mãos, acessamos a </w:t>
      </w:r>
      <w:proofErr w:type="spellStart"/>
      <w:r>
        <w:rPr>
          <w:rFonts w:ascii="Calibri" w:eastAsia="Calibri" w:hAnsi="Calibri" w:cs="Calibri"/>
        </w:rPr>
        <w:t>tbPpiOficial</w:t>
      </w:r>
      <w:proofErr w:type="spellEnd"/>
      <w:r>
        <w:rPr>
          <w:rFonts w:ascii="Calibri" w:eastAsia="Calibri" w:hAnsi="Calibri" w:cs="Calibri"/>
        </w:rPr>
        <w:t xml:space="preserve"> e visualizamos a </w:t>
      </w:r>
      <w:r>
        <w:rPr>
          <w:rFonts w:ascii="Calibri" w:eastAsia="Calibri" w:hAnsi="Calibri" w:cs="Calibri"/>
        </w:rPr>
        <w:lastRenderedPageBreak/>
        <w:t>programação referente aquele procedimento ou FOG para todos os municípios de origem e atendimento.</w:t>
      </w:r>
    </w:p>
    <w:p w14:paraId="4222ABD6" w14:textId="77777777" w:rsidR="00DD0751" w:rsidRDefault="00DD0751" w:rsidP="00DD0751">
      <w:pPr>
        <w:spacing w:after="200" w:line="360" w:lineRule="auto"/>
        <w:jc w:val="both"/>
        <w:rPr>
          <w:rFonts w:ascii="Calibri" w:eastAsia="Calibri" w:hAnsi="Calibri" w:cs="Calibri"/>
        </w:rPr>
      </w:pPr>
      <w:r w:rsidRPr="00CC165C">
        <w:rPr>
          <w:rFonts w:ascii="Calibri" w:eastAsia="Calibri" w:hAnsi="Calibri" w:cs="Calibri"/>
          <w:b/>
          <w:bCs/>
        </w:rPr>
        <w:t xml:space="preserve">Tabelas de </w:t>
      </w:r>
      <w:r>
        <w:rPr>
          <w:rFonts w:ascii="Calibri" w:eastAsia="Calibri" w:hAnsi="Calibri" w:cs="Calibri"/>
          <w:b/>
          <w:bCs/>
        </w:rPr>
        <w:t>V</w:t>
      </w:r>
      <w:r w:rsidRPr="00CC165C">
        <w:rPr>
          <w:rFonts w:ascii="Calibri" w:eastAsia="Calibri" w:hAnsi="Calibri" w:cs="Calibri"/>
          <w:b/>
          <w:bCs/>
        </w:rPr>
        <w:t>aloração:</w:t>
      </w:r>
      <w:r>
        <w:rPr>
          <w:rFonts w:ascii="Calibri" w:eastAsia="Calibri" w:hAnsi="Calibri" w:cs="Calibri"/>
        </w:rPr>
        <w:t xml:space="preserve"> contêm informações financeiras que, ligadas às tabelas de dados, trazem a valoração dos campos específicos. Sustenta estudos técnicos e apoia a programação para as Redes Assistenciais.</w:t>
      </w:r>
    </w:p>
    <w:p w14:paraId="06764FFC" w14:textId="6EB8ECB7" w:rsidR="00DD0751" w:rsidRDefault="00DD0751">
      <w:pPr>
        <w:spacing w:after="200" w:line="360" w:lineRule="auto"/>
        <w:jc w:val="both"/>
        <w:rPr>
          <w:rFonts w:ascii="Calibri" w:eastAsia="Calibri" w:hAnsi="Calibri" w:cs="Calibri"/>
          <w:b/>
        </w:rPr>
      </w:pPr>
      <w:r>
        <w:rPr>
          <w:rFonts w:ascii="Calibri" w:eastAsia="Calibri" w:hAnsi="Calibri" w:cs="Calibri"/>
        </w:rPr>
        <w:tab/>
        <w:t>No esquema abaixo, podemos visualizar as tabelas separadas em seus respectivos grupos:</w:t>
      </w:r>
    </w:p>
    <w:p w14:paraId="6AE55B76" w14:textId="77777777" w:rsidR="00935D9F" w:rsidRDefault="009948F8" w:rsidP="00DD0751">
      <w:pPr>
        <w:spacing w:after="200" w:line="360" w:lineRule="auto"/>
        <w:jc w:val="center"/>
        <w:rPr>
          <w:rFonts w:ascii="Calibri" w:eastAsia="Calibri" w:hAnsi="Calibri" w:cs="Calibri"/>
        </w:rPr>
      </w:pPr>
      <w:r>
        <w:rPr>
          <w:rFonts w:ascii="Calibri" w:eastAsia="Calibri" w:hAnsi="Calibri" w:cs="Calibri"/>
          <w:noProof/>
        </w:rPr>
        <w:drawing>
          <wp:inline distT="0" distB="0" distL="0" distR="0" wp14:anchorId="67E8DE47" wp14:editId="064DB8D8">
            <wp:extent cx="4781550" cy="31623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781822" cy="3162480"/>
                    </a:xfrm>
                    <a:prstGeom prst="rect">
                      <a:avLst/>
                    </a:prstGeom>
                    <a:ln/>
                  </pic:spPr>
                </pic:pic>
              </a:graphicData>
            </a:graphic>
          </wp:inline>
        </w:drawing>
      </w:r>
    </w:p>
    <w:tbl>
      <w:tblPr>
        <w:tblStyle w:val="Tabelacomgrade"/>
        <w:tblW w:w="0" w:type="auto"/>
        <w:tblLook w:val="04A0" w:firstRow="1" w:lastRow="0" w:firstColumn="1" w:lastColumn="0" w:noHBand="0" w:noVBand="1"/>
      </w:tblPr>
      <w:tblGrid>
        <w:gridCol w:w="3692"/>
        <w:gridCol w:w="5327"/>
      </w:tblGrid>
      <w:tr w:rsidR="009954C9" w:rsidRPr="00BE237C" w14:paraId="7F1F8749" w14:textId="77777777" w:rsidTr="00A373B0">
        <w:trPr>
          <w:trHeight w:val="300"/>
        </w:trPr>
        <w:tc>
          <w:tcPr>
            <w:tcW w:w="2547" w:type="dxa"/>
            <w:noWrap/>
            <w:hideMark/>
          </w:tcPr>
          <w:p w14:paraId="2271BCF0" w14:textId="77777777" w:rsidR="009954C9" w:rsidRPr="00BE237C" w:rsidRDefault="009954C9" w:rsidP="00A373B0">
            <w:pPr>
              <w:jc w:val="center"/>
              <w:rPr>
                <w:b/>
                <w:bCs/>
                <w:sz w:val="20"/>
                <w:szCs w:val="20"/>
              </w:rPr>
            </w:pPr>
            <w:r>
              <w:rPr>
                <w:b/>
                <w:bCs/>
                <w:sz w:val="20"/>
                <w:szCs w:val="20"/>
              </w:rPr>
              <w:t>Tabela</w:t>
            </w:r>
          </w:p>
        </w:tc>
        <w:tc>
          <w:tcPr>
            <w:tcW w:w="5694" w:type="dxa"/>
            <w:noWrap/>
            <w:hideMark/>
          </w:tcPr>
          <w:p w14:paraId="006A0A73" w14:textId="77777777" w:rsidR="009954C9" w:rsidRPr="00BE237C" w:rsidRDefault="009954C9" w:rsidP="00A373B0">
            <w:pPr>
              <w:jc w:val="center"/>
              <w:rPr>
                <w:b/>
                <w:bCs/>
                <w:sz w:val="20"/>
                <w:szCs w:val="20"/>
              </w:rPr>
            </w:pPr>
            <w:r>
              <w:rPr>
                <w:b/>
                <w:bCs/>
                <w:sz w:val="20"/>
                <w:szCs w:val="20"/>
              </w:rPr>
              <w:t>Objetivo</w:t>
            </w:r>
          </w:p>
        </w:tc>
      </w:tr>
      <w:tr w:rsidR="009954C9" w:rsidRPr="00BE237C" w14:paraId="0B5DF605" w14:textId="77777777" w:rsidTr="00A373B0">
        <w:trPr>
          <w:trHeight w:val="900"/>
        </w:trPr>
        <w:tc>
          <w:tcPr>
            <w:tcW w:w="2547" w:type="dxa"/>
            <w:hideMark/>
          </w:tcPr>
          <w:p w14:paraId="7795ED7C" w14:textId="77777777" w:rsidR="009954C9" w:rsidRPr="00BE237C" w:rsidRDefault="009954C9" w:rsidP="00A373B0">
            <w:pPr>
              <w:jc w:val="both"/>
              <w:rPr>
                <w:sz w:val="20"/>
                <w:szCs w:val="20"/>
              </w:rPr>
            </w:pPr>
            <w:proofErr w:type="spellStart"/>
            <w:r w:rsidRPr="00BE237C">
              <w:rPr>
                <w:sz w:val="20"/>
                <w:szCs w:val="20"/>
              </w:rPr>
              <w:t>tbAnaliseTecnica</w:t>
            </w:r>
            <w:proofErr w:type="spellEnd"/>
          </w:p>
        </w:tc>
        <w:tc>
          <w:tcPr>
            <w:tcW w:w="5694" w:type="dxa"/>
            <w:hideMark/>
          </w:tcPr>
          <w:p w14:paraId="4DC4A0E9" w14:textId="77777777" w:rsidR="009954C9" w:rsidRPr="00BE237C" w:rsidRDefault="009954C9" w:rsidP="00A373B0">
            <w:pPr>
              <w:jc w:val="both"/>
              <w:rPr>
                <w:sz w:val="20"/>
                <w:szCs w:val="20"/>
              </w:rPr>
            </w:pPr>
            <w:r w:rsidRPr="00BE237C">
              <w:rPr>
                <w:sz w:val="20"/>
                <w:szCs w:val="20"/>
              </w:rPr>
              <w:t>Define as Redes Assistenciais que emitem parecer quanto a programação por especialidade</w:t>
            </w:r>
          </w:p>
        </w:tc>
      </w:tr>
      <w:tr w:rsidR="009954C9" w:rsidRPr="00BE237C" w14:paraId="0F78E179" w14:textId="77777777" w:rsidTr="00A373B0">
        <w:trPr>
          <w:trHeight w:val="2400"/>
        </w:trPr>
        <w:tc>
          <w:tcPr>
            <w:tcW w:w="2547" w:type="dxa"/>
            <w:hideMark/>
          </w:tcPr>
          <w:p w14:paraId="2EB3DC75" w14:textId="77777777" w:rsidR="009954C9" w:rsidRPr="00BE237C" w:rsidRDefault="009954C9" w:rsidP="00A373B0">
            <w:pPr>
              <w:jc w:val="both"/>
              <w:rPr>
                <w:sz w:val="20"/>
                <w:szCs w:val="20"/>
              </w:rPr>
            </w:pPr>
            <w:proofErr w:type="spellStart"/>
            <w:r w:rsidRPr="00BE237C">
              <w:rPr>
                <w:sz w:val="20"/>
                <w:szCs w:val="20"/>
              </w:rPr>
              <w:t>tbAssistencia</w:t>
            </w:r>
            <w:proofErr w:type="spellEnd"/>
          </w:p>
        </w:tc>
        <w:tc>
          <w:tcPr>
            <w:tcW w:w="5694" w:type="dxa"/>
            <w:hideMark/>
          </w:tcPr>
          <w:p w14:paraId="451D48A6" w14:textId="77777777" w:rsidR="009954C9" w:rsidRPr="00BE237C" w:rsidRDefault="009954C9" w:rsidP="00A373B0">
            <w:pPr>
              <w:jc w:val="both"/>
              <w:rPr>
                <w:sz w:val="20"/>
                <w:szCs w:val="20"/>
              </w:rPr>
            </w:pPr>
            <w:r w:rsidRPr="00BE237C">
              <w:rPr>
                <w:sz w:val="20"/>
                <w:szCs w:val="20"/>
              </w:rPr>
              <w:t xml:space="preserve">Conecta diferentes tabelas descritivas e valora seus campos. Associada a </w:t>
            </w:r>
            <w:proofErr w:type="spellStart"/>
            <w:r w:rsidRPr="00BE237C">
              <w:rPr>
                <w:sz w:val="20"/>
                <w:szCs w:val="20"/>
              </w:rPr>
              <w:t>tbPPI</w:t>
            </w:r>
            <w:proofErr w:type="spellEnd"/>
            <w:r w:rsidRPr="00BE237C">
              <w:rPr>
                <w:sz w:val="20"/>
                <w:szCs w:val="20"/>
              </w:rPr>
              <w:t>, é a base da construção das consultas. Acumula informações do SIGTAP, regra populacional e parâmetro. Pode-se inserir registros que não constam na PPI (tudo que for criado e dependa de um código de assistência, é cadas</w:t>
            </w:r>
            <w:r>
              <w:rPr>
                <w:sz w:val="20"/>
                <w:szCs w:val="20"/>
              </w:rPr>
              <w:t>t</w:t>
            </w:r>
            <w:r w:rsidRPr="00BE237C">
              <w:rPr>
                <w:sz w:val="20"/>
                <w:szCs w:val="20"/>
              </w:rPr>
              <w:t xml:space="preserve">rado aqui, ex. novas </w:t>
            </w:r>
            <w:proofErr w:type="spellStart"/>
            <w:r w:rsidRPr="00BE237C">
              <w:rPr>
                <w:sz w:val="20"/>
                <w:szCs w:val="20"/>
              </w:rPr>
              <w:t>FOGs</w:t>
            </w:r>
            <w:proofErr w:type="spellEnd"/>
            <w:r w:rsidRPr="00BE237C">
              <w:rPr>
                <w:sz w:val="20"/>
                <w:szCs w:val="20"/>
              </w:rPr>
              <w:t>)</w:t>
            </w:r>
          </w:p>
        </w:tc>
      </w:tr>
      <w:tr w:rsidR="009954C9" w:rsidRPr="00BE237C" w14:paraId="1706BC80" w14:textId="77777777" w:rsidTr="00A373B0">
        <w:trPr>
          <w:trHeight w:val="1124"/>
        </w:trPr>
        <w:tc>
          <w:tcPr>
            <w:tcW w:w="2547" w:type="dxa"/>
            <w:hideMark/>
          </w:tcPr>
          <w:p w14:paraId="2B6E9847" w14:textId="77777777" w:rsidR="009954C9" w:rsidRPr="00BE237C" w:rsidRDefault="009954C9" w:rsidP="00A373B0">
            <w:pPr>
              <w:jc w:val="both"/>
              <w:rPr>
                <w:sz w:val="20"/>
                <w:szCs w:val="20"/>
              </w:rPr>
            </w:pPr>
            <w:proofErr w:type="spellStart"/>
            <w:r w:rsidRPr="00BE237C">
              <w:rPr>
                <w:sz w:val="20"/>
                <w:szCs w:val="20"/>
              </w:rPr>
              <w:lastRenderedPageBreak/>
              <w:t>tbAssistenciaBloco</w:t>
            </w:r>
            <w:proofErr w:type="spellEnd"/>
          </w:p>
        </w:tc>
        <w:tc>
          <w:tcPr>
            <w:tcW w:w="5694" w:type="dxa"/>
            <w:hideMark/>
          </w:tcPr>
          <w:p w14:paraId="4CD4B3E8" w14:textId="77777777" w:rsidR="009954C9" w:rsidRPr="00BE237C" w:rsidRDefault="009954C9" w:rsidP="00A373B0">
            <w:pPr>
              <w:jc w:val="both"/>
              <w:rPr>
                <w:sz w:val="20"/>
                <w:szCs w:val="20"/>
              </w:rPr>
            </w:pPr>
            <w:r w:rsidRPr="00BE237C">
              <w:rPr>
                <w:sz w:val="20"/>
                <w:szCs w:val="20"/>
              </w:rPr>
              <w:t xml:space="preserve">Conecta diferentes tabelas descritivas e valora seus campos. Associada a </w:t>
            </w:r>
            <w:proofErr w:type="spellStart"/>
            <w:r w:rsidRPr="00BE237C">
              <w:rPr>
                <w:sz w:val="20"/>
                <w:szCs w:val="20"/>
              </w:rPr>
              <w:t>tbPPI</w:t>
            </w:r>
            <w:proofErr w:type="spellEnd"/>
            <w:r w:rsidRPr="00BE237C">
              <w:rPr>
                <w:sz w:val="20"/>
                <w:szCs w:val="20"/>
              </w:rPr>
              <w:t xml:space="preserve">, traduz informações do SIGTAP e fornece mais detalhes para a consulta na </w:t>
            </w:r>
            <w:proofErr w:type="spellStart"/>
            <w:r w:rsidRPr="00BE237C">
              <w:rPr>
                <w:sz w:val="20"/>
                <w:szCs w:val="20"/>
              </w:rPr>
              <w:t>tbPpiOficial</w:t>
            </w:r>
            <w:proofErr w:type="spellEnd"/>
          </w:p>
        </w:tc>
      </w:tr>
      <w:tr w:rsidR="009954C9" w:rsidRPr="00BE237C" w14:paraId="0BDD6C8C" w14:textId="77777777" w:rsidTr="00A373B0">
        <w:trPr>
          <w:trHeight w:val="607"/>
        </w:trPr>
        <w:tc>
          <w:tcPr>
            <w:tcW w:w="2547" w:type="dxa"/>
            <w:hideMark/>
          </w:tcPr>
          <w:p w14:paraId="787A3F95" w14:textId="77777777" w:rsidR="009954C9" w:rsidRPr="00BE237C" w:rsidRDefault="009954C9" w:rsidP="00A373B0">
            <w:pPr>
              <w:jc w:val="both"/>
              <w:rPr>
                <w:sz w:val="20"/>
                <w:szCs w:val="20"/>
              </w:rPr>
            </w:pPr>
            <w:proofErr w:type="spellStart"/>
            <w:r w:rsidRPr="00BE237C">
              <w:rPr>
                <w:sz w:val="20"/>
                <w:szCs w:val="20"/>
              </w:rPr>
              <w:t>tbAssistenciaHistorico</w:t>
            </w:r>
            <w:proofErr w:type="spellEnd"/>
          </w:p>
        </w:tc>
        <w:tc>
          <w:tcPr>
            <w:tcW w:w="5694" w:type="dxa"/>
            <w:hideMark/>
          </w:tcPr>
          <w:p w14:paraId="04E6231B" w14:textId="77777777" w:rsidR="009954C9" w:rsidRPr="00BE237C" w:rsidRDefault="009954C9" w:rsidP="00A373B0">
            <w:pPr>
              <w:jc w:val="both"/>
              <w:rPr>
                <w:sz w:val="20"/>
                <w:szCs w:val="20"/>
              </w:rPr>
            </w:pPr>
            <w:r w:rsidRPr="00BE237C">
              <w:rPr>
                <w:sz w:val="20"/>
                <w:szCs w:val="20"/>
              </w:rPr>
              <w:t>Armazena histórico de mudanças ocorridas dentro do Banco da PPI que foram deleta</w:t>
            </w:r>
            <w:r>
              <w:rPr>
                <w:sz w:val="20"/>
                <w:szCs w:val="20"/>
              </w:rPr>
              <w:t>da</w:t>
            </w:r>
            <w:r w:rsidRPr="00BE237C">
              <w:rPr>
                <w:sz w:val="20"/>
                <w:szCs w:val="20"/>
              </w:rPr>
              <w:t>s/excluídas</w:t>
            </w:r>
          </w:p>
        </w:tc>
      </w:tr>
      <w:tr w:rsidR="009954C9" w:rsidRPr="00BE237C" w14:paraId="5353D8AA" w14:textId="77777777" w:rsidTr="00A373B0">
        <w:trPr>
          <w:trHeight w:val="1541"/>
        </w:trPr>
        <w:tc>
          <w:tcPr>
            <w:tcW w:w="2547" w:type="dxa"/>
            <w:hideMark/>
          </w:tcPr>
          <w:p w14:paraId="4899F101" w14:textId="77777777" w:rsidR="009954C9" w:rsidRPr="00BE237C" w:rsidRDefault="009954C9" w:rsidP="00A373B0">
            <w:pPr>
              <w:jc w:val="both"/>
              <w:rPr>
                <w:sz w:val="20"/>
                <w:szCs w:val="20"/>
              </w:rPr>
            </w:pPr>
            <w:proofErr w:type="spellStart"/>
            <w:r w:rsidRPr="00BE237C">
              <w:rPr>
                <w:sz w:val="20"/>
                <w:szCs w:val="20"/>
              </w:rPr>
              <w:t>tbBloco</w:t>
            </w:r>
            <w:proofErr w:type="spellEnd"/>
          </w:p>
        </w:tc>
        <w:tc>
          <w:tcPr>
            <w:tcW w:w="5694" w:type="dxa"/>
            <w:hideMark/>
          </w:tcPr>
          <w:p w14:paraId="54BF8B67" w14:textId="77777777" w:rsidR="009954C9" w:rsidRPr="00BE237C" w:rsidRDefault="009954C9" w:rsidP="00A373B0">
            <w:pPr>
              <w:jc w:val="both"/>
              <w:rPr>
                <w:sz w:val="20"/>
                <w:szCs w:val="20"/>
              </w:rPr>
            </w:pPr>
            <w:r w:rsidRPr="00BE237C">
              <w:rPr>
                <w:sz w:val="20"/>
                <w:szCs w:val="20"/>
              </w:rPr>
              <w:t xml:space="preserve">Conhecida também como Componente ou </w:t>
            </w:r>
            <w:proofErr w:type="spellStart"/>
            <w:r w:rsidRPr="00BE237C">
              <w:rPr>
                <w:sz w:val="20"/>
                <w:szCs w:val="20"/>
              </w:rPr>
              <w:t>SubRede</w:t>
            </w:r>
            <w:proofErr w:type="spellEnd"/>
            <w:r w:rsidRPr="00BE237C">
              <w:rPr>
                <w:sz w:val="20"/>
                <w:szCs w:val="20"/>
              </w:rPr>
              <w:t xml:space="preserve">, é o detalhamento de cada Rede. Detalha Incentivos e Linhas de Cuidado/Redes adotadas pela SES. Ligada à </w:t>
            </w:r>
            <w:proofErr w:type="spellStart"/>
            <w:r w:rsidRPr="00BE237C">
              <w:rPr>
                <w:sz w:val="20"/>
                <w:szCs w:val="20"/>
              </w:rPr>
              <w:t>PpiOficial</w:t>
            </w:r>
            <w:proofErr w:type="spellEnd"/>
            <w:r w:rsidRPr="00BE237C">
              <w:rPr>
                <w:sz w:val="20"/>
                <w:szCs w:val="20"/>
              </w:rPr>
              <w:t>, caracteriza grande parte das exceções, subdivisões dos incentivos e conexão entre Redes, Especialidades e Linhas de Cuidado</w:t>
            </w:r>
          </w:p>
        </w:tc>
      </w:tr>
      <w:tr w:rsidR="009954C9" w:rsidRPr="00BE237C" w14:paraId="63F2514B" w14:textId="77777777" w:rsidTr="00A373B0">
        <w:trPr>
          <w:trHeight w:val="300"/>
        </w:trPr>
        <w:tc>
          <w:tcPr>
            <w:tcW w:w="2547" w:type="dxa"/>
            <w:hideMark/>
          </w:tcPr>
          <w:p w14:paraId="52ABE153" w14:textId="77777777" w:rsidR="009954C9" w:rsidRPr="00BE237C" w:rsidRDefault="009954C9" w:rsidP="00A373B0">
            <w:pPr>
              <w:jc w:val="both"/>
              <w:rPr>
                <w:sz w:val="20"/>
                <w:szCs w:val="20"/>
              </w:rPr>
            </w:pPr>
            <w:proofErr w:type="spellStart"/>
            <w:r w:rsidRPr="00BE237C">
              <w:rPr>
                <w:sz w:val="20"/>
                <w:szCs w:val="20"/>
              </w:rPr>
              <w:t>tbBlocoSecundario</w:t>
            </w:r>
            <w:proofErr w:type="spellEnd"/>
          </w:p>
        </w:tc>
        <w:tc>
          <w:tcPr>
            <w:tcW w:w="5694" w:type="dxa"/>
            <w:hideMark/>
          </w:tcPr>
          <w:p w14:paraId="26F018C0" w14:textId="77777777" w:rsidR="009954C9" w:rsidRPr="00BE237C" w:rsidRDefault="009954C9" w:rsidP="00A373B0">
            <w:pPr>
              <w:jc w:val="both"/>
              <w:rPr>
                <w:sz w:val="20"/>
                <w:szCs w:val="20"/>
              </w:rPr>
            </w:pPr>
            <w:r w:rsidRPr="00BE237C">
              <w:rPr>
                <w:sz w:val="20"/>
                <w:szCs w:val="20"/>
              </w:rPr>
              <w:t>?</w:t>
            </w:r>
          </w:p>
        </w:tc>
      </w:tr>
      <w:tr w:rsidR="009954C9" w:rsidRPr="00BE237C" w14:paraId="4EC19884" w14:textId="77777777" w:rsidTr="00A373B0">
        <w:trPr>
          <w:trHeight w:val="300"/>
        </w:trPr>
        <w:tc>
          <w:tcPr>
            <w:tcW w:w="2547" w:type="dxa"/>
            <w:hideMark/>
          </w:tcPr>
          <w:p w14:paraId="62259864" w14:textId="77777777" w:rsidR="009954C9" w:rsidRPr="00BE237C" w:rsidRDefault="009954C9" w:rsidP="00A373B0">
            <w:pPr>
              <w:jc w:val="both"/>
              <w:rPr>
                <w:sz w:val="20"/>
                <w:szCs w:val="20"/>
              </w:rPr>
            </w:pPr>
            <w:proofErr w:type="spellStart"/>
            <w:r w:rsidRPr="00BE237C">
              <w:rPr>
                <w:sz w:val="20"/>
                <w:szCs w:val="20"/>
              </w:rPr>
              <w:t>tbCamada</w:t>
            </w:r>
            <w:proofErr w:type="spellEnd"/>
          </w:p>
        </w:tc>
        <w:tc>
          <w:tcPr>
            <w:tcW w:w="5694" w:type="dxa"/>
            <w:hideMark/>
          </w:tcPr>
          <w:p w14:paraId="57540E9E" w14:textId="77777777" w:rsidR="009954C9" w:rsidRPr="00BE237C" w:rsidRDefault="009954C9" w:rsidP="00A373B0">
            <w:pPr>
              <w:jc w:val="both"/>
              <w:rPr>
                <w:sz w:val="20"/>
                <w:szCs w:val="20"/>
              </w:rPr>
            </w:pPr>
            <w:r w:rsidRPr="00BE237C">
              <w:rPr>
                <w:sz w:val="20"/>
                <w:szCs w:val="20"/>
              </w:rPr>
              <w:t>?</w:t>
            </w:r>
          </w:p>
        </w:tc>
      </w:tr>
      <w:tr w:rsidR="009954C9" w:rsidRPr="00BE237C" w14:paraId="484C392B" w14:textId="77777777" w:rsidTr="00A373B0">
        <w:trPr>
          <w:trHeight w:val="300"/>
        </w:trPr>
        <w:tc>
          <w:tcPr>
            <w:tcW w:w="2547" w:type="dxa"/>
            <w:hideMark/>
          </w:tcPr>
          <w:p w14:paraId="7404E6FA" w14:textId="77777777" w:rsidR="009954C9" w:rsidRPr="00BE237C" w:rsidRDefault="009954C9" w:rsidP="00A373B0">
            <w:pPr>
              <w:jc w:val="both"/>
              <w:rPr>
                <w:sz w:val="20"/>
                <w:szCs w:val="20"/>
              </w:rPr>
            </w:pPr>
            <w:proofErr w:type="spellStart"/>
            <w:r w:rsidRPr="00BE237C">
              <w:rPr>
                <w:sz w:val="20"/>
                <w:szCs w:val="20"/>
              </w:rPr>
              <w:t>tbCategoria</w:t>
            </w:r>
            <w:proofErr w:type="spellEnd"/>
          </w:p>
        </w:tc>
        <w:tc>
          <w:tcPr>
            <w:tcW w:w="5694" w:type="dxa"/>
            <w:hideMark/>
          </w:tcPr>
          <w:p w14:paraId="7B1DFBA7" w14:textId="77777777" w:rsidR="009954C9" w:rsidRPr="00BE237C" w:rsidRDefault="009954C9" w:rsidP="00A373B0">
            <w:pPr>
              <w:jc w:val="both"/>
              <w:rPr>
                <w:sz w:val="20"/>
                <w:szCs w:val="20"/>
              </w:rPr>
            </w:pPr>
            <w:r w:rsidRPr="00BE237C">
              <w:rPr>
                <w:sz w:val="20"/>
                <w:szCs w:val="20"/>
              </w:rPr>
              <w:t>?</w:t>
            </w:r>
          </w:p>
        </w:tc>
      </w:tr>
      <w:tr w:rsidR="009954C9" w:rsidRPr="00BE237C" w14:paraId="23F1B3C5" w14:textId="77777777" w:rsidTr="00A373B0">
        <w:trPr>
          <w:trHeight w:val="300"/>
        </w:trPr>
        <w:tc>
          <w:tcPr>
            <w:tcW w:w="2547" w:type="dxa"/>
            <w:hideMark/>
          </w:tcPr>
          <w:p w14:paraId="2F39F812" w14:textId="77777777" w:rsidR="009954C9" w:rsidRPr="00BE237C" w:rsidRDefault="009954C9" w:rsidP="00A373B0">
            <w:pPr>
              <w:jc w:val="both"/>
              <w:rPr>
                <w:sz w:val="20"/>
                <w:szCs w:val="20"/>
              </w:rPr>
            </w:pPr>
            <w:proofErr w:type="spellStart"/>
            <w:r w:rsidRPr="00BE237C">
              <w:rPr>
                <w:sz w:val="20"/>
                <w:szCs w:val="20"/>
              </w:rPr>
              <w:t>tbClassificacaoLeito</w:t>
            </w:r>
            <w:proofErr w:type="spellEnd"/>
          </w:p>
        </w:tc>
        <w:tc>
          <w:tcPr>
            <w:tcW w:w="5694" w:type="dxa"/>
            <w:hideMark/>
          </w:tcPr>
          <w:p w14:paraId="5DEE8F06" w14:textId="77777777" w:rsidR="009954C9" w:rsidRPr="00BE237C" w:rsidRDefault="009954C9" w:rsidP="00A373B0">
            <w:pPr>
              <w:jc w:val="both"/>
              <w:rPr>
                <w:sz w:val="20"/>
                <w:szCs w:val="20"/>
              </w:rPr>
            </w:pPr>
            <w:r w:rsidRPr="00BE237C">
              <w:rPr>
                <w:sz w:val="20"/>
                <w:szCs w:val="20"/>
              </w:rPr>
              <w:t>Nomeia leitos específicos da UTI</w:t>
            </w:r>
          </w:p>
        </w:tc>
      </w:tr>
      <w:tr w:rsidR="009954C9" w:rsidRPr="00BE237C" w14:paraId="47DBC4BA" w14:textId="77777777" w:rsidTr="00A373B0">
        <w:trPr>
          <w:trHeight w:val="300"/>
        </w:trPr>
        <w:tc>
          <w:tcPr>
            <w:tcW w:w="2547" w:type="dxa"/>
            <w:hideMark/>
          </w:tcPr>
          <w:p w14:paraId="0A8A5733" w14:textId="77777777" w:rsidR="009954C9" w:rsidRPr="00BE237C" w:rsidRDefault="009954C9" w:rsidP="00A373B0">
            <w:pPr>
              <w:jc w:val="both"/>
              <w:rPr>
                <w:sz w:val="20"/>
                <w:szCs w:val="20"/>
              </w:rPr>
            </w:pPr>
            <w:proofErr w:type="spellStart"/>
            <w:r w:rsidRPr="00BE237C">
              <w:rPr>
                <w:sz w:val="20"/>
                <w:szCs w:val="20"/>
              </w:rPr>
              <w:t>tbClassificacaoPDR</w:t>
            </w:r>
            <w:proofErr w:type="spellEnd"/>
          </w:p>
        </w:tc>
        <w:tc>
          <w:tcPr>
            <w:tcW w:w="5694" w:type="dxa"/>
            <w:hideMark/>
          </w:tcPr>
          <w:p w14:paraId="783FEFB4" w14:textId="77777777" w:rsidR="009954C9" w:rsidRPr="00BE237C" w:rsidRDefault="009954C9" w:rsidP="00A373B0">
            <w:pPr>
              <w:jc w:val="both"/>
              <w:rPr>
                <w:sz w:val="20"/>
                <w:szCs w:val="20"/>
              </w:rPr>
            </w:pPr>
            <w:r w:rsidRPr="00BE237C">
              <w:rPr>
                <w:sz w:val="20"/>
                <w:szCs w:val="20"/>
              </w:rPr>
              <w:t>Classifica o tipo de Origem/ Atendimento</w:t>
            </w:r>
          </w:p>
        </w:tc>
      </w:tr>
      <w:tr w:rsidR="009954C9" w:rsidRPr="00BE237C" w14:paraId="38D6E90F" w14:textId="77777777" w:rsidTr="00A373B0">
        <w:trPr>
          <w:trHeight w:val="600"/>
        </w:trPr>
        <w:tc>
          <w:tcPr>
            <w:tcW w:w="2547" w:type="dxa"/>
            <w:hideMark/>
          </w:tcPr>
          <w:p w14:paraId="5516E29E" w14:textId="77777777" w:rsidR="009954C9" w:rsidRPr="00BE237C" w:rsidRDefault="009954C9" w:rsidP="00A373B0">
            <w:pPr>
              <w:jc w:val="both"/>
              <w:rPr>
                <w:sz w:val="20"/>
                <w:szCs w:val="20"/>
              </w:rPr>
            </w:pPr>
            <w:proofErr w:type="spellStart"/>
            <w:r w:rsidRPr="00BE237C">
              <w:rPr>
                <w:sz w:val="20"/>
                <w:szCs w:val="20"/>
              </w:rPr>
              <w:t>tbCnes</w:t>
            </w:r>
            <w:proofErr w:type="spellEnd"/>
          </w:p>
        </w:tc>
        <w:tc>
          <w:tcPr>
            <w:tcW w:w="5694" w:type="dxa"/>
            <w:hideMark/>
          </w:tcPr>
          <w:p w14:paraId="6A00B970" w14:textId="77777777" w:rsidR="009954C9" w:rsidRPr="00BE237C" w:rsidRDefault="009954C9" w:rsidP="00A373B0">
            <w:pPr>
              <w:jc w:val="both"/>
              <w:rPr>
                <w:sz w:val="20"/>
                <w:szCs w:val="20"/>
              </w:rPr>
            </w:pPr>
            <w:r w:rsidRPr="00BE237C">
              <w:rPr>
                <w:sz w:val="20"/>
                <w:szCs w:val="20"/>
              </w:rPr>
              <w:t>Identifica as unidades de saúde com programação específica</w:t>
            </w:r>
          </w:p>
        </w:tc>
      </w:tr>
      <w:tr w:rsidR="009954C9" w:rsidRPr="00BE237C" w14:paraId="46C738AF" w14:textId="77777777" w:rsidTr="00A373B0">
        <w:trPr>
          <w:trHeight w:val="900"/>
        </w:trPr>
        <w:tc>
          <w:tcPr>
            <w:tcW w:w="2547" w:type="dxa"/>
            <w:hideMark/>
          </w:tcPr>
          <w:p w14:paraId="27B7C974" w14:textId="77777777" w:rsidR="009954C9" w:rsidRPr="00BE237C" w:rsidRDefault="009954C9" w:rsidP="00A373B0">
            <w:pPr>
              <w:jc w:val="both"/>
              <w:rPr>
                <w:sz w:val="20"/>
                <w:szCs w:val="20"/>
              </w:rPr>
            </w:pPr>
            <w:proofErr w:type="spellStart"/>
            <w:r w:rsidRPr="00BE237C">
              <w:rPr>
                <w:sz w:val="20"/>
                <w:szCs w:val="20"/>
              </w:rPr>
              <w:t>tbCompetencia</w:t>
            </w:r>
            <w:proofErr w:type="spellEnd"/>
          </w:p>
        </w:tc>
        <w:tc>
          <w:tcPr>
            <w:tcW w:w="5694" w:type="dxa"/>
            <w:hideMark/>
          </w:tcPr>
          <w:p w14:paraId="50B83B49" w14:textId="77777777" w:rsidR="009954C9" w:rsidRPr="00BE237C" w:rsidRDefault="009954C9" w:rsidP="00A373B0">
            <w:pPr>
              <w:jc w:val="both"/>
              <w:rPr>
                <w:sz w:val="20"/>
                <w:szCs w:val="20"/>
              </w:rPr>
            </w:pPr>
            <w:r w:rsidRPr="00BE237C">
              <w:rPr>
                <w:sz w:val="20"/>
                <w:szCs w:val="20"/>
              </w:rPr>
              <w:t>Compet</w:t>
            </w:r>
            <w:r>
              <w:rPr>
                <w:sz w:val="20"/>
                <w:szCs w:val="20"/>
              </w:rPr>
              <w:t>ê</w:t>
            </w:r>
            <w:r w:rsidRPr="00BE237C">
              <w:rPr>
                <w:sz w:val="20"/>
                <w:szCs w:val="20"/>
              </w:rPr>
              <w:t>ncia atual do Banco utilizado, pois cada Banco apresenta a correspondência específica para determinada competência</w:t>
            </w:r>
          </w:p>
        </w:tc>
      </w:tr>
      <w:tr w:rsidR="009954C9" w:rsidRPr="00BE237C" w14:paraId="56066892" w14:textId="77777777" w:rsidTr="00A373B0">
        <w:trPr>
          <w:trHeight w:val="562"/>
        </w:trPr>
        <w:tc>
          <w:tcPr>
            <w:tcW w:w="2547" w:type="dxa"/>
            <w:hideMark/>
          </w:tcPr>
          <w:p w14:paraId="63D67141" w14:textId="77777777" w:rsidR="009954C9" w:rsidRPr="00BE237C" w:rsidRDefault="009954C9" w:rsidP="00A373B0">
            <w:pPr>
              <w:jc w:val="both"/>
              <w:rPr>
                <w:sz w:val="20"/>
                <w:szCs w:val="20"/>
              </w:rPr>
            </w:pPr>
            <w:proofErr w:type="spellStart"/>
            <w:r w:rsidRPr="00BE237C">
              <w:rPr>
                <w:sz w:val="20"/>
                <w:szCs w:val="20"/>
              </w:rPr>
              <w:t>tbComplexidade</w:t>
            </w:r>
            <w:proofErr w:type="spellEnd"/>
          </w:p>
        </w:tc>
        <w:tc>
          <w:tcPr>
            <w:tcW w:w="5694" w:type="dxa"/>
            <w:hideMark/>
          </w:tcPr>
          <w:p w14:paraId="34C3C918" w14:textId="77777777" w:rsidR="009954C9" w:rsidRPr="00BE237C" w:rsidRDefault="009954C9" w:rsidP="00A373B0">
            <w:pPr>
              <w:jc w:val="both"/>
              <w:rPr>
                <w:sz w:val="20"/>
                <w:szCs w:val="20"/>
              </w:rPr>
            </w:pPr>
            <w:r w:rsidRPr="00BE237C">
              <w:rPr>
                <w:sz w:val="20"/>
                <w:szCs w:val="20"/>
              </w:rPr>
              <w:t xml:space="preserve">Classifica a complexidade do procedimento e traz significado a consulta a </w:t>
            </w:r>
            <w:proofErr w:type="spellStart"/>
            <w:r w:rsidRPr="00BE237C">
              <w:rPr>
                <w:sz w:val="20"/>
                <w:szCs w:val="20"/>
              </w:rPr>
              <w:t>tbAssistencia</w:t>
            </w:r>
            <w:proofErr w:type="spellEnd"/>
            <w:r w:rsidRPr="00BE237C">
              <w:rPr>
                <w:sz w:val="20"/>
                <w:szCs w:val="20"/>
              </w:rPr>
              <w:t xml:space="preserve"> e </w:t>
            </w:r>
            <w:proofErr w:type="spellStart"/>
            <w:r w:rsidRPr="00BE237C">
              <w:rPr>
                <w:sz w:val="20"/>
                <w:szCs w:val="20"/>
              </w:rPr>
              <w:t>tbPpiOficial</w:t>
            </w:r>
            <w:proofErr w:type="spellEnd"/>
          </w:p>
        </w:tc>
      </w:tr>
      <w:tr w:rsidR="009954C9" w:rsidRPr="00BE237C" w14:paraId="3CF3A0D7" w14:textId="77777777" w:rsidTr="00A373B0">
        <w:trPr>
          <w:trHeight w:val="2489"/>
        </w:trPr>
        <w:tc>
          <w:tcPr>
            <w:tcW w:w="2547" w:type="dxa"/>
            <w:hideMark/>
          </w:tcPr>
          <w:p w14:paraId="4EE6947C" w14:textId="77777777" w:rsidR="009954C9" w:rsidRPr="00BE237C" w:rsidRDefault="009954C9" w:rsidP="00A373B0">
            <w:pPr>
              <w:jc w:val="both"/>
              <w:rPr>
                <w:sz w:val="20"/>
                <w:szCs w:val="20"/>
              </w:rPr>
            </w:pPr>
            <w:proofErr w:type="spellStart"/>
            <w:r w:rsidRPr="00BE237C">
              <w:rPr>
                <w:sz w:val="20"/>
                <w:szCs w:val="20"/>
              </w:rPr>
              <w:t>tbContratualizado</w:t>
            </w:r>
            <w:proofErr w:type="spellEnd"/>
          </w:p>
        </w:tc>
        <w:tc>
          <w:tcPr>
            <w:tcW w:w="5694" w:type="dxa"/>
            <w:hideMark/>
          </w:tcPr>
          <w:p w14:paraId="7EDB4504" w14:textId="77777777" w:rsidR="009954C9" w:rsidRPr="00BE237C" w:rsidRDefault="009954C9" w:rsidP="00A373B0">
            <w:pPr>
              <w:jc w:val="both"/>
              <w:rPr>
                <w:sz w:val="20"/>
                <w:szCs w:val="20"/>
              </w:rPr>
            </w:pPr>
            <w:r w:rsidRPr="00BE237C">
              <w:rPr>
                <w:sz w:val="20"/>
                <w:szCs w:val="20"/>
              </w:rPr>
              <w:t>Realimentada dentro do Banco PPI Oficial com os dados de município de atendimento, valor ambulatorial e hospitalar, complexidade média; enviados mensalmente pela Diretoria de Contratos. Estes valores mensais são transformados em anuais e são debitados nos municípios de atendimento correspondentes para gerar os arquivos de batimento de Teto da DIS. Obs.: caso os valores de contrato sejam superiores aos valores da PPI, o valor da PPI é enviado zerado (cada sistema de informação AMB e H</w:t>
            </w:r>
            <w:r>
              <w:rPr>
                <w:sz w:val="20"/>
                <w:szCs w:val="20"/>
              </w:rPr>
              <w:t>OSP</w:t>
            </w:r>
            <w:r w:rsidRPr="00BE237C">
              <w:rPr>
                <w:sz w:val="20"/>
                <w:szCs w:val="20"/>
              </w:rPr>
              <w:t xml:space="preserve"> é gerado separadamente)</w:t>
            </w:r>
          </w:p>
        </w:tc>
      </w:tr>
      <w:tr w:rsidR="009954C9" w:rsidRPr="00BE237C" w14:paraId="3CADC652" w14:textId="77777777" w:rsidTr="00A373B0">
        <w:trPr>
          <w:trHeight w:val="696"/>
        </w:trPr>
        <w:tc>
          <w:tcPr>
            <w:tcW w:w="2547" w:type="dxa"/>
            <w:hideMark/>
          </w:tcPr>
          <w:p w14:paraId="696E31A4" w14:textId="77777777" w:rsidR="009954C9" w:rsidRPr="00BE237C" w:rsidRDefault="009954C9" w:rsidP="00A373B0">
            <w:pPr>
              <w:jc w:val="both"/>
              <w:rPr>
                <w:sz w:val="20"/>
                <w:szCs w:val="20"/>
              </w:rPr>
            </w:pPr>
            <w:proofErr w:type="spellStart"/>
            <w:r w:rsidRPr="00BE237C">
              <w:rPr>
                <w:sz w:val="20"/>
                <w:szCs w:val="20"/>
              </w:rPr>
              <w:t>tbControleExtrapolamento</w:t>
            </w:r>
            <w:proofErr w:type="spellEnd"/>
          </w:p>
        </w:tc>
        <w:tc>
          <w:tcPr>
            <w:tcW w:w="5694" w:type="dxa"/>
            <w:hideMark/>
          </w:tcPr>
          <w:p w14:paraId="4373631A" w14:textId="77777777" w:rsidR="009954C9" w:rsidRPr="00BE237C" w:rsidRDefault="009954C9" w:rsidP="00A373B0">
            <w:pPr>
              <w:jc w:val="both"/>
              <w:rPr>
                <w:sz w:val="20"/>
                <w:szCs w:val="20"/>
              </w:rPr>
            </w:pPr>
            <w:r w:rsidRPr="00BE237C">
              <w:rPr>
                <w:sz w:val="20"/>
                <w:szCs w:val="20"/>
              </w:rPr>
              <w:t xml:space="preserve">Discrimina o tipo de pagamento do </w:t>
            </w:r>
            <w:proofErr w:type="spellStart"/>
            <w:r w:rsidRPr="00BE237C">
              <w:rPr>
                <w:sz w:val="20"/>
                <w:szCs w:val="20"/>
              </w:rPr>
              <w:t>extrapolamento</w:t>
            </w:r>
            <w:proofErr w:type="spellEnd"/>
            <w:r w:rsidRPr="00BE237C">
              <w:rPr>
                <w:sz w:val="20"/>
                <w:szCs w:val="20"/>
              </w:rPr>
              <w:t xml:space="preserve"> da produção e do teto de referência</w:t>
            </w:r>
          </w:p>
        </w:tc>
      </w:tr>
      <w:tr w:rsidR="009954C9" w:rsidRPr="00BE237C" w14:paraId="27F0DE7F" w14:textId="77777777" w:rsidTr="00A373B0">
        <w:trPr>
          <w:trHeight w:val="1273"/>
        </w:trPr>
        <w:tc>
          <w:tcPr>
            <w:tcW w:w="2547" w:type="dxa"/>
            <w:hideMark/>
          </w:tcPr>
          <w:p w14:paraId="719E0483" w14:textId="77777777" w:rsidR="009954C9" w:rsidRPr="00BE237C" w:rsidRDefault="009954C9" w:rsidP="00A373B0">
            <w:pPr>
              <w:jc w:val="both"/>
              <w:rPr>
                <w:sz w:val="20"/>
                <w:szCs w:val="20"/>
              </w:rPr>
            </w:pPr>
            <w:proofErr w:type="spellStart"/>
            <w:r w:rsidRPr="00BE237C">
              <w:rPr>
                <w:sz w:val="20"/>
                <w:szCs w:val="20"/>
              </w:rPr>
              <w:t>tbCustoMedio</w:t>
            </w:r>
            <w:proofErr w:type="spellEnd"/>
          </w:p>
        </w:tc>
        <w:tc>
          <w:tcPr>
            <w:tcW w:w="5694" w:type="dxa"/>
            <w:hideMark/>
          </w:tcPr>
          <w:p w14:paraId="562015CB" w14:textId="77777777" w:rsidR="009954C9" w:rsidRPr="00BE237C" w:rsidRDefault="009954C9" w:rsidP="00A373B0">
            <w:pPr>
              <w:jc w:val="both"/>
              <w:rPr>
                <w:sz w:val="20"/>
                <w:szCs w:val="20"/>
              </w:rPr>
            </w:pPr>
            <w:r w:rsidRPr="00BE237C">
              <w:rPr>
                <w:sz w:val="20"/>
                <w:szCs w:val="20"/>
              </w:rPr>
              <w:t xml:space="preserve">Registra os custos médios que valoram a </w:t>
            </w:r>
            <w:proofErr w:type="spellStart"/>
            <w:r w:rsidRPr="00BE237C">
              <w:rPr>
                <w:sz w:val="20"/>
                <w:szCs w:val="20"/>
              </w:rPr>
              <w:t>tbPpiOficial</w:t>
            </w:r>
            <w:proofErr w:type="spellEnd"/>
            <w:r w:rsidRPr="00BE237C">
              <w:rPr>
                <w:sz w:val="20"/>
                <w:szCs w:val="20"/>
              </w:rPr>
              <w:t>, principalmente com histórico temporal com mudança de valor entre diferentes competências. Valora cada rede, destino de recurso, procedimento, forma de organização</w:t>
            </w:r>
          </w:p>
        </w:tc>
      </w:tr>
      <w:tr w:rsidR="009954C9" w:rsidRPr="00BE237C" w14:paraId="037716A3" w14:textId="77777777" w:rsidTr="00A373B0">
        <w:trPr>
          <w:trHeight w:val="600"/>
        </w:trPr>
        <w:tc>
          <w:tcPr>
            <w:tcW w:w="2547" w:type="dxa"/>
            <w:hideMark/>
          </w:tcPr>
          <w:p w14:paraId="5E946821" w14:textId="77777777" w:rsidR="009954C9" w:rsidRPr="00BE237C" w:rsidRDefault="009954C9" w:rsidP="00A373B0">
            <w:pPr>
              <w:jc w:val="both"/>
              <w:rPr>
                <w:sz w:val="20"/>
                <w:szCs w:val="20"/>
              </w:rPr>
            </w:pPr>
            <w:proofErr w:type="spellStart"/>
            <w:r w:rsidRPr="00BE237C">
              <w:rPr>
                <w:sz w:val="20"/>
                <w:szCs w:val="20"/>
              </w:rPr>
              <w:t>tbDestinoRecurso</w:t>
            </w:r>
            <w:proofErr w:type="spellEnd"/>
          </w:p>
        </w:tc>
        <w:tc>
          <w:tcPr>
            <w:tcW w:w="5694" w:type="dxa"/>
            <w:hideMark/>
          </w:tcPr>
          <w:p w14:paraId="7E6BAA74" w14:textId="77777777" w:rsidR="009954C9" w:rsidRPr="00BE237C" w:rsidRDefault="009954C9" w:rsidP="00A373B0">
            <w:pPr>
              <w:jc w:val="both"/>
              <w:rPr>
                <w:sz w:val="20"/>
                <w:szCs w:val="20"/>
              </w:rPr>
            </w:pPr>
            <w:r w:rsidRPr="00BE237C">
              <w:rPr>
                <w:sz w:val="20"/>
                <w:szCs w:val="20"/>
              </w:rPr>
              <w:t xml:space="preserve">Nomeia os destinos do recurso: Estado, Funed e </w:t>
            </w:r>
            <w:proofErr w:type="spellStart"/>
            <w:r w:rsidRPr="00BE237C">
              <w:rPr>
                <w:sz w:val="20"/>
                <w:szCs w:val="20"/>
              </w:rPr>
              <w:t>Hemominas</w:t>
            </w:r>
            <w:proofErr w:type="spellEnd"/>
          </w:p>
        </w:tc>
      </w:tr>
      <w:tr w:rsidR="009954C9" w:rsidRPr="00BE237C" w14:paraId="34E05C37" w14:textId="77777777" w:rsidTr="00A373B0">
        <w:trPr>
          <w:trHeight w:val="600"/>
        </w:trPr>
        <w:tc>
          <w:tcPr>
            <w:tcW w:w="2547" w:type="dxa"/>
            <w:hideMark/>
          </w:tcPr>
          <w:p w14:paraId="0AAC0D50" w14:textId="77777777" w:rsidR="009954C9" w:rsidRPr="00BE237C" w:rsidRDefault="009954C9" w:rsidP="00A373B0">
            <w:pPr>
              <w:jc w:val="both"/>
              <w:rPr>
                <w:sz w:val="20"/>
                <w:szCs w:val="20"/>
              </w:rPr>
            </w:pPr>
            <w:proofErr w:type="spellStart"/>
            <w:r w:rsidRPr="00BE237C">
              <w:rPr>
                <w:sz w:val="20"/>
                <w:szCs w:val="20"/>
              </w:rPr>
              <w:lastRenderedPageBreak/>
              <w:t>tbDestinoRecursoAssistenciaAtendimento</w:t>
            </w:r>
            <w:proofErr w:type="spellEnd"/>
          </w:p>
        </w:tc>
        <w:tc>
          <w:tcPr>
            <w:tcW w:w="5694" w:type="dxa"/>
            <w:hideMark/>
          </w:tcPr>
          <w:p w14:paraId="05875BFB" w14:textId="77777777" w:rsidR="009954C9" w:rsidRPr="00BE237C" w:rsidRDefault="009954C9" w:rsidP="00A373B0">
            <w:pPr>
              <w:jc w:val="both"/>
              <w:rPr>
                <w:sz w:val="20"/>
                <w:szCs w:val="20"/>
              </w:rPr>
            </w:pPr>
            <w:r w:rsidRPr="00BE237C">
              <w:rPr>
                <w:sz w:val="20"/>
                <w:szCs w:val="20"/>
              </w:rPr>
              <w:t>Conecta o município ao seu destino de recurso e assistência</w:t>
            </w:r>
          </w:p>
        </w:tc>
      </w:tr>
      <w:tr w:rsidR="009954C9" w:rsidRPr="00BE237C" w14:paraId="55DFB893" w14:textId="77777777" w:rsidTr="00A373B0">
        <w:trPr>
          <w:trHeight w:val="900"/>
        </w:trPr>
        <w:tc>
          <w:tcPr>
            <w:tcW w:w="2547" w:type="dxa"/>
            <w:hideMark/>
          </w:tcPr>
          <w:p w14:paraId="1E3E6E05" w14:textId="77777777" w:rsidR="009954C9" w:rsidRPr="00BE237C" w:rsidRDefault="009954C9" w:rsidP="00A373B0">
            <w:pPr>
              <w:jc w:val="both"/>
              <w:rPr>
                <w:sz w:val="20"/>
                <w:szCs w:val="20"/>
              </w:rPr>
            </w:pPr>
            <w:proofErr w:type="spellStart"/>
            <w:r w:rsidRPr="00BE237C">
              <w:rPr>
                <w:sz w:val="20"/>
                <w:szCs w:val="20"/>
              </w:rPr>
              <w:t>tbDistribuicaoFinanceira</w:t>
            </w:r>
            <w:proofErr w:type="spellEnd"/>
          </w:p>
        </w:tc>
        <w:tc>
          <w:tcPr>
            <w:tcW w:w="5694" w:type="dxa"/>
            <w:hideMark/>
          </w:tcPr>
          <w:p w14:paraId="5C0F6698" w14:textId="77777777" w:rsidR="009954C9" w:rsidRPr="00BE237C" w:rsidRDefault="009954C9" w:rsidP="00A373B0">
            <w:pPr>
              <w:jc w:val="both"/>
              <w:rPr>
                <w:sz w:val="20"/>
                <w:szCs w:val="20"/>
              </w:rPr>
            </w:pPr>
            <w:r w:rsidRPr="00BE237C">
              <w:rPr>
                <w:sz w:val="20"/>
                <w:szCs w:val="20"/>
              </w:rPr>
              <w:t>Nomeia os tipos de distribuição financeira, que é a junção entre o financiamento, complexidade e sistema</w:t>
            </w:r>
          </w:p>
        </w:tc>
      </w:tr>
      <w:tr w:rsidR="009954C9" w:rsidRPr="00BE237C" w14:paraId="648828A5" w14:textId="77777777" w:rsidTr="00A373B0">
        <w:trPr>
          <w:trHeight w:val="600"/>
        </w:trPr>
        <w:tc>
          <w:tcPr>
            <w:tcW w:w="2547" w:type="dxa"/>
            <w:hideMark/>
          </w:tcPr>
          <w:p w14:paraId="02B8B3B3" w14:textId="77777777" w:rsidR="009954C9" w:rsidRPr="00BE237C" w:rsidRDefault="009954C9" w:rsidP="00A373B0">
            <w:pPr>
              <w:jc w:val="both"/>
              <w:rPr>
                <w:sz w:val="20"/>
                <w:szCs w:val="20"/>
              </w:rPr>
            </w:pPr>
            <w:proofErr w:type="spellStart"/>
            <w:r w:rsidRPr="00BE237C">
              <w:rPr>
                <w:sz w:val="20"/>
                <w:szCs w:val="20"/>
              </w:rPr>
              <w:t>tbDistribuicaoFinanceiraBH</w:t>
            </w:r>
            <w:proofErr w:type="spellEnd"/>
          </w:p>
        </w:tc>
        <w:tc>
          <w:tcPr>
            <w:tcW w:w="5694" w:type="dxa"/>
            <w:hideMark/>
          </w:tcPr>
          <w:p w14:paraId="02D29AC5" w14:textId="77777777" w:rsidR="009954C9" w:rsidRPr="00BE237C" w:rsidRDefault="009954C9" w:rsidP="00A373B0">
            <w:pPr>
              <w:jc w:val="both"/>
              <w:rPr>
                <w:sz w:val="20"/>
                <w:szCs w:val="20"/>
              </w:rPr>
            </w:pPr>
            <w:r w:rsidRPr="00BE237C">
              <w:rPr>
                <w:sz w:val="20"/>
                <w:szCs w:val="20"/>
              </w:rPr>
              <w:t>Nomeia os tipos de distribuição financeira para o município de Belo Horizonte</w:t>
            </w:r>
          </w:p>
        </w:tc>
      </w:tr>
      <w:tr w:rsidR="009954C9" w:rsidRPr="00BE237C" w14:paraId="7A89B02A" w14:textId="77777777" w:rsidTr="00A373B0">
        <w:trPr>
          <w:trHeight w:val="1927"/>
        </w:trPr>
        <w:tc>
          <w:tcPr>
            <w:tcW w:w="2547" w:type="dxa"/>
            <w:hideMark/>
          </w:tcPr>
          <w:p w14:paraId="568C31CE" w14:textId="77777777" w:rsidR="009954C9" w:rsidRPr="00BE237C" w:rsidRDefault="009954C9" w:rsidP="00A373B0">
            <w:pPr>
              <w:jc w:val="both"/>
              <w:rPr>
                <w:sz w:val="20"/>
                <w:szCs w:val="20"/>
              </w:rPr>
            </w:pPr>
            <w:proofErr w:type="spellStart"/>
            <w:r w:rsidRPr="00BE237C">
              <w:rPr>
                <w:sz w:val="20"/>
                <w:szCs w:val="20"/>
              </w:rPr>
              <w:t>tbDocumento</w:t>
            </w:r>
            <w:proofErr w:type="spellEnd"/>
          </w:p>
        </w:tc>
        <w:tc>
          <w:tcPr>
            <w:tcW w:w="5694" w:type="dxa"/>
            <w:hideMark/>
          </w:tcPr>
          <w:p w14:paraId="5B5F854D" w14:textId="77777777" w:rsidR="009954C9" w:rsidRPr="00BE237C" w:rsidRDefault="009954C9" w:rsidP="00A373B0">
            <w:pPr>
              <w:jc w:val="both"/>
              <w:rPr>
                <w:sz w:val="20"/>
                <w:szCs w:val="20"/>
              </w:rPr>
            </w:pPr>
            <w:r w:rsidRPr="00BE237C">
              <w:rPr>
                <w:sz w:val="20"/>
                <w:szCs w:val="20"/>
              </w:rPr>
              <w:t>Todos os documentos gerados externamente (Portarias, Leis) e internamente (Deliberações, Resoluções e Notas Técnicas) são cadastradas e lançadas no Banco, conforme suas particularidades. São gerados dois códigos identificadores: Número de Documento e Separa Rema</w:t>
            </w:r>
            <w:r>
              <w:rPr>
                <w:sz w:val="20"/>
                <w:szCs w:val="20"/>
              </w:rPr>
              <w:t>ne</w:t>
            </w:r>
            <w:r w:rsidRPr="00BE237C">
              <w:rPr>
                <w:sz w:val="20"/>
                <w:szCs w:val="20"/>
              </w:rPr>
              <w:t>jamento, com o objetivo de relacionar o documento aos valores programados e gerar rastreio dos recursos</w:t>
            </w:r>
          </w:p>
        </w:tc>
      </w:tr>
      <w:tr w:rsidR="009954C9" w:rsidRPr="00BE237C" w14:paraId="4B14D717" w14:textId="77777777" w:rsidTr="00A373B0">
        <w:trPr>
          <w:trHeight w:val="300"/>
        </w:trPr>
        <w:tc>
          <w:tcPr>
            <w:tcW w:w="2547" w:type="dxa"/>
            <w:hideMark/>
          </w:tcPr>
          <w:p w14:paraId="0F382941" w14:textId="77777777" w:rsidR="009954C9" w:rsidRPr="00BE237C" w:rsidRDefault="009954C9" w:rsidP="00A373B0">
            <w:pPr>
              <w:jc w:val="both"/>
              <w:rPr>
                <w:sz w:val="20"/>
                <w:szCs w:val="20"/>
              </w:rPr>
            </w:pPr>
            <w:proofErr w:type="spellStart"/>
            <w:r w:rsidRPr="00BE237C">
              <w:rPr>
                <w:sz w:val="20"/>
                <w:szCs w:val="20"/>
              </w:rPr>
              <w:t>tbDocumentoAnexo</w:t>
            </w:r>
            <w:proofErr w:type="spellEnd"/>
          </w:p>
        </w:tc>
        <w:tc>
          <w:tcPr>
            <w:tcW w:w="5694" w:type="dxa"/>
            <w:hideMark/>
          </w:tcPr>
          <w:p w14:paraId="78936EF6" w14:textId="77777777" w:rsidR="009954C9" w:rsidRPr="00BE237C" w:rsidRDefault="009954C9" w:rsidP="00A373B0">
            <w:pPr>
              <w:jc w:val="both"/>
              <w:rPr>
                <w:sz w:val="20"/>
                <w:szCs w:val="20"/>
              </w:rPr>
            </w:pPr>
            <w:r w:rsidRPr="00BE237C">
              <w:rPr>
                <w:sz w:val="20"/>
                <w:szCs w:val="20"/>
              </w:rPr>
              <w:t>?</w:t>
            </w:r>
          </w:p>
        </w:tc>
      </w:tr>
      <w:tr w:rsidR="009954C9" w:rsidRPr="00BE237C" w14:paraId="43C4FAEA" w14:textId="77777777" w:rsidTr="00A373B0">
        <w:trPr>
          <w:trHeight w:val="600"/>
        </w:trPr>
        <w:tc>
          <w:tcPr>
            <w:tcW w:w="2547" w:type="dxa"/>
            <w:hideMark/>
          </w:tcPr>
          <w:p w14:paraId="798C73C7" w14:textId="77777777" w:rsidR="009954C9" w:rsidRPr="00BE237C" w:rsidRDefault="009954C9" w:rsidP="00A373B0">
            <w:pPr>
              <w:jc w:val="both"/>
              <w:rPr>
                <w:sz w:val="20"/>
                <w:szCs w:val="20"/>
              </w:rPr>
            </w:pPr>
            <w:proofErr w:type="spellStart"/>
            <w:r w:rsidRPr="00BE237C">
              <w:rPr>
                <w:sz w:val="20"/>
                <w:szCs w:val="20"/>
              </w:rPr>
              <w:t>tbDocumentoHistorico</w:t>
            </w:r>
            <w:proofErr w:type="spellEnd"/>
          </w:p>
        </w:tc>
        <w:tc>
          <w:tcPr>
            <w:tcW w:w="5694" w:type="dxa"/>
            <w:hideMark/>
          </w:tcPr>
          <w:p w14:paraId="1C42A51D" w14:textId="77777777" w:rsidR="009954C9" w:rsidRPr="00BE237C" w:rsidRDefault="009954C9" w:rsidP="00A373B0">
            <w:pPr>
              <w:jc w:val="both"/>
              <w:rPr>
                <w:sz w:val="20"/>
                <w:szCs w:val="20"/>
              </w:rPr>
            </w:pPr>
            <w:r w:rsidRPr="00BE237C">
              <w:rPr>
                <w:sz w:val="20"/>
                <w:szCs w:val="20"/>
              </w:rPr>
              <w:t>Detalha competência inicial e final do documento, bem como seu valor</w:t>
            </w:r>
          </w:p>
        </w:tc>
      </w:tr>
      <w:tr w:rsidR="009954C9" w:rsidRPr="00BE237C" w14:paraId="5FD0BF0E" w14:textId="77777777" w:rsidTr="00A373B0">
        <w:trPr>
          <w:trHeight w:val="600"/>
        </w:trPr>
        <w:tc>
          <w:tcPr>
            <w:tcW w:w="2547" w:type="dxa"/>
            <w:hideMark/>
          </w:tcPr>
          <w:p w14:paraId="76DAB161" w14:textId="77777777" w:rsidR="009954C9" w:rsidRPr="00BE237C" w:rsidRDefault="009954C9" w:rsidP="00A373B0">
            <w:pPr>
              <w:jc w:val="both"/>
              <w:rPr>
                <w:sz w:val="20"/>
                <w:szCs w:val="20"/>
              </w:rPr>
            </w:pPr>
            <w:proofErr w:type="spellStart"/>
            <w:r w:rsidRPr="00BE237C">
              <w:rPr>
                <w:sz w:val="20"/>
                <w:szCs w:val="20"/>
              </w:rPr>
              <w:t>tbEstado</w:t>
            </w:r>
            <w:proofErr w:type="spellEnd"/>
          </w:p>
        </w:tc>
        <w:tc>
          <w:tcPr>
            <w:tcW w:w="5694" w:type="dxa"/>
            <w:hideMark/>
          </w:tcPr>
          <w:p w14:paraId="3ED3D64B" w14:textId="77777777" w:rsidR="009954C9" w:rsidRPr="00BE237C" w:rsidRDefault="009954C9" w:rsidP="00A373B0">
            <w:pPr>
              <w:jc w:val="both"/>
              <w:rPr>
                <w:sz w:val="20"/>
                <w:szCs w:val="20"/>
              </w:rPr>
            </w:pPr>
            <w:r w:rsidRPr="00BE237C">
              <w:rPr>
                <w:sz w:val="20"/>
                <w:szCs w:val="20"/>
              </w:rPr>
              <w:t>Define a população de MG e demais siglas das unidades federativas</w:t>
            </w:r>
          </w:p>
        </w:tc>
      </w:tr>
      <w:tr w:rsidR="009954C9" w:rsidRPr="00BE237C" w14:paraId="3B38796B" w14:textId="77777777" w:rsidTr="00A373B0">
        <w:trPr>
          <w:trHeight w:val="600"/>
        </w:trPr>
        <w:tc>
          <w:tcPr>
            <w:tcW w:w="2547" w:type="dxa"/>
            <w:hideMark/>
          </w:tcPr>
          <w:p w14:paraId="663E64AF" w14:textId="77777777" w:rsidR="009954C9" w:rsidRPr="00BE237C" w:rsidRDefault="009954C9" w:rsidP="00A373B0">
            <w:pPr>
              <w:jc w:val="both"/>
              <w:rPr>
                <w:sz w:val="20"/>
                <w:szCs w:val="20"/>
              </w:rPr>
            </w:pPr>
            <w:proofErr w:type="spellStart"/>
            <w:r w:rsidRPr="00BE237C">
              <w:rPr>
                <w:sz w:val="20"/>
                <w:szCs w:val="20"/>
              </w:rPr>
              <w:t>tbFaixaEtaria</w:t>
            </w:r>
            <w:proofErr w:type="spellEnd"/>
          </w:p>
        </w:tc>
        <w:tc>
          <w:tcPr>
            <w:tcW w:w="5694" w:type="dxa"/>
            <w:hideMark/>
          </w:tcPr>
          <w:p w14:paraId="02A97D4C" w14:textId="77777777" w:rsidR="009954C9" w:rsidRPr="00BE237C" w:rsidRDefault="009954C9" w:rsidP="00A373B0">
            <w:pPr>
              <w:jc w:val="both"/>
              <w:rPr>
                <w:sz w:val="20"/>
                <w:szCs w:val="20"/>
              </w:rPr>
            </w:pPr>
            <w:r w:rsidRPr="00BE237C">
              <w:rPr>
                <w:sz w:val="20"/>
                <w:szCs w:val="20"/>
              </w:rPr>
              <w:t>Codifica o grupo de idades que serão utilizadas como parâmetro nos estudos</w:t>
            </w:r>
          </w:p>
        </w:tc>
      </w:tr>
      <w:tr w:rsidR="009954C9" w:rsidRPr="00BE237C" w14:paraId="1A658249" w14:textId="77777777" w:rsidTr="00A373B0">
        <w:trPr>
          <w:trHeight w:val="552"/>
        </w:trPr>
        <w:tc>
          <w:tcPr>
            <w:tcW w:w="2547" w:type="dxa"/>
            <w:hideMark/>
          </w:tcPr>
          <w:p w14:paraId="0096C92E" w14:textId="77777777" w:rsidR="009954C9" w:rsidRPr="00BE237C" w:rsidRDefault="009954C9" w:rsidP="00A373B0">
            <w:pPr>
              <w:jc w:val="both"/>
              <w:rPr>
                <w:sz w:val="20"/>
                <w:szCs w:val="20"/>
              </w:rPr>
            </w:pPr>
            <w:proofErr w:type="spellStart"/>
            <w:r w:rsidRPr="00BE237C">
              <w:rPr>
                <w:sz w:val="20"/>
                <w:szCs w:val="20"/>
              </w:rPr>
              <w:t>tbFinanciamento</w:t>
            </w:r>
            <w:proofErr w:type="spellEnd"/>
          </w:p>
        </w:tc>
        <w:tc>
          <w:tcPr>
            <w:tcW w:w="5694" w:type="dxa"/>
            <w:hideMark/>
          </w:tcPr>
          <w:p w14:paraId="33B0A2E2" w14:textId="77777777" w:rsidR="009954C9" w:rsidRPr="00BE237C" w:rsidRDefault="009954C9" w:rsidP="00A373B0">
            <w:pPr>
              <w:jc w:val="both"/>
              <w:rPr>
                <w:sz w:val="20"/>
                <w:szCs w:val="20"/>
              </w:rPr>
            </w:pPr>
            <w:r w:rsidRPr="00BE237C">
              <w:rPr>
                <w:sz w:val="20"/>
                <w:szCs w:val="20"/>
              </w:rPr>
              <w:t>Nomeia o tipo de financiamento e de extrema relevância durante os estudos de programação</w:t>
            </w:r>
          </w:p>
        </w:tc>
      </w:tr>
      <w:tr w:rsidR="009954C9" w:rsidRPr="00BE237C" w14:paraId="37BB611C" w14:textId="77777777" w:rsidTr="00A373B0">
        <w:trPr>
          <w:trHeight w:val="972"/>
        </w:trPr>
        <w:tc>
          <w:tcPr>
            <w:tcW w:w="2547" w:type="dxa"/>
          </w:tcPr>
          <w:p w14:paraId="4343E2C1" w14:textId="77777777" w:rsidR="009954C9" w:rsidRPr="00BE237C" w:rsidRDefault="009954C9" w:rsidP="00A373B0">
            <w:pPr>
              <w:jc w:val="both"/>
              <w:rPr>
                <w:sz w:val="20"/>
                <w:szCs w:val="20"/>
              </w:rPr>
            </w:pPr>
            <w:proofErr w:type="spellStart"/>
            <w:r>
              <w:rPr>
                <w:sz w:val="20"/>
                <w:szCs w:val="20"/>
              </w:rPr>
              <w:t>tbFonte</w:t>
            </w:r>
            <w:proofErr w:type="spellEnd"/>
          </w:p>
        </w:tc>
        <w:tc>
          <w:tcPr>
            <w:tcW w:w="5694" w:type="dxa"/>
          </w:tcPr>
          <w:p w14:paraId="1E5ED919" w14:textId="77777777" w:rsidR="009954C9" w:rsidRPr="00BE237C" w:rsidRDefault="009954C9" w:rsidP="00A373B0">
            <w:pPr>
              <w:jc w:val="both"/>
              <w:rPr>
                <w:sz w:val="20"/>
                <w:szCs w:val="20"/>
              </w:rPr>
            </w:pPr>
            <w:r>
              <w:rPr>
                <w:sz w:val="20"/>
                <w:szCs w:val="20"/>
              </w:rPr>
              <w:t>?</w:t>
            </w:r>
          </w:p>
        </w:tc>
      </w:tr>
      <w:tr w:rsidR="009954C9" w:rsidRPr="00BE237C" w14:paraId="50412E89" w14:textId="77777777" w:rsidTr="00A373B0">
        <w:trPr>
          <w:trHeight w:val="972"/>
        </w:trPr>
        <w:tc>
          <w:tcPr>
            <w:tcW w:w="2547" w:type="dxa"/>
            <w:hideMark/>
          </w:tcPr>
          <w:p w14:paraId="2A893E86" w14:textId="77777777" w:rsidR="009954C9" w:rsidRPr="00BE237C" w:rsidRDefault="009954C9" w:rsidP="00A373B0">
            <w:pPr>
              <w:jc w:val="both"/>
              <w:rPr>
                <w:sz w:val="20"/>
                <w:szCs w:val="20"/>
              </w:rPr>
            </w:pPr>
            <w:proofErr w:type="spellStart"/>
            <w:r w:rsidRPr="00BE237C">
              <w:rPr>
                <w:sz w:val="20"/>
                <w:szCs w:val="20"/>
              </w:rPr>
              <w:t>tbFormaOrganizacao</w:t>
            </w:r>
            <w:proofErr w:type="spellEnd"/>
          </w:p>
        </w:tc>
        <w:tc>
          <w:tcPr>
            <w:tcW w:w="5694" w:type="dxa"/>
            <w:hideMark/>
          </w:tcPr>
          <w:p w14:paraId="6E305BDD" w14:textId="77777777" w:rsidR="009954C9" w:rsidRPr="00BE237C" w:rsidRDefault="009954C9" w:rsidP="00A373B0">
            <w:pPr>
              <w:jc w:val="both"/>
              <w:rPr>
                <w:sz w:val="20"/>
                <w:szCs w:val="20"/>
              </w:rPr>
            </w:pPr>
            <w:r w:rsidRPr="00BE237C">
              <w:rPr>
                <w:sz w:val="20"/>
                <w:szCs w:val="20"/>
              </w:rPr>
              <w:t xml:space="preserve">Nomeia as Formas de Organização, precede ao Procedimento, e pode-se buscar por Grupo e Subgrupo. Seu código na PPI é encontrado por meio de sua </w:t>
            </w:r>
            <w:proofErr w:type="spellStart"/>
            <w:r w:rsidRPr="00BE237C">
              <w:rPr>
                <w:sz w:val="20"/>
                <w:szCs w:val="20"/>
              </w:rPr>
              <w:t>idAssistencia</w:t>
            </w:r>
            <w:proofErr w:type="spellEnd"/>
          </w:p>
        </w:tc>
      </w:tr>
      <w:tr w:rsidR="009954C9" w:rsidRPr="00BE237C" w14:paraId="497693C5" w14:textId="77777777" w:rsidTr="00A373B0">
        <w:trPr>
          <w:trHeight w:val="574"/>
        </w:trPr>
        <w:tc>
          <w:tcPr>
            <w:tcW w:w="2547" w:type="dxa"/>
            <w:hideMark/>
          </w:tcPr>
          <w:p w14:paraId="6FA32458" w14:textId="77777777" w:rsidR="009954C9" w:rsidRPr="00BE237C" w:rsidRDefault="009954C9" w:rsidP="00A373B0">
            <w:pPr>
              <w:jc w:val="both"/>
              <w:rPr>
                <w:sz w:val="20"/>
                <w:szCs w:val="20"/>
              </w:rPr>
            </w:pPr>
            <w:proofErr w:type="spellStart"/>
            <w:r w:rsidRPr="00BE237C">
              <w:rPr>
                <w:sz w:val="20"/>
                <w:szCs w:val="20"/>
              </w:rPr>
              <w:t>tbFormulaCalculo</w:t>
            </w:r>
            <w:proofErr w:type="spellEnd"/>
          </w:p>
        </w:tc>
        <w:tc>
          <w:tcPr>
            <w:tcW w:w="5694" w:type="dxa"/>
            <w:hideMark/>
          </w:tcPr>
          <w:p w14:paraId="60B6375B" w14:textId="77777777" w:rsidR="009954C9" w:rsidRPr="00BE237C" w:rsidRDefault="009954C9" w:rsidP="00A373B0">
            <w:pPr>
              <w:jc w:val="both"/>
              <w:rPr>
                <w:sz w:val="20"/>
                <w:szCs w:val="20"/>
              </w:rPr>
            </w:pPr>
            <w:r w:rsidRPr="00BE237C">
              <w:rPr>
                <w:sz w:val="20"/>
                <w:szCs w:val="20"/>
              </w:rPr>
              <w:t>Descrição das fórmulas utilizadas para os cálculos de estudos e programação. Seu código é um norteador.</w:t>
            </w:r>
          </w:p>
        </w:tc>
      </w:tr>
      <w:tr w:rsidR="009954C9" w:rsidRPr="00BE237C" w14:paraId="389FCE86" w14:textId="77777777" w:rsidTr="00A373B0">
        <w:trPr>
          <w:trHeight w:val="600"/>
        </w:trPr>
        <w:tc>
          <w:tcPr>
            <w:tcW w:w="2547" w:type="dxa"/>
            <w:hideMark/>
          </w:tcPr>
          <w:p w14:paraId="650FD41E" w14:textId="77777777" w:rsidR="009954C9" w:rsidRPr="00BE237C" w:rsidRDefault="009954C9" w:rsidP="00A373B0">
            <w:pPr>
              <w:jc w:val="both"/>
              <w:rPr>
                <w:sz w:val="20"/>
                <w:szCs w:val="20"/>
              </w:rPr>
            </w:pPr>
            <w:proofErr w:type="spellStart"/>
            <w:r w:rsidRPr="00BE237C">
              <w:rPr>
                <w:sz w:val="20"/>
                <w:szCs w:val="20"/>
              </w:rPr>
              <w:t>tbGestao</w:t>
            </w:r>
            <w:proofErr w:type="spellEnd"/>
          </w:p>
        </w:tc>
        <w:tc>
          <w:tcPr>
            <w:tcW w:w="5694" w:type="dxa"/>
            <w:hideMark/>
          </w:tcPr>
          <w:p w14:paraId="2B495DCA" w14:textId="77777777" w:rsidR="009954C9" w:rsidRPr="00BE237C" w:rsidRDefault="009954C9" w:rsidP="00A373B0">
            <w:pPr>
              <w:jc w:val="both"/>
              <w:rPr>
                <w:sz w:val="20"/>
                <w:szCs w:val="20"/>
              </w:rPr>
            </w:pPr>
            <w:r w:rsidRPr="00BE237C">
              <w:rPr>
                <w:sz w:val="20"/>
                <w:szCs w:val="20"/>
              </w:rPr>
              <w:t>Nomeia a gestão programada na PPI: Municipal ou Estadual</w:t>
            </w:r>
          </w:p>
        </w:tc>
      </w:tr>
      <w:tr w:rsidR="009954C9" w:rsidRPr="00BE237C" w14:paraId="0674D72B" w14:textId="77777777" w:rsidTr="00A373B0">
        <w:trPr>
          <w:trHeight w:val="790"/>
        </w:trPr>
        <w:tc>
          <w:tcPr>
            <w:tcW w:w="2547" w:type="dxa"/>
            <w:hideMark/>
          </w:tcPr>
          <w:p w14:paraId="65C2B0BC" w14:textId="77777777" w:rsidR="009954C9" w:rsidRPr="00BE237C" w:rsidRDefault="009954C9" w:rsidP="00A373B0">
            <w:pPr>
              <w:jc w:val="both"/>
              <w:rPr>
                <w:sz w:val="20"/>
                <w:szCs w:val="20"/>
              </w:rPr>
            </w:pPr>
            <w:proofErr w:type="spellStart"/>
            <w:r w:rsidRPr="00BE237C">
              <w:rPr>
                <w:sz w:val="20"/>
                <w:szCs w:val="20"/>
              </w:rPr>
              <w:t>tbGrupo</w:t>
            </w:r>
            <w:proofErr w:type="spellEnd"/>
          </w:p>
        </w:tc>
        <w:tc>
          <w:tcPr>
            <w:tcW w:w="5694" w:type="dxa"/>
            <w:hideMark/>
          </w:tcPr>
          <w:p w14:paraId="79031621" w14:textId="77777777" w:rsidR="009954C9" w:rsidRPr="00BE237C" w:rsidRDefault="009954C9" w:rsidP="00A373B0">
            <w:pPr>
              <w:jc w:val="both"/>
              <w:rPr>
                <w:sz w:val="20"/>
                <w:szCs w:val="20"/>
              </w:rPr>
            </w:pPr>
            <w:r w:rsidRPr="00BE237C">
              <w:rPr>
                <w:sz w:val="20"/>
                <w:szCs w:val="20"/>
              </w:rPr>
              <w:t>Início dos agrupamentos que terminam com a formação do código do procedimento. Nomeia os grupos da tabela do SIGTAP. Detalhe para o grupo 9, exclusivo da PPI</w:t>
            </w:r>
          </w:p>
        </w:tc>
      </w:tr>
      <w:tr w:rsidR="009954C9" w:rsidRPr="00BE237C" w14:paraId="3734FABA" w14:textId="77777777" w:rsidTr="00A373B0">
        <w:trPr>
          <w:trHeight w:val="560"/>
        </w:trPr>
        <w:tc>
          <w:tcPr>
            <w:tcW w:w="2547" w:type="dxa"/>
            <w:hideMark/>
          </w:tcPr>
          <w:p w14:paraId="4B6F44BE" w14:textId="77777777" w:rsidR="009954C9" w:rsidRPr="00BE237C" w:rsidRDefault="009954C9" w:rsidP="00A373B0">
            <w:pPr>
              <w:jc w:val="both"/>
              <w:rPr>
                <w:sz w:val="20"/>
                <w:szCs w:val="20"/>
              </w:rPr>
            </w:pPr>
            <w:proofErr w:type="spellStart"/>
            <w:r w:rsidRPr="00BE237C">
              <w:rPr>
                <w:sz w:val="20"/>
                <w:szCs w:val="20"/>
              </w:rPr>
              <w:t>tbInconsistência</w:t>
            </w:r>
            <w:proofErr w:type="spellEnd"/>
          </w:p>
        </w:tc>
        <w:tc>
          <w:tcPr>
            <w:tcW w:w="5694" w:type="dxa"/>
            <w:hideMark/>
          </w:tcPr>
          <w:p w14:paraId="06AD08BD" w14:textId="77777777" w:rsidR="009954C9" w:rsidRPr="00BE237C" w:rsidRDefault="009954C9" w:rsidP="00A373B0">
            <w:pPr>
              <w:jc w:val="both"/>
              <w:rPr>
                <w:sz w:val="20"/>
                <w:szCs w:val="20"/>
              </w:rPr>
            </w:pPr>
            <w:r w:rsidRPr="00BE237C">
              <w:rPr>
                <w:sz w:val="20"/>
                <w:szCs w:val="20"/>
              </w:rPr>
              <w:t xml:space="preserve">Inconsistências na publicação de portarias que aguardam resolução </w:t>
            </w:r>
          </w:p>
        </w:tc>
      </w:tr>
      <w:tr w:rsidR="009954C9" w:rsidRPr="00BE237C" w14:paraId="592EDC59" w14:textId="77777777" w:rsidTr="00A373B0">
        <w:trPr>
          <w:trHeight w:val="696"/>
        </w:trPr>
        <w:tc>
          <w:tcPr>
            <w:tcW w:w="2547" w:type="dxa"/>
            <w:hideMark/>
          </w:tcPr>
          <w:p w14:paraId="068370AA" w14:textId="77777777" w:rsidR="009954C9" w:rsidRPr="00BE237C" w:rsidRDefault="009954C9" w:rsidP="00A373B0">
            <w:pPr>
              <w:jc w:val="both"/>
              <w:rPr>
                <w:sz w:val="20"/>
                <w:szCs w:val="20"/>
              </w:rPr>
            </w:pPr>
            <w:proofErr w:type="spellStart"/>
            <w:r w:rsidRPr="00BE237C">
              <w:rPr>
                <w:sz w:val="20"/>
                <w:szCs w:val="20"/>
              </w:rPr>
              <w:t>tbIncremento</w:t>
            </w:r>
            <w:proofErr w:type="spellEnd"/>
          </w:p>
        </w:tc>
        <w:tc>
          <w:tcPr>
            <w:tcW w:w="5694" w:type="dxa"/>
            <w:hideMark/>
          </w:tcPr>
          <w:p w14:paraId="7B85DAFB" w14:textId="77777777" w:rsidR="009954C9" w:rsidRPr="00BE237C" w:rsidRDefault="009954C9" w:rsidP="00A373B0">
            <w:pPr>
              <w:jc w:val="both"/>
              <w:rPr>
                <w:sz w:val="20"/>
                <w:szCs w:val="20"/>
              </w:rPr>
            </w:pPr>
            <w:r w:rsidRPr="00BE237C">
              <w:rPr>
                <w:sz w:val="20"/>
                <w:szCs w:val="20"/>
              </w:rPr>
              <w:t xml:space="preserve">Tabela que registra os percentuais de incremento sobre os valores de tabela de procedimentos específicos. </w:t>
            </w:r>
          </w:p>
        </w:tc>
      </w:tr>
      <w:tr w:rsidR="009954C9" w:rsidRPr="00BE237C" w14:paraId="7347D3C2" w14:textId="77777777" w:rsidTr="00A373B0">
        <w:trPr>
          <w:trHeight w:val="600"/>
        </w:trPr>
        <w:tc>
          <w:tcPr>
            <w:tcW w:w="2547" w:type="dxa"/>
            <w:hideMark/>
          </w:tcPr>
          <w:p w14:paraId="75C82443" w14:textId="77777777" w:rsidR="009954C9" w:rsidRPr="00BE237C" w:rsidRDefault="009954C9" w:rsidP="00A373B0">
            <w:pPr>
              <w:jc w:val="both"/>
              <w:rPr>
                <w:sz w:val="20"/>
                <w:szCs w:val="20"/>
              </w:rPr>
            </w:pPr>
            <w:proofErr w:type="spellStart"/>
            <w:r w:rsidRPr="00BE237C">
              <w:rPr>
                <w:sz w:val="20"/>
                <w:szCs w:val="20"/>
              </w:rPr>
              <w:lastRenderedPageBreak/>
              <w:t>tbInstrumentoRegistro</w:t>
            </w:r>
            <w:proofErr w:type="spellEnd"/>
          </w:p>
        </w:tc>
        <w:tc>
          <w:tcPr>
            <w:tcW w:w="5694" w:type="dxa"/>
            <w:hideMark/>
          </w:tcPr>
          <w:p w14:paraId="1A2407B1" w14:textId="77777777" w:rsidR="009954C9" w:rsidRPr="00BE237C" w:rsidRDefault="009954C9" w:rsidP="00A373B0">
            <w:pPr>
              <w:jc w:val="both"/>
              <w:rPr>
                <w:sz w:val="20"/>
                <w:szCs w:val="20"/>
              </w:rPr>
            </w:pPr>
            <w:r w:rsidRPr="00BE237C">
              <w:rPr>
                <w:sz w:val="20"/>
                <w:szCs w:val="20"/>
              </w:rPr>
              <w:t>Nomeia os tipos de instrumento de registro ligados aos procedimentos e internação</w:t>
            </w:r>
          </w:p>
        </w:tc>
      </w:tr>
      <w:tr w:rsidR="009954C9" w:rsidRPr="00BE237C" w14:paraId="3FF8F3C8" w14:textId="77777777" w:rsidTr="00A373B0">
        <w:trPr>
          <w:trHeight w:val="300"/>
        </w:trPr>
        <w:tc>
          <w:tcPr>
            <w:tcW w:w="2547" w:type="dxa"/>
            <w:hideMark/>
          </w:tcPr>
          <w:p w14:paraId="2593BE1A" w14:textId="77777777" w:rsidR="009954C9" w:rsidRPr="00BE237C" w:rsidRDefault="009954C9" w:rsidP="00A373B0">
            <w:pPr>
              <w:jc w:val="both"/>
              <w:rPr>
                <w:sz w:val="20"/>
                <w:szCs w:val="20"/>
              </w:rPr>
            </w:pPr>
            <w:proofErr w:type="spellStart"/>
            <w:r w:rsidRPr="00BE237C">
              <w:rPr>
                <w:sz w:val="20"/>
                <w:szCs w:val="20"/>
              </w:rPr>
              <w:t>tbMacrorregiao</w:t>
            </w:r>
            <w:proofErr w:type="spellEnd"/>
          </w:p>
        </w:tc>
        <w:tc>
          <w:tcPr>
            <w:tcW w:w="5694" w:type="dxa"/>
            <w:hideMark/>
          </w:tcPr>
          <w:p w14:paraId="2FF0B267" w14:textId="77777777" w:rsidR="009954C9" w:rsidRPr="00BE237C" w:rsidRDefault="009954C9" w:rsidP="00A373B0">
            <w:pPr>
              <w:jc w:val="both"/>
              <w:rPr>
                <w:sz w:val="20"/>
                <w:szCs w:val="20"/>
              </w:rPr>
            </w:pPr>
            <w:r w:rsidRPr="00BE237C">
              <w:rPr>
                <w:sz w:val="20"/>
                <w:szCs w:val="20"/>
              </w:rPr>
              <w:t>Nomeia as macrorregiões</w:t>
            </w:r>
          </w:p>
        </w:tc>
      </w:tr>
      <w:tr w:rsidR="009954C9" w:rsidRPr="00BE237C" w14:paraId="4291BD4F" w14:textId="77777777" w:rsidTr="00A373B0">
        <w:trPr>
          <w:trHeight w:val="300"/>
        </w:trPr>
        <w:tc>
          <w:tcPr>
            <w:tcW w:w="2547" w:type="dxa"/>
            <w:hideMark/>
          </w:tcPr>
          <w:p w14:paraId="4CAD1BBE" w14:textId="77777777" w:rsidR="009954C9" w:rsidRPr="00BE237C" w:rsidRDefault="009954C9" w:rsidP="00A373B0">
            <w:pPr>
              <w:jc w:val="both"/>
              <w:rPr>
                <w:sz w:val="20"/>
                <w:szCs w:val="20"/>
              </w:rPr>
            </w:pPr>
            <w:proofErr w:type="spellStart"/>
            <w:r w:rsidRPr="00BE237C">
              <w:rPr>
                <w:sz w:val="20"/>
                <w:szCs w:val="20"/>
              </w:rPr>
              <w:t>tbMicrorregiao</w:t>
            </w:r>
            <w:proofErr w:type="spellEnd"/>
          </w:p>
        </w:tc>
        <w:tc>
          <w:tcPr>
            <w:tcW w:w="5694" w:type="dxa"/>
            <w:hideMark/>
          </w:tcPr>
          <w:p w14:paraId="280E2AEE" w14:textId="77777777" w:rsidR="009954C9" w:rsidRPr="00BE237C" w:rsidRDefault="009954C9" w:rsidP="00A373B0">
            <w:pPr>
              <w:jc w:val="both"/>
              <w:rPr>
                <w:sz w:val="20"/>
                <w:szCs w:val="20"/>
              </w:rPr>
            </w:pPr>
            <w:r w:rsidRPr="00BE237C">
              <w:rPr>
                <w:sz w:val="20"/>
                <w:szCs w:val="20"/>
              </w:rPr>
              <w:t>Nomeia as microrregiões</w:t>
            </w:r>
          </w:p>
        </w:tc>
      </w:tr>
      <w:tr w:rsidR="009954C9" w:rsidRPr="00BE237C" w14:paraId="07A3AADA" w14:textId="77777777" w:rsidTr="00A373B0">
        <w:trPr>
          <w:trHeight w:val="1036"/>
        </w:trPr>
        <w:tc>
          <w:tcPr>
            <w:tcW w:w="2547" w:type="dxa"/>
            <w:hideMark/>
          </w:tcPr>
          <w:p w14:paraId="6C185929" w14:textId="77777777" w:rsidR="009954C9" w:rsidRPr="00BE237C" w:rsidRDefault="009954C9" w:rsidP="00A373B0">
            <w:pPr>
              <w:jc w:val="both"/>
              <w:rPr>
                <w:sz w:val="20"/>
                <w:szCs w:val="20"/>
              </w:rPr>
            </w:pPr>
            <w:proofErr w:type="spellStart"/>
            <w:r w:rsidRPr="00BE237C">
              <w:rPr>
                <w:sz w:val="20"/>
                <w:szCs w:val="20"/>
              </w:rPr>
              <w:t>tbMunicipio</w:t>
            </w:r>
            <w:proofErr w:type="spellEnd"/>
          </w:p>
        </w:tc>
        <w:tc>
          <w:tcPr>
            <w:tcW w:w="5694" w:type="dxa"/>
            <w:hideMark/>
          </w:tcPr>
          <w:p w14:paraId="7D217573" w14:textId="77777777" w:rsidR="009954C9" w:rsidRPr="00BE237C" w:rsidRDefault="009954C9" w:rsidP="00A373B0">
            <w:pPr>
              <w:jc w:val="both"/>
              <w:rPr>
                <w:sz w:val="20"/>
                <w:szCs w:val="20"/>
              </w:rPr>
            </w:pPr>
            <w:r w:rsidRPr="00BE237C">
              <w:rPr>
                <w:sz w:val="20"/>
                <w:szCs w:val="20"/>
              </w:rPr>
              <w:t xml:space="preserve">Nomeia os municípios (de atendimento), detalha suas especificidades e os insere dentro de sua regional, micro e macro, segundo o PDR. Tabela em que o tipo de gestão é alterada, em caso de </w:t>
            </w:r>
            <w:proofErr w:type="spellStart"/>
            <w:r w:rsidRPr="00BE237C">
              <w:rPr>
                <w:sz w:val="20"/>
                <w:szCs w:val="20"/>
              </w:rPr>
              <w:t>plenagem</w:t>
            </w:r>
            <w:proofErr w:type="spellEnd"/>
          </w:p>
        </w:tc>
      </w:tr>
      <w:tr w:rsidR="009954C9" w:rsidRPr="00BE237C" w14:paraId="3F079D53" w14:textId="77777777" w:rsidTr="00A373B0">
        <w:trPr>
          <w:trHeight w:val="300"/>
        </w:trPr>
        <w:tc>
          <w:tcPr>
            <w:tcW w:w="2547" w:type="dxa"/>
            <w:hideMark/>
          </w:tcPr>
          <w:p w14:paraId="2CDE1A3B" w14:textId="77777777" w:rsidR="009954C9" w:rsidRPr="00BE237C" w:rsidRDefault="009954C9" w:rsidP="00A373B0">
            <w:pPr>
              <w:jc w:val="both"/>
              <w:rPr>
                <w:sz w:val="20"/>
                <w:szCs w:val="20"/>
              </w:rPr>
            </w:pPr>
            <w:proofErr w:type="spellStart"/>
            <w:r w:rsidRPr="00BE237C">
              <w:rPr>
                <w:sz w:val="20"/>
                <w:szCs w:val="20"/>
              </w:rPr>
              <w:t>tbNaturezaJuridica</w:t>
            </w:r>
            <w:proofErr w:type="spellEnd"/>
          </w:p>
        </w:tc>
        <w:tc>
          <w:tcPr>
            <w:tcW w:w="5694" w:type="dxa"/>
            <w:hideMark/>
          </w:tcPr>
          <w:p w14:paraId="5FA10347" w14:textId="77777777" w:rsidR="009954C9" w:rsidRPr="00BE237C" w:rsidRDefault="009954C9" w:rsidP="00A373B0">
            <w:pPr>
              <w:jc w:val="both"/>
              <w:rPr>
                <w:sz w:val="20"/>
                <w:szCs w:val="20"/>
              </w:rPr>
            </w:pPr>
            <w:r w:rsidRPr="00BE237C">
              <w:rPr>
                <w:sz w:val="20"/>
                <w:szCs w:val="20"/>
              </w:rPr>
              <w:t>Nomeia o tipo de Natureza Jurídica</w:t>
            </w:r>
          </w:p>
        </w:tc>
      </w:tr>
      <w:tr w:rsidR="009954C9" w:rsidRPr="00BE237C" w14:paraId="158C0A4A" w14:textId="77777777" w:rsidTr="00A373B0">
        <w:trPr>
          <w:trHeight w:val="374"/>
        </w:trPr>
        <w:tc>
          <w:tcPr>
            <w:tcW w:w="2547" w:type="dxa"/>
            <w:hideMark/>
          </w:tcPr>
          <w:p w14:paraId="222B4D86" w14:textId="77777777" w:rsidR="009954C9" w:rsidRPr="00BE237C" w:rsidRDefault="009954C9" w:rsidP="00A373B0">
            <w:pPr>
              <w:jc w:val="both"/>
              <w:rPr>
                <w:sz w:val="20"/>
                <w:szCs w:val="20"/>
              </w:rPr>
            </w:pPr>
            <w:proofErr w:type="spellStart"/>
            <w:r w:rsidRPr="00BE237C">
              <w:rPr>
                <w:sz w:val="20"/>
                <w:szCs w:val="20"/>
              </w:rPr>
              <w:t>tbNaturezaJuridicaGrupo</w:t>
            </w:r>
            <w:proofErr w:type="spellEnd"/>
          </w:p>
        </w:tc>
        <w:tc>
          <w:tcPr>
            <w:tcW w:w="5694" w:type="dxa"/>
            <w:hideMark/>
          </w:tcPr>
          <w:p w14:paraId="7249D562" w14:textId="77777777" w:rsidR="009954C9" w:rsidRPr="00BE237C" w:rsidRDefault="009954C9" w:rsidP="00A373B0">
            <w:pPr>
              <w:jc w:val="both"/>
              <w:rPr>
                <w:sz w:val="20"/>
                <w:szCs w:val="20"/>
              </w:rPr>
            </w:pPr>
            <w:r w:rsidRPr="00BE237C">
              <w:rPr>
                <w:sz w:val="20"/>
                <w:szCs w:val="20"/>
              </w:rPr>
              <w:t>Nomeia o tipo de Natureza Jurídica por grupos</w:t>
            </w:r>
          </w:p>
        </w:tc>
      </w:tr>
      <w:tr w:rsidR="009954C9" w:rsidRPr="00BE237C" w14:paraId="11E53DFC" w14:textId="77777777" w:rsidTr="00A373B0">
        <w:trPr>
          <w:trHeight w:val="600"/>
        </w:trPr>
        <w:tc>
          <w:tcPr>
            <w:tcW w:w="2547" w:type="dxa"/>
            <w:hideMark/>
          </w:tcPr>
          <w:p w14:paraId="38736BC3" w14:textId="77777777" w:rsidR="009954C9" w:rsidRPr="00BE237C" w:rsidRDefault="009954C9" w:rsidP="00A373B0">
            <w:pPr>
              <w:jc w:val="both"/>
              <w:rPr>
                <w:sz w:val="20"/>
                <w:szCs w:val="20"/>
              </w:rPr>
            </w:pPr>
            <w:proofErr w:type="spellStart"/>
            <w:r w:rsidRPr="00BE237C">
              <w:rPr>
                <w:sz w:val="20"/>
                <w:szCs w:val="20"/>
              </w:rPr>
              <w:t>tbNivelRegionalizacao</w:t>
            </w:r>
            <w:proofErr w:type="spellEnd"/>
          </w:p>
        </w:tc>
        <w:tc>
          <w:tcPr>
            <w:tcW w:w="5694" w:type="dxa"/>
            <w:hideMark/>
          </w:tcPr>
          <w:p w14:paraId="3EF9D821" w14:textId="77777777" w:rsidR="009954C9" w:rsidRPr="00BE237C" w:rsidRDefault="009954C9" w:rsidP="00A373B0">
            <w:pPr>
              <w:jc w:val="both"/>
              <w:rPr>
                <w:sz w:val="20"/>
                <w:szCs w:val="20"/>
              </w:rPr>
            </w:pPr>
            <w:r w:rsidRPr="00BE237C">
              <w:rPr>
                <w:sz w:val="20"/>
                <w:szCs w:val="20"/>
              </w:rPr>
              <w:t>Classifica o nível de regionalização que  a Origem está inserida, segundo o PDR</w:t>
            </w:r>
          </w:p>
        </w:tc>
      </w:tr>
      <w:tr w:rsidR="009954C9" w:rsidRPr="00BE237C" w14:paraId="2320BEED" w14:textId="77777777" w:rsidTr="00A373B0">
        <w:trPr>
          <w:trHeight w:val="1408"/>
        </w:trPr>
        <w:tc>
          <w:tcPr>
            <w:tcW w:w="2547" w:type="dxa"/>
            <w:hideMark/>
          </w:tcPr>
          <w:p w14:paraId="2287B7C7" w14:textId="77777777" w:rsidR="009954C9" w:rsidRPr="00BE237C" w:rsidRDefault="009954C9" w:rsidP="00A373B0">
            <w:pPr>
              <w:jc w:val="both"/>
              <w:rPr>
                <w:sz w:val="20"/>
                <w:szCs w:val="20"/>
              </w:rPr>
            </w:pPr>
            <w:proofErr w:type="spellStart"/>
            <w:r w:rsidRPr="00BE237C">
              <w:rPr>
                <w:sz w:val="20"/>
                <w:szCs w:val="20"/>
              </w:rPr>
              <w:t>tbOrigem</w:t>
            </w:r>
            <w:proofErr w:type="spellEnd"/>
          </w:p>
        </w:tc>
        <w:tc>
          <w:tcPr>
            <w:tcW w:w="5694" w:type="dxa"/>
            <w:hideMark/>
          </w:tcPr>
          <w:p w14:paraId="4BA20EDB" w14:textId="77777777" w:rsidR="009954C9" w:rsidRPr="00BE237C" w:rsidRDefault="009954C9" w:rsidP="00A373B0">
            <w:pPr>
              <w:jc w:val="both"/>
              <w:rPr>
                <w:sz w:val="20"/>
                <w:szCs w:val="20"/>
              </w:rPr>
            </w:pPr>
            <w:r w:rsidRPr="00BE237C">
              <w:rPr>
                <w:sz w:val="20"/>
                <w:szCs w:val="20"/>
              </w:rPr>
              <w:t xml:space="preserve">Semelhante a </w:t>
            </w:r>
            <w:proofErr w:type="spellStart"/>
            <w:r w:rsidRPr="00BE237C">
              <w:rPr>
                <w:sz w:val="20"/>
                <w:szCs w:val="20"/>
              </w:rPr>
              <w:t>tbMunicípio</w:t>
            </w:r>
            <w:proofErr w:type="spellEnd"/>
            <w:r w:rsidRPr="00BE237C">
              <w:rPr>
                <w:sz w:val="20"/>
                <w:szCs w:val="20"/>
              </w:rPr>
              <w:t xml:space="preserve"> que trata o município como "Atendimento", esta detalha o munícipio como Origem. Esta diferenciação é importante na construção de consultas de como o financiamento irá se comportar, impacta nos estudos e programações</w:t>
            </w:r>
          </w:p>
        </w:tc>
      </w:tr>
      <w:tr w:rsidR="009954C9" w:rsidRPr="00BE237C" w14:paraId="5F245BE6" w14:textId="77777777" w:rsidTr="00A373B0">
        <w:trPr>
          <w:trHeight w:val="600"/>
        </w:trPr>
        <w:tc>
          <w:tcPr>
            <w:tcW w:w="2547" w:type="dxa"/>
            <w:hideMark/>
          </w:tcPr>
          <w:p w14:paraId="3A495BFF" w14:textId="77777777" w:rsidR="009954C9" w:rsidRPr="00BE237C" w:rsidRDefault="009954C9" w:rsidP="00A373B0">
            <w:pPr>
              <w:jc w:val="both"/>
              <w:rPr>
                <w:sz w:val="20"/>
                <w:szCs w:val="20"/>
              </w:rPr>
            </w:pPr>
            <w:proofErr w:type="spellStart"/>
            <w:r w:rsidRPr="00BE237C">
              <w:rPr>
                <w:sz w:val="20"/>
                <w:szCs w:val="20"/>
              </w:rPr>
              <w:t>tbOrigemRegraParametro</w:t>
            </w:r>
            <w:proofErr w:type="spellEnd"/>
          </w:p>
        </w:tc>
        <w:tc>
          <w:tcPr>
            <w:tcW w:w="5694" w:type="dxa"/>
            <w:hideMark/>
          </w:tcPr>
          <w:p w14:paraId="2B5B0D92" w14:textId="77777777" w:rsidR="009954C9" w:rsidRPr="00BE237C" w:rsidRDefault="009954C9" w:rsidP="00A373B0">
            <w:pPr>
              <w:jc w:val="both"/>
              <w:rPr>
                <w:sz w:val="20"/>
                <w:szCs w:val="20"/>
              </w:rPr>
            </w:pPr>
            <w:r w:rsidRPr="00BE237C">
              <w:rPr>
                <w:sz w:val="20"/>
                <w:szCs w:val="20"/>
              </w:rPr>
              <w:t>?</w:t>
            </w:r>
          </w:p>
        </w:tc>
      </w:tr>
      <w:tr w:rsidR="009954C9" w:rsidRPr="00BE237C" w14:paraId="1B7A061D" w14:textId="77777777" w:rsidTr="00A373B0">
        <w:trPr>
          <w:trHeight w:val="600"/>
        </w:trPr>
        <w:tc>
          <w:tcPr>
            <w:tcW w:w="2547" w:type="dxa"/>
            <w:hideMark/>
          </w:tcPr>
          <w:p w14:paraId="10E679CC" w14:textId="77777777" w:rsidR="009954C9" w:rsidRPr="00BE237C" w:rsidRDefault="009954C9" w:rsidP="00A373B0">
            <w:pPr>
              <w:jc w:val="both"/>
              <w:rPr>
                <w:sz w:val="20"/>
                <w:szCs w:val="20"/>
              </w:rPr>
            </w:pPr>
            <w:proofErr w:type="spellStart"/>
            <w:r w:rsidRPr="00BE237C">
              <w:rPr>
                <w:sz w:val="20"/>
                <w:szCs w:val="20"/>
              </w:rPr>
              <w:t>tbPdr</w:t>
            </w:r>
            <w:proofErr w:type="spellEnd"/>
          </w:p>
        </w:tc>
        <w:tc>
          <w:tcPr>
            <w:tcW w:w="5694" w:type="dxa"/>
            <w:hideMark/>
          </w:tcPr>
          <w:p w14:paraId="74DB4885" w14:textId="77777777" w:rsidR="009954C9" w:rsidRPr="00BE237C" w:rsidRDefault="009954C9" w:rsidP="00A373B0">
            <w:pPr>
              <w:jc w:val="both"/>
              <w:rPr>
                <w:sz w:val="20"/>
                <w:szCs w:val="20"/>
              </w:rPr>
            </w:pPr>
            <w:r>
              <w:rPr>
                <w:sz w:val="20"/>
                <w:szCs w:val="20"/>
              </w:rPr>
              <w:t>A</w:t>
            </w:r>
            <w:r w:rsidRPr="00BE237C">
              <w:rPr>
                <w:sz w:val="20"/>
                <w:szCs w:val="20"/>
              </w:rPr>
              <w:t xml:space="preserve">lterações dos municípios quanto a mudança de regional, micro e </w:t>
            </w:r>
            <w:proofErr w:type="spellStart"/>
            <w:r w:rsidRPr="00BE237C">
              <w:rPr>
                <w:sz w:val="20"/>
                <w:szCs w:val="20"/>
              </w:rPr>
              <w:t>macroregião</w:t>
            </w:r>
            <w:proofErr w:type="spellEnd"/>
          </w:p>
        </w:tc>
      </w:tr>
      <w:tr w:rsidR="009954C9" w:rsidRPr="00BE237C" w14:paraId="3A7DF7CB" w14:textId="77777777" w:rsidTr="00A373B0">
        <w:trPr>
          <w:trHeight w:val="600"/>
        </w:trPr>
        <w:tc>
          <w:tcPr>
            <w:tcW w:w="2547" w:type="dxa"/>
            <w:hideMark/>
          </w:tcPr>
          <w:p w14:paraId="33493A50" w14:textId="77777777" w:rsidR="009954C9" w:rsidRPr="00BE237C" w:rsidRDefault="009954C9" w:rsidP="00A373B0">
            <w:pPr>
              <w:jc w:val="both"/>
              <w:rPr>
                <w:sz w:val="20"/>
                <w:szCs w:val="20"/>
              </w:rPr>
            </w:pPr>
            <w:proofErr w:type="spellStart"/>
            <w:r w:rsidRPr="00BE237C">
              <w:rPr>
                <w:sz w:val="20"/>
                <w:szCs w:val="20"/>
              </w:rPr>
              <w:t>tbPermiteRemanejamento</w:t>
            </w:r>
            <w:proofErr w:type="spellEnd"/>
          </w:p>
        </w:tc>
        <w:tc>
          <w:tcPr>
            <w:tcW w:w="5694" w:type="dxa"/>
            <w:hideMark/>
          </w:tcPr>
          <w:p w14:paraId="1B4ED63F" w14:textId="77777777" w:rsidR="009954C9" w:rsidRPr="00BE237C" w:rsidRDefault="009954C9" w:rsidP="00A373B0">
            <w:pPr>
              <w:jc w:val="both"/>
              <w:rPr>
                <w:sz w:val="20"/>
                <w:szCs w:val="20"/>
              </w:rPr>
            </w:pPr>
            <w:r w:rsidRPr="00BE237C">
              <w:rPr>
                <w:sz w:val="20"/>
                <w:szCs w:val="20"/>
              </w:rPr>
              <w:t>Bloqueia ou permite o remanejamento de recurso durante a programação</w:t>
            </w:r>
          </w:p>
        </w:tc>
      </w:tr>
      <w:tr w:rsidR="009954C9" w:rsidRPr="00BE237C" w14:paraId="7163E968" w14:textId="77777777" w:rsidTr="00A373B0">
        <w:trPr>
          <w:trHeight w:val="703"/>
        </w:trPr>
        <w:tc>
          <w:tcPr>
            <w:tcW w:w="2547" w:type="dxa"/>
            <w:hideMark/>
          </w:tcPr>
          <w:p w14:paraId="0D97F679" w14:textId="77777777" w:rsidR="009954C9" w:rsidRPr="00BE237C" w:rsidRDefault="009954C9" w:rsidP="00A373B0">
            <w:pPr>
              <w:jc w:val="both"/>
              <w:rPr>
                <w:sz w:val="20"/>
                <w:szCs w:val="20"/>
              </w:rPr>
            </w:pPr>
            <w:proofErr w:type="spellStart"/>
            <w:r w:rsidRPr="00BE237C">
              <w:rPr>
                <w:sz w:val="20"/>
                <w:szCs w:val="20"/>
              </w:rPr>
              <w:t>tbPopulacao</w:t>
            </w:r>
            <w:proofErr w:type="spellEnd"/>
          </w:p>
        </w:tc>
        <w:tc>
          <w:tcPr>
            <w:tcW w:w="5694" w:type="dxa"/>
            <w:hideMark/>
          </w:tcPr>
          <w:p w14:paraId="19D73DA0" w14:textId="77777777" w:rsidR="009954C9" w:rsidRPr="00BE237C" w:rsidRDefault="009954C9" w:rsidP="00A373B0">
            <w:pPr>
              <w:jc w:val="both"/>
              <w:rPr>
                <w:sz w:val="20"/>
                <w:szCs w:val="20"/>
              </w:rPr>
            </w:pPr>
            <w:r w:rsidRPr="00BE237C">
              <w:rPr>
                <w:sz w:val="20"/>
                <w:szCs w:val="20"/>
              </w:rPr>
              <w:t>Atualiza a população de cada município de acordo com o último senso, tipo de sexo e tipo de grupo de faixa etária</w:t>
            </w:r>
          </w:p>
        </w:tc>
      </w:tr>
      <w:tr w:rsidR="009954C9" w:rsidRPr="00BE237C" w14:paraId="618C3F5F" w14:textId="77777777" w:rsidTr="00A373B0">
        <w:trPr>
          <w:trHeight w:val="429"/>
        </w:trPr>
        <w:tc>
          <w:tcPr>
            <w:tcW w:w="2547" w:type="dxa"/>
          </w:tcPr>
          <w:p w14:paraId="20FE2329" w14:textId="77777777" w:rsidR="009954C9" w:rsidRPr="00BE237C" w:rsidRDefault="009954C9" w:rsidP="00A373B0">
            <w:pPr>
              <w:jc w:val="both"/>
              <w:rPr>
                <w:sz w:val="20"/>
                <w:szCs w:val="20"/>
              </w:rPr>
            </w:pPr>
            <w:proofErr w:type="spellStart"/>
            <w:r>
              <w:rPr>
                <w:sz w:val="20"/>
                <w:szCs w:val="20"/>
              </w:rPr>
              <w:t>tbPopulacaoFonte</w:t>
            </w:r>
            <w:proofErr w:type="spellEnd"/>
          </w:p>
        </w:tc>
        <w:tc>
          <w:tcPr>
            <w:tcW w:w="5694" w:type="dxa"/>
          </w:tcPr>
          <w:p w14:paraId="5097906B" w14:textId="77777777" w:rsidR="009954C9" w:rsidRPr="00BE237C" w:rsidRDefault="009954C9" w:rsidP="00A373B0">
            <w:pPr>
              <w:jc w:val="both"/>
              <w:rPr>
                <w:sz w:val="20"/>
                <w:szCs w:val="20"/>
              </w:rPr>
            </w:pPr>
            <w:r>
              <w:rPr>
                <w:sz w:val="20"/>
                <w:szCs w:val="20"/>
              </w:rPr>
              <w:t>?</w:t>
            </w:r>
          </w:p>
        </w:tc>
      </w:tr>
      <w:tr w:rsidR="009954C9" w:rsidRPr="00BE237C" w14:paraId="46EB5B6C" w14:textId="77777777" w:rsidTr="00A373B0">
        <w:trPr>
          <w:trHeight w:val="429"/>
        </w:trPr>
        <w:tc>
          <w:tcPr>
            <w:tcW w:w="2547" w:type="dxa"/>
            <w:hideMark/>
          </w:tcPr>
          <w:p w14:paraId="5C680BEE" w14:textId="77777777" w:rsidR="009954C9" w:rsidRPr="00BE237C" w:rsidRDefault="009954C9" w:rsidP="00A373B0">
            <w:pPr>
              <w:jc w:val="both"/>
              <w:rPr>
                <w:sz w:val="20"/>
                <w:szCs w:val="20"/>
              </w:rPr>
            </w:pPr>
            <w:proofErr w:type="spellStart"/>
            <w:r w:rsidRPr="00BE237C">
              <w:rPr>
                <w:sz w:val="20"/>
                <w:szCs w:val="20"/>
              </w:rPr>
              <w:t>tbPortariaSeparaRemanejamento</w:t>
            </w:r>
            <w:proofErr w:type="spellEnd"/>
          </w:p>
        </w:tc>
        <w:tc>
          <w:tcPr>
            <w:tcW w:w="5694" w:type="dxa"/>
            <w:hideMark/>
          </w:tcPr>
          <w:p w14:paraId="1E9EA34C" w14:textId="77777777" w:rsidR="009954C9" w:rsidRPr="00BE237C" w:rsidRDefault="009954C9" w:rsidP="00A373B0">
            <w:pPr>
              <w:jc w:val="both"/>
              <w:rPr>
                <w:sz w:val="20"/>
                <w:szCs w:val="20"/>
              </w:rPr>
            </w:pPr>
            <w:r w:rsidRPr="00BE237C">
              <w:rPr>
                <w:sz w:val="20"/>
                <w:szCs w:val="20"/>
              </w:rPr>
              <w:t>em construção</w:t>
            </w:r>
          </w:p>
        </w:tc>
      </w:tr>
      <w:tr w:rsidR="009954C9" w:rsidRPr="00BE237C" w14:paraId="3CF8B61F" w14:textId="77777777" w:rsidTr="00A373B0">
        <w:trPr>
          <w:trHeight w:val="300"/>
        </w:trPr>
        <w:tc>
          <w:tcPr>
            <w:tcW w:w="2547" w:type="dxa"/>
            <w:hideMark/>
          </w:tcPr>
          <w:p w14:paraId="4E1F1CA5" w14:textId="77777777" w:rsidR="009954C9" w:rsidRPr="00BE237C" w:rsidRDefault="009954C9" w:rsidP="00A373B0">
            <w:pPr>
              <w:jc w:val="both"/>
              <w:rPr>
                <w:sz w:val="20"/>
                <w:szCs w:val="20"/>
              </w:rPr>
            </w:pPr>
            <w:proofErr w:type="spellStart"/>
            <w:r w:rsidRPr="00BE237C">
              <w:rPr>
                <w:sz w:val="20"/>
                <w:szCs w:val="20"/>
              </w:rPr>
              <w:t>tbPpiExcecao</w:t>
            </w:r>
            <w:proofErr w:type="spellEnd"/>
          </w:p>
        </w:tc>
        <w:tc>
          <w:tcPr>
            <w:tcW w:w="5694" w:type="dxa"/>
            <w:hideMark/>
          </w:tcPr>
          <w:p w14:paraId="1A9ABAB0" w14:textId="77777777" w:rsidR="009954C9" w:rsidRPr="00BE237C" w:rsidRDefault="009954C9" w:rsidP="00A373B0">
            <w:pPr>
              <w:jc w:val="both"/>
              <w:rPr>
                <w:sz w:val="20"/>
                <w:szCs w:val="20"/>
              </w:rPr>
            </w:pPr>
            <w:r w:rsidRPr="00BE237C">
              <w:rPr>
                <w:sz w:val="20"/>
                <w:szCs w:val="20"/>
              </w:rPr>
              <w:t>?</w:t>
            </w:r>
          </w:p>
        </w:tc>
      </w:tr>
      <w:tr w:rsidR="009954C9" w:rsidRPr="00BE237C" w14:paraId="761B23E2" w14:textId="77777777" w:rsidTr="00A373B0">
        <w:trPr>
          <w:trHeight w:val="1233"/>
        </w:trPr>
        <w:tc>
          <w:tcPr>
            <w:tcW w:w="2547" w:type="dxa"/>
            <w:hideMark/>
          </w:tcPr>
          <w:p w14:paraId="2C6FA857" w14:textId="77777777" w:rsidR="009954C9" w:rsidRPr="00BE237C" w:rsidRDefault="009954C9" w:rsidP="00A373B0">
            <w:pPr>
              <w:jc w:val="both"/>
              <w:rPr>
                <w:sz w:val="20"/>
                <w:szCs w:val="20"/>
              </w:rPr>
            </w:pPr>
            <w:proofErr w:type="spellStart"/>
            <w:r w:rsidRPr="00BE237C">
              <w:rPr>
                <w:sz w:val="20"/>
                <w:szCs w:val="20"/>
              </w:rPr>
              <w:t>tbPpiOficial</w:t>
            </w:r>
            <w:proofErr w:type="spellEnd"/>
          </w:p>
        </w:tc>
        <w:tc>
          <w:tcPr>
            <w:tcW w:w="5694" w:type="dxa"/>
            <w:hideMark/>
          </w:tcPr>
          <w:p w14:paraId="5299ECB8" w14:textId="77777777" w:rsidR="009954C9" w:rsidRPr="00BE237C" w:rsidRDefault="009954C9" w:rsidP="00A373B0">
            <w:pPr>
              <w:jc w:val="both"/>
              <w:rPr>
                <w:sz w:val="20"/>
                <w:szCs w:val="20"/>
              </w:rPr>
            </w:pPr>
            <w:r w:rsidRPr="00BE237C">
              <w:rPr>
                <w:sz w:val="20"/>
                <w:szCs w:val="20"/>
              </w:rPr>
              <w:t>Tabela que armazena toda a programação da PPI efetuada na competência em análise. Conecta várias tabelas e é uma das principais nos estudos assistencia</w:t>
            </w:r>
            <w:r>
              <w:rPr>
                <w:sz w:val="20"/>
                <w:szCs w:val="20"/>
              </w:rPr>
              <w:t>i</w:t>
            </w:r>
            <w:r w:rsidRPr="00BE237C">
              <w:rPr>
                <w:sz w:val="20"/>
                <w:szCs w:val="20"/>
              </w:rPr>
              <w:t>s. Nos fornece os dados finais da PPI/Mg com atualizações mensais</w:t>
            </w:r>
          </w:p>
        </w:tc>
      </w:tr>
      <w:tr w:rsidR="009954C9" w:rsidRPr="00BE237C" w14:paraId="45AC71C8" w14:textId="77777777" w:rsidTr="00A373B0">
        <w:trPr>
          <w:trHeight w:val="839"/>
        </w:trPr>
        <w:tc>
          <w:tcPr>
            <w:tcW w:w="2547" w:type="dxa"/>
            <w:hideMark/>
          </w:tcPr>
          <w:p w14:paraId="0A3C9B87" w14:textId="77777777" w:rsidR="009954C9" w:rsidRPr="00BE237C" w:rsidRDefault="009954C9" w:rsidP="00A373B0">
            <w:pPr>
              <w:jc w:val="both"/>
              <w:rPr>
                <w:sz w:val="20"/>
                <w:szCs w:val="20"/>
              </w:rPr>
            </w:pPr>
            <w:proofErr w:type="spellStart"/>
            <w:r w:rsidRPr="00BE237C">
              <w:rPr>
                <w:sz w:val="20"/>
                <w:szCs w:val="20"/>
              </w:rPr>
              <w:t>tbPrecoTabela</w:t>
            </w:r>
            <w:proofErr w:type="spellEnd"/>
          </w:p>
        </w:tc>
        <w:tc>
          <w:tcPr>
            <w:tcW w:w="5694" w:type="dxa"/>
            <w:hideMark/>
          </w:tcPr>
          <w:p w14:paraId="5227386C" w14:textId="77777777" w:rsidR="009954C9" w:rsidRPr="00BE237C" w:rsidRDefault="009954C9" w:rsidP="00A373B0">
            <w:pPr>
              <w:jc w:val="both"/>
              <w:rPr>
                <w:sz w:val="20"/>
                <w:szCs w:val="20"/>
              </w:rPr>
            </w:pPr>
            <w:r w:rsidRPr="00BE237C">
              <w:rPr>
                <w:sz w:val="20"/>
                <w:szCs w:val="20"/>
              </w:rPr>
              <w:t xml:space="preserve">Valora a programação na PPI por procedimento, com valores oriundos do SIGTAP. Inclui o valor federal e estadual do </w:t>
            </w:r>
            <w:proofErr w:type="spellStart"/>
            <w:r w:rsidRPr="00BE237C">
              <w:rPr>
                <w:sz w:val="20"/>
                <w:szCs w:val="20"/>
              </w:rPr>
              <w:t>Hemominas</w:t>
            </w:r>
            <w:proofErr w:type="spellEnd"/>
          </w:p>
        </w:tc>
      </w:tr>
      <w:tr w:rsidR="009954C9" w:rsidRPr="00BE237C" w14:paraId="2484D631" w14:textId="77777777" w:rsidTr="00A373B0">
        <w:trPr>
          <w:trHeight w:val="600"/>
        </w:trPr>
        <w:tc>
          <w:tcPr>
            <w:tcW w:w="2547" w:type="dxa"/>
            <w:hideMark/>
          </w:tcPr>
          <w:p w14:paraId="0395EABD" w14:textId="77777777" w:rsidR="009954C9" w:rsidRPr="00BE237C" w:rsidRDefault="009954C9" w:rsidP="00A373B0">
            <w:pPr>
              <w:jc w:val="both"/>
              <w:rPr>
                <w:sz w:val="20"/>
                <w:szCs w:val="20"/>
              </w:rPr>
            </w:pPr>
            <w:proofErr w:type="spellStart"/>
            <w:r w:rsidRPr="00BE237C">
              <w:rPr>
                <w:sz w:val="20"/>
                <w:szCs w:val="20"/>
              </w:rPr>
              <w:t>tbPrecoTabelaMunicipio</w:t>
            </w:r>
            <w:proofErr w:type="spellEnd"/>
          </w:p>
        </w:tc>
        <w:tc>
          <w:tcPr>
            <w:tcW w:w="5694" w:type="dxa"/>
            <w:hideMark/>
          </w:tcPr>
          <w:p w14:paraId="295B0969" w14:textId="77777777" w:rsidR="009954C9" w:rsidRPr="00BE237C" w:rsidRDefault="009954C9" w:rsidP="00A373B0">
            <w:pPr>
              <w:jc w:val="both"/>
              <w:rPr>
                <w:sz w:val="20"/>
                <w:szCs w:val="20"/>
              </w:rPr>
            </w:pPr>
            <w:r w:rsidRPr="00BE237C">
              <w:rPr>
                <w:sz w:val="20"/>
                <w:szCs w:val="20"/>
              </w:rPr>
              <w:t>?</w:t>
            </w:r>
          </w:p>
        </w:tc>
      </w:tr>
      <w:tr w:rsidR="009954C9" w:rsidRPr="00BE237C" w14:paraId="527A558B" w14:textId="77777777" w:rsidTr="00A373B0">
        <w:trPr>
          <w:trHeight w:val="662"/>
        </w:trPr>
        <w:tc>
          <w:tcPr>
            <w:tcW w:w="2547" w:type="dxa"/>
            <w:hideMark/>
          </w:tcPr>
          <w:p w14:paraId="1719CF80" w14:textId="77777777" w:rsidR="009954C9" w:rsidRPr="00BE237C" w:rsidRDefault="009954C9" w:rsidP="00A373B0">
            <w:pPr>
              <w:jc w:val="both"/>
              <w:rPr>
                <w:sz w:val="20"/>
                <w:szCs w:val="20"/>
              </w:rPr>
            </w:pPr>
            <w:proofErr w:type="spellStart"/>
            <w:r w:rsidRPr="00BE237C">
              <w:rPr>
                <w:sz w:val="20"/>
                <w:szCs w:val="20"/>
              </w:rPr>
              <w:t>tbPrestadorDocumento</w:t>
            </w:r>
            <w:proofErr w:type="spellEnd"/>
          </w:p>
        </w:tc>
        <w:tc>
          <w:tcPr>
            <w:tcW w:w="5694" w:type="dxa"/>
            <w:hideMark/>
          </w:tcPr>
          <w:p w14:paraId="543A0FBB" w14:textId="77777777" w:rsidR="009954C9" w:rsidRPr="00BE237C" w:rsidRDefault="009954C9" w:rsidP="00A373B0">
            <w:pPr>
              <w:jc w:val="both"/>
              <w:rPr>
                <w:sz w:val="20"/>
                <w:szCs w:val="20"/>
              </w:rPr>
            </w:pPr>
            <w:r w:rsidRPr="00BE237C">
              <w:rPr>
                <w:sz w:val="20"/>
                <w:szCs w:val="20"/>
              </w:rPr>
              <w:t xml:space="preserve">Detalha a </w:t>
            </w:r>
            <w:proofErr w:type="spellStart"/>
            <w:r w:rsidRPr="00BE237C">
              <w:rPr>
                <w:sz w:val="20"/>
                <w:szCs w:val="20"/>
              </w:rPr>
              <w:t>tbProgramaçãoPrestador</w:t>
            </w:r>
            <w:proofErr w:type="spellEnd"/>
            <w:r w:rsidRPr="00BE237C">
              <w:rPr>
                <w:sz w:val="20"/>
                <w:szCs w:val="20"/>
              </w:rPr>
              <w:t xml:space="preserve"> com registros de documentos e separa remanejamentos</w:t>
            </w:r>
          </w:p>
        </w:tc>
      </w:tr>
      <w:tr w:rsidR="009954C9" w:rsidRPr="00BE237C" w14:paraId="7E7520F7" w14:textId="77777777" w:rsidTr="00A373B0">
        <w:trPr>
          <w:trHeight w:val="900"/>
        </w:trPr>
        <w:tc>
          <w:tcPr>
            <w:tcW w:w="2547" w:type="dxa"/>
            <w:hideMark/>
          </w:tcPr>
          <w:p w14:paraId="3A30A2D1" w14:textId="77777777" w:rsidR="009954C9" w:rsidRPr="00BE237C" w:rsidRDefault="009954C9" w:rsidP="00A373B0">
            <w:pPr>
              <w:jc w:val="both"/>
              <w:rPr>
                <w:sz w:val="20"/>
                <w:szCs w:val="20"/>
              </w:rPr>
            </w:pPr>
            <w:proofErr w:type="spellStart"/>
            <w:r w:rsidRPr="00BE237C">
              <w:rPr>
                <w:sz w:val="20"/>
                <w:szCs w:val="20"/>
              </w:rPr>
              <w:lastRenderedPageBreak/>
              <w:t>tbProcedimento</w:t>
            </w:r>
            <w:proofErr w:type="spellEnd"/>
          </w:p>
        </w:tc>
        <w:tc>
          <w:tcPr>
            <w:tcW w:w="5694" w:type="dxa"/>
            <w:hideMark/>
          </w:tcPr>
          <w:p w14:paraId="76E30649" w14:textId="77777777" w:rsidR="009954C9" w:rsidRPr="00BE237C" w:rsidRDefault="009954C9" w:rsidP="00A373B0">
            <w:pPr>
              <w:jc w:val="both"/>
              <w:rPr>
                <w:sz w:val="20"/>
                <w:szCs w:val="20"/>
              </w:rPr>
            </w:pPr>
            <w:r w:rsidRPr="00BE237C">
              <w:rPr>
                <w:sz w:val="20"/>
                <w:szCs w:val="20"/>
              </w:rPr>
              <w:t>Nomeia os procedimentos, destrincha seu código até os grandes grupos, valora a unidade de acordo com o SIGTAP</w:t>
            </w:r>
          </w:p>
        </w:tc>
      </w:tr>
      <w:tr w:rsidR="009954C9" w:rsidRPr="00BE237C" w14:paraId="1E2D0D23" w14:textId="77777777" w:rsidTr="00A373B0">
        <w:trPr>
          <w:trHeight w:val="300"/>
        </w:trPr>
        <w:tc>
          <w:tcPr>
            <w:tcW w:w="2547" w:type="dxa"/>
            <w:hideMark/>
          </w:tcPr>
          <w:p w14:paraId="6E7EAD12" w14:textId="77777777" w:rsidR="009954C9" w:rsidRPr="00BE237C" w:rsidRDefault="009954C9" w:rsidP="00A373B0">
            <w:pPr>
              <w:jc w:val="both"/>
              <w:rPr>
                <w:sz w:val="20"/>
                <w:szCs w:val="20"/>
              </w:rPr>
            </w:pPr>
            <w:proofErr w:type="spellStart"/>
            <w:r w:rsidRPr="00BE237C">
              <w:rPr>
                <w:sz w:val="20"/>
                <w:szCs w:val="20"/>
              </w:rPr>
              <w:t>tbProgramacaoBloco</w:t>
            </w:r>
            <w:proofErr w:type="spellEnd"/>
          </w:p>
        </w:tc>
        <w:tc>
          <w:tcPr>
            <w:tcW w:w="5694" w:type="dxa"/>
            <w:hideMark/>
          </w:tcPr>
          <w:p w14:paraId="0CC289CC" w14:textId="77777777" w:rsidR="009954C9" w:rsidRPr="00BE237C" w:rsidRDefault="009954C9" w:rsidP="00A373B0">
            <w:pPr>
              <w:jc w:val="both"/>
              <w:rPr>
                <w:sz w:val="20"/>
                <w:szCs w:val="20"/>
              </w:rPr>
            </w:pPr>
            <w:r w:rsidRPr="00BE237C">
              <w:rPr>
                <w:sz w:val="20"/>
                <w:szCs w:val="20"/>
              </w:rPr>
              <w:t>?</w:t>
            </w:r>
          </w:p>
        </w:tc>
      </w:tr>
      <w:tr w:rsidR="009954C9" w:rsidRPr="00BE237C" w14:paraId="4F18476C" w14:textId="77777777" w:rsidTr="00A373B0">
        <w:trPr>
          <w:trHeight w:val="901"/>
        </w:trPr>
        <w:tc>
          <w:tcPr>
            <w:tcW w:w="2547" w:type="dxa"/>
            <w:hideMark/>
          </w:tcPr>
          <w:p w14:paraId="415DA9C4" w14:textId="77777777" w:rsidR="009954C9" w:rsidRPr="00BE237C" w:rsidRDefault="009954C9" w:rsidP="00A373B0">
            <w:pPr>
              <w:jc w:val="both"/>
              <w:rPr>
                <w:sz w:val="20"/>
                <w:szCs w:val="20"/>
              </w:rPr>
            </w:pPr>
            <w:proofErr w:type="spellStart"/>
            <w:r w:rsidRPr="00BE237C">
              <w:rPr>
                <w:sz w:val="20"/>
                <w:szCs w:val="20"/>
              </w:rPr>
              <w:t>tbProgramacaoPrestador</w:t>
            </w:r>
            <w:proofErr w:type="spellEnd"/>
          </w:p>
        </w:tc>
        <w:tc>
          <w:tcPr>
            <w:tcW w:w="5694" w:type="dxa"/>
            <w:hideMark/>
          </w:tcPr>
          <w:p w14:paraId="4146AAEE" w14:textId="77777777" w:rsidR="009954C9" w:rsidRPr="00BE237C" w:rsidRDefault="009954C9" w:rsidP="00A373B0">
            <w:pPr>
              <w:jc w:val="both"/>
              <w:rPr>
                <w:sz w:val="20"/>
                <w:szCs w:val="20"/>
              </w:rPr>
            </w:pPr>
            <w:r w:rsidRPr="00BE237C">
              <w:rPr>
                <w:sz w:val="20"/>
                <w:szCs w:val="20"/>
              </w:rPr>
              <w:t>Detalha a programação por Assistência, Bloco, Separa Remanejamento e CNES, bem como mantêm registro de movimentação dentro destes itens acima</w:t>
            </w:r>
          </w:p>
        </w:tc>
      </w:tr>
      <w:tr w:rsidR="009954C9" w:rsidRPr="00BE237C" w14:paraId="17827626" w14:textId="77777777" w:rsidTr="00A373B0">
        <w:trPr>
          <w:trHeight w:val="600"/>
        </w:trPr>
        <w:tc>
          <w:tcPr>
            <w:tcW w:w="2547" w:type="dxa"/>
            <w:hideMark/>
          </w:tcPr>
          <w:p w14:paraId="7178E7B4" w14:textId="77777777" w:rsidR="009954C9" w:rsidRPr="00BE237C" w:rsidRDefault="009954C9" w:rsidP="00A373B0">
            <w:pPr>
              <w:jc w:val="both"/>
              <w:rPr>
                <w:sz w:val="20"/>
                <w:szCs w:val="20"/>
              </w:rPr>
            </w:pPr>
            <w:proofErr w:type="spellStart"/>
            <w:r w:rsidRPr="00BE237C">
              <w:rPr>
                <w:sz w:val="20"/>
                <w:szCs w:val="20"/>
              </w:rPr>
              <w:t>tbProgramacaoSadt</w:t>
            </w:r>
            <w:proofErr w:type="spellEnd"/>
          </w:p>
        </w:tc>
        <w:tc>
          <w:tcPr>
            <w:tcW w:w="5694" w:type="dxa"/>
            <w:hideMark/>
          </w:tcPr>
          <w:p w14:paraId="465DCCB1" w14:textId="77777777" w:rsidR="009954C9" w:rsidRPr="00BE237C" w:rsidRDefault="009954C9" w:rsidP="00A373B0">
            <w:pPr>
              <w:jc w:val="both"/>
              <w:rPr>
                <w:sz w:val="20"/>
                <w:szCs w:val="20"/>
              </w:rPr>
            </w:pPr>
            <w:r w:rsidRPr="00BE237C">
              <w:rPr>
                <w:sz w:val="20"/>
                <w:szCs w:val="20"/>
              </w:rPr>
              <w:t>Detalha o que foi programado para o SADT dentro da competência atual do Banco</w:t>
            </w:r>
          </w:p>
        </w:tc>
      </w:tr>
      <w:tr w:rsidR="009954C9" w:rsidRPr="00BE237C" w14:paraId="3688B816" w14:textId="77777777" w:rsidTr="00A373B0">
        <w:trPr>
          <w:trHeight w:val="300"/>
        </w:trPr>
        <w:tc>
          <w:tcPr>
            <w:tcW w:w="2547" w:type="dxa"/>
            <w:hideMark/>
          </w:tcPr>
          <w:p w14:paraId="02FB4D1A" w14:textId="77777777" w:rsidR="009954C9" w:rsidRPr="00BE237C" w:rsidRDefault="009954C9" w:rsidP="00A373B0">
            <w:pPr>
              <w:jc w:val="both"/>
              <w:rPr>
                <w:sz w:val="20"/>
                <w:szCs w:val="20"/>
              </w:rPr>
            </w:pPr>
            <w:proofErr w:type="spellStart"/>
            <w:r w:rsidRPr="00BE237C">
              <w:rPr>
                <w:sz w:val="20"/>
                <w:szCs w:val="20"/>
              </w:rPr>
              <w:t>tbProgramadoPpi</w:t>
            </w:r>
            <w:proofErr w:type="spellEnd"/>
          </w:p>
        </w:tc>
        <w:tc>
          <w:tcPr>
            <w:tcW w:w="5694" w:type="dxa"/>
            <w:hideMark/>
          </w:tcPr>
          <w:p w14:paraId="7DC981E2" w14:textId="77777777" w:rsidR="009954C9" w:rsidRPr="00BE237C" w:rsidRDefault="009954C9" w:rsidP="00A373B0">
            <w:pPr>
              <w:jc w:val="both"/>
              <w:rPr>
                <w:sz w:val="20"/>
                <w:szCs w:val="20"/>
              </w:rPr>
            </w:pPr>
            <w:r w:rsidRPr="00BE237C">
              <w:rPr>
                <w:sz w:val="20"/>
                <w:szCs w:val="20"/>
              </w:rPr>
              <w:t>codifica o sim e o não</w:t>
            </w:r>
          </w:p>
        </w:tc>
      </w:tr>
      <w:tr w:rsidR="009954C9" w:rsidRPr="00BE237C" w14:paraId="615DC1BA" w14:textId="77777777" w:rsidTr="00A373B0">
        <w:trPr>
          <w:trHeight w:val="914"/>
        </w:trPr>
        <w:tc>
          <w:tcPr>
            <w:tcW w:w="2547" w:type="dxa"/>
            <w:hideMark/>
          </w:tcPr>
          <w:p w14:paraId="360AEDA6" w14:textId="77777777" w:rsidR="009954C9" w:rsidRPr="00BE237C" w:rsidRDefault="009954C9" w:rsidP="00A373B0">
            <w:pPr>
              <w:jc w:val="both"/>
              <w:rPr>
                <w:sz w:val="20"/>
                <w:szCs w:val="20"/>
              </w:rPr>
            </w:pPr>
            <w:r w:rsidRPr="00BE237C">
              <w:rPr>
                <w:sz w:val="20"/>
                <w:szCs w:val="20"/>
              </w:rPr>
              <w:t>tbQuadro0</w:t>
            </w:r>
          </w:p>
        </w:tc>
        <w:tc>
          <w:tcPr>
            <w:tcW w:w="5694" w:type="dxa"/>
            <w:hideMark/>
          </w:tcPr>
          <w:p w14:paraId="5C4BC1FC" w14:textId="77777777" w:rsidR="009954C9" w:rsidRPr="00BE237C" w:rsidRDefault="009954C9" w:rsidP="00A373B0">
            <w:pPr>
              <w:jc w:val="both"/>
              <w:rPr>
                <w:sz w:val="20"/>
                <w:szCs w:val="20"/>
              </w:rPr>
            </w:pPr>
            <w:r w:rsidRPr="00BE237C">
              <w:rPr>
                <w:sz w:val="20"/>
                <w:szCs w:val="20"/>
              </w:rPr>
              <w:t>Extraída do relatório de remanejamento anterior do SISMAC, é trabalhada a fim de manter apenas o</w:t>
            </w:r>
            <w:r>
              <w:rPr>
                <w:sz w:val="20"/>
                <w:szCs w:val="20"/>
              </w:rPr>
              <w:t>s</w:t>
            </w:r>
            <w:r w:rsidRPr="00BE237C">
              <w:rPr>
                <w:sz w:val="20"/>
                <w:szCs w:val="20"/>
              </w:rPr>
              <w:t xml:space="preserve"> valores municipal e estadual por município. Teto PPI x SISMAC</w:t>
            </w:r>
          </w:p>
        </w:tc>
      </w:tr>
      <w:tr w:rsidR="009954C9" w:rsidRPr="00BE237C" w14:paraId="7D6EEB67" w14:textId="77777777" w:rsidTr="00A373B0">
        <w:trPr>
          <w:trHeight w:val="300"/>
        </w:trPr>
        <w:tc>
          <w:tcPr>
            <w:tcW w:w="2547" w:type="dxa"/>
            <w:hideMark/>
          </w:tcPr>
          <w:p w14:paraId="64DDECF6" w14:textId="77777777" w:rsidR="009954C9" w:rsidRPr="00BE237C" w:rsidRDefault="009954C9" w:rsidP="00A373B0">
            <w:pPr>
              <w:jc w:val="both"/>
              <w:rPr>
                <w:sz w:val="20"/>
                <w:szCs w:val="20"/>
              </w:rPr>
            </w:pPr>
            <w:r w:rsidRPr="00BE237C">
              <w:rPr>
                <w:sz w:val="20"/>
                <w:szCs w:val="20"/>
              </w:rPr>
              <w:t>tbQuadro1</w:t>
            </w:r>
          </w:p>
        </w:tc>
        <w:tc>
          <w:tcPr>
            <w:tcW w:w="5694" w:type="dxa"/>
            <w:hideMark/>
          </w:tcPr>
          <w:p w14:paraId="30D884E4" w14:textId="77777777" w:rsidR="009954C9" w:rsidRPr="00BE237C" w:rsidRDefault="009954C9" w:rsidP="00A373B0">
            <w:pPr>
              <w:jc w:val="both"/>
              <w:rPr>
                <w:sz w:val="20"/>
                <w:szCs w:val="20"/>
              </w:rPr>
            </w:pPr>
            <w:r w:rsidRPr="00BE237C">
              <w:rPr>
                <w:sz w:val="20"/>
                <w:szCs w:val="20"/>
              </w:rPr>
              <w:t>Total da PPI para todos os municípios</w:t>
            </w:r>
          </w:p>
        </w:tc>
      </w:tr>
      <w:tr w:rsidR="009954C9" w:rsidRPr="00BE237C" w14:paraId="2CCE1AEC" w14:textId="77777777" w:rsidTr="00A373B0">
        <w:trPr>
          <w:trHeight w:val="600"/>
        </w:trPr>
        <w:tc>
          <w:tcPr>
            <w:tcW w:w="2547" w:type="dxa"/>
            <w:hideMark/>
          </w:tcPr>
          <w:p w14:paraId="2349C0B0" w14:textId="77777777" w:rsidR="009954C9" w:rsidRPr="00BE237C" w:rsidRDefault="009954C9" w:rsidP="00A373B0">
            <w:pPr>
              <w:jc w:val="both"/>
              <w:rPr>
                <w:sz w:val="20"/>
                <w:szCs w:val="20"/>
              </w:rPr>
            </w:pPr>
            <w:r w:rsidRPr="00BE237C">
              <w:rPr>
                <w:sz w:val="20"/>
                <w:szCs w:val="20"/>
              </w:rPr>
              <w:t>tbQuadro2</w:t>
            </w:r>
          </w:p>
        </w:tc>
        <w:tc>
          <w:tcPr>
            <w:tcW w:w="5694" w:type="dxa"/>
            <w:hideMark/>
          </w:tcPr>
          <w:p w14:paraId="5F71D390" w14:textId="77777777" w:rsidR="009954C9" w:rsidRPr="00BE237C" w:rsidRDefault="009954C9" w:rsidP="00A373B0">
            <w:pPr>
              <w:jc w:val="both"/>
              <w:rPr>
                <w:sz w:val="20"/>
                <w:szCs w:val="20"/>
              </w:rPr>
            </w:pPr>
            <w:r w:rsidRPr="00BE237C">
              <w:rPr>
                <w:sz w:val="20"/>
                <w:szCs w:val="20"/>
              </w:rPr>
              <w:t>Valor total de serviços específicos referente a competência anterior</w:t>
            </w:r>
          </w:p>
        </w:tc>
      </w:tr>
      <w:tr w:rsidR="009954C9" w:rsidRPr="00BE237C" w14:paraId="77D33D1F" w14:textId="77777777" w:rsidTr="00A373B0">
        <w:trPr>
          <w:trHeight w:val="300"/>
        </w:trPr>
        <w:tc>
          <w:tcPr>
            <w:tcW w:w="2547" w:type="dxa"/>
            <w:hideMark/>
          </w:tcPr>
          <w:p w14:paraId="79EBA0E1" w14:textId="77777777" w:rsidR="009954C9" w:rsidRPr="00BE237C" w:rsidRDefault="009954C9" w:rsidP="00A373B0">
            <w:pPr>
              <w:jc w:val="both"/>
              <w:rPr>
                <w:sz w:val="20"/>
                <w:szCs w:val="20"/>
              </w:rPr>
            </w:pPr>
            <w:r w:rsidRPr="00BE237C">
              <w:rPr>
                <w:sz w:val="20"/>
                <w:szCs w:val="20"/>
              </w:rPr>
              <w:t>tbQuadro3</w:t>
            </w:r>
          </w:p>
        </w:tc>
        <w:tc>
          <w:tcPr>
            <w:tcW w:w="5694" w:type="dxa"/>
            <w:hideMark/>
          </w:tcPr>
          <w:p w14:paraId="5F87CD13" w14:textId="77777777" w:rsidR="009954C9" w:rsidRPr="00BE237C" w:rsidRDefault="009954C9" w:rsidP="00A373B0">
            <w:pPr>
              <w:jc w:val="both"/>
              <w:rPr>
                <w:sz w:val="20"/>
                <w:szCs w:val="20"/>
              </w:rPr>
            </w:pPr>
            <w:r w:rsidRPr="00BE237C">
              <w:rPr>
                <w:sz w:val="20"/>
                <w:szCs w:val="20"/>
              </w:rPr>
              <w:t>vazio</w:t>
            </w:r>
          </w:p>
        </w:tc>
      </w:tr>
      <w:tr w:rsidR="009954C9" w:rsidRPr="00BE237C" w14:paraId="1A41F52C" w14:textId="77777777" w:rsidTr="00A373B0">
        <w:trPr>
          <w:trHeight w:val="300"/>
        </w:trPr>
        <w:tc>
          <w:tcPr>
            <w:tcW w:w="2547" w:type="dxa"/>
            <w:hideMark/>
          </w:tcPr>
          <w:p w14:paraId="7DDCCBB0" w14:textId="77777777" w:rsidR="009954C9" w:rsidRPr="00BE237C" w:rsidRDefault="009954C9" w:rsidP="00A373B0">
            <w:pPr>
              <w:jc w:val="both"/>
              <w:rPr>
                <w:sz w:val="20"/>
                <w:szCs w:val="20"/>
              </w:rPr>
            </w:pPr>
            <w:r w:rsidRPr="00BE237C">
              <w:rPr>
                <w:sz w:val="20"/>
                <w:szCs w:val="20"/>
              </w:rPr>
              <w:t>tbQuadro4</w:t>
            </w:r>
          </w:p>
        </w:tc>
        <w:tc>
          <w:tcPr>
            <w:tcW w:w="5694" w:type="dxa"/>
            <w:hideMark/>
          </w:tcPr>
          <w:p w14:paraId="1A7F21D7" w14:textId="77777777" w:rsidR="009954C9" w:rsidRPr="00BE237C" w:rsidRDefault="009954C9" w:rsidP="00A373B0">
            <w:pPr>
              <w:jc w:val="both"/>
              <w:rPr>
                <w:sz w:val="20"/>
                <w:szCs w:val="20"/>
              </w:rPr>
            </w:pPr>
            <w:r w:rsidRPr="00BE237C">
              <w:rPr>
                <w:sz w:val="20"/>
                <w:szCs w:val="20"/>
              </w:rPr>
              <w:t>vazio</w:t>
            </w:r>
          </w:p>
        </w:tc>
      </w:tr>
      <w:tr w:rsidR="009954C9" w:rsidRPr="00BE237C" w14:paraId="300ED0A7" w14:textId="77777777" w:rsidTr="00A373B0">
        <w:trPr>
          <w:trHeight w:val="416"/>
        </w:trPr>
        <w:tc>
          <w:tcPr>
            <w:tcW w:w="2547" w:type="dxa"/>
            <w:hideMark/>
          </w:tcPr>
          <w:p w14:paraId="6F675812" w14:textId="77777777" w:rsidR="009954C9" w:rsidRPr="00BE237C" w:rsidRDefault="009954C9" w:rsidP="00A373B0">
            <w:pPr>
              <w:jc w:val="both"/>
              <w:rPr>
                <w:sz w:val="20"/>
                <w:szCs w:val="20"/>
              </w:rPr>
            </w:pPr>
            <w:r w:rsidRPr="00BE237C">
              <w:rPr>
                <w:sz w:val="20"/>
                <w:szCs w:val="20"/>
              </w:rPr>
              <w:t>tbQuadro5</w:t>
            </w:r>
          </w:p>
        </w:tc>
        <w:tc>
          <w:tcPr>
            <w:tcW w:w="5694" w:type="dxa"/>
            <w:hideMark/>
          </w:tcPr>
          <w:p w14:paraId="6AAAA87E" w14:textId="77777777" w:rsidR="009954C9" w:rsidRPr="00BE237C" w:rsidRDefault="009954C9" w:rsidP="00A373B0">
            <w:pPr>
              <w:jc w:val="both"/>
              <w:rPr>
                <w:sz w:val="20"/>
                <w:szCs w:val="20"/>
              </w:rPr>
            </w:pPr>
            <w:r w:rsidRPr="00BE237C">
              <w:rPr>
                <w:sz w:val="20"/>
                <w:szCs w:val="20"/>
              </w:rPr>
              <w:t>Total da PPI para municípios com gestão estadual</w:t>
            </w:r>
          </w:p>
        </w:tc>
      </w:tr>
      <w:tr w:rsidR="009954C9" w:rsidRPr="00BE237C" w14:paraId="238F38F3" w14:textId="77777777" w:rsidTr="00A373B0">
        <w:trPr>
          <w:trHeight w:val="300"/>
        </w:trPr>
        <w:tc>
          <w:tcPr>
            <w:tcW w:w="2547" w:type="dxa"/>
            <w:hideMark/>
          </w:tcPr>
          <w:p w14:paraId="43675934" w14:textId="77777777" w:rsidR="009954C9" w:rsidRPr="00BE237C" w:rsidRDefault="009954C9" w:rsidP="00A373B0">
            <w:pPr>
              <w:jc w:val="both"/>
              <w:rPr>
                <w:sz w:val="20"/>
                <w:szCs w:val="20"/>
              </w:rPr>
            </w:pPr>
            <w:r w:rsidRPr="00BE237C">
              <w:rPr>
                <w:sz w:val="20"/>
                <w:szCs w:val="20"/>
              </w:rPr>
              <w:t>tbQuadro6</w:t>
            </w:r>
          </w:p>
        </w:tc>
        <w:tc>
          <w:tcPr>
            <w:tcW w:w="5694" w:type="dxa"/>
            <w:hideMark/>
          </w:tcPr>
          <w:p w14:paraId="6ED6051E" w14:textId="77777777" w:rsidR="009954C9" w:rsidRPr="00BE237C" w:rsidRDefault="009954C9" w:rsidP="00A373B0">
            <w:pPr>
              <w:jc w:val="both"/>
              <w:rPr>
                <w:sz w:val="20"/>
                <w:szCs w:val="20"/>
              </w:rPr>
            </w:pPr>
            <w:r w:rsidRPr="00BE237C">
              <w:rPr>
                <w:sz w:val="20"/>
                <w:szCs w:val="20"/>
              </w:rPr>
              <w:t>vazio</w:t>
            </w:r>
          </w:p>
        </w:tc>
      </w:tr>
      <w:tr w:rsidR="009954C9" w:rsidRPr="00BE237C" w14:paraId="1D6C213D" w14:textId="77777777" w:rsidTr="00A373B0">
        <w:trPr>
          <w:trHeight w:val="809"/>
        </w:trPr>
        <w:tc>
          <w:tcPr>
            <w:tcW w:w="2547" w:type="dxa"/>
            <w:hideMark/>
          </w:tcPr>
          <w:p w14:paraId="48888F3A" w14:textId="77777777" w:rsidR="009954C9" w:rsidRPr="00BE237C" w:rsidRDefault="009954C9" w:rsidP="00A373B0">
            <w:pPr>
              <w:jc w:val="both"/>
              <w:rPr>
                <w:sz w:val="20"/>
                <w:szCs w:val="20"/>
              </w:rPr>
            </w:pPr>
            <w:proofErr w:type="spellStart"/>
            <w:r w:rsidRPr="00BE237C">
              <w:rPr>
                <w:sz w:val="20"/>
                <w:szCs w:val="20"/>
              </w:rPr>
              <w:t>tbRede</w:t>
            </w:r>
            <w:proofErr w:type="spellEnd"/>
          </w:p>
        </w:tc>
        <w:tc>
          <w:tcPr>
            <w:tcW w:w="5694" w:type="dxa"/>
            <w:hideMark/>
          </w:tcPr>
          <w:p w14:paraId="39EB92D1" w14:textId="77777777" w:rsidR="009954C9" w:rsidRPr="00BE237C" w:rsidRDefault="009954C9" w:rsidP="00A373B0">
            <w:pPr>
              <w:jc w:val="both"/>
              <w:rPr>
                <w:sz w:val="20"/>
                <w:szCs w:val="20"/>
              </w:rPr>
            </w:pPr>
            <w:r w:rsidRPr="00BE237C">
              <w:rPr>
                <w:sz w:val="20"/>
                <w:szCs w:val="20"/>
              </w:rPr>
              <w:t>É a primeira classificação do Banco. Ela precede o Bloco e todas as categorizações derivadas. São as redes de assistência do SUS</w:t>
            </w:r>
          </w:p>
        </w:tc>
      </w:tr>
      <w:tr w:rsidR="009954C9" w:rsidRPr="00BE237C" w14:paraId="6C2990DE" w14:textId="77777777" w:rsidTr="00A373B0">
        <w:trPr>
          <w:trHeight w:val="693"/>
        </w:trPr>
        <w:tc>
          <w:tcPr>
            <w:tcW w:w="2547" w:type="dxa"/>
            <w:hideMark/>
          </w:tcPr>
          <w:p w14:paraId="5843D54F" w14:textId="77777777" w:rsidR="009954C9" w:rsidRPr="00BE237C" w:rsidRDefault="009954C9" w:rsidP="00A373B0">
            <w:pPr>
              <w:jc w:val="both"/>
              <w:rPr>
                <w:sz w:val="20"/>
                <w:szCs w:val="20"/>
              </w:rPr>
            </w:pPr>
            <w:proofErr w:type="spellStart"/>
            <w:r w:rsidRPr="00BE237C">
              <w:rPr>
                <w:sz w:val="20"/>
                <w:szCs w:val="20"/>
              </w:rPr>
              <w:t>tbRegionalSaude</w:t>
            </w:r>
            <w:proofErr w:type="spellEnd"/>
          </w:p>
        </w:tc>
        <w:tc>
          <w:tcPr>
            <w:tcW w:w="5694" w:type="dxa"/>
            <w:hideMark/>
          </w:tcPr>
          <w:p w14:paraId="3D5B21B9" w14:textId="77777777" w:rsidR="009954C9" w:rsidRPr="00BE237C" w:rsidRDefault="009954C9" w:rsidP="00A373B0">
            <w:pPr>
              <w:jc w:val="both"/>
              <w:rPr>
                <w:sz w:val="20"/>
                <w:szCs w:val="20"/>
              </w:rPr>
            </w:pPr>
            <w:r w:rsidRPr="00BE237C">
              <w:rPr>
                <w:sz w:val="20"/>
                <w:szCs w:val="20"/>
              </w:rPr>
              <w:t>Nomeia as regionais de saúde em duas formas de grafia e as coloca em suas respectivas unidades federativas</w:t>
            </w:r>
          </w:p>
        </w:tc>
      </w:tr>
      <w:tr w:rsidR="009954C9" w:rsidRPr="00BE237C" w14:paraId="59B4BDEF" w14:textId="77777777" w:rsidTr="00A373B0">
        <w:trPr>
          <w:trHeight w:val="600"/>
        </w:trPr>
        <w:tc>
          <w:tcPr>
            <w:tcW w:w="2547" w:type="dxa"/>
            <w:hideMark/>
          </w:tcPr>
          <w:p w14:paraId="11A78C9D" w14:textId="77777777" w:rsidR="009954C9" w:rsidRPr="00BE237C" w:rsidRDefault="009954C9" w:rsidP="00A373B0">
            <w:pPr>
              <w:jc w:val="both"/>
              <w:rPr>
                <w:sz w:val="20"/>
                <w:szCs w:val="20"/>
              </w:rPr>
            </w:pPr>
            <w:proofErr w:type="spellStart"/>
            <w:r w:rsidRPr="00BE237C">
              <w:rPr>
                <w:sz w:val="20"/>
                <w:szCs w:val="20"/>
              </w:rPr>
              <w:t>tbRegistroProcedimento</w:t>
            </w:r>
            <w:proofErr w:type="spellEnd"/>
          </w:p>
        </w:tc>
        <w:tc>
          <w:tcPr>
            <w:tcW w:w="5694" w:type="dxa"/>
            <w:hideMark/>
          </w:tcPr>
          <w:p w14:paraId="63CA0F2B" w14:textId="77777777" w:rsidR="009954C9" w:rsidRPr="00BE237C" w:rsidRDefault="009954C9" w:rsidP="00A373B0">
            <w:pPr>
              <w:jc w:val="both"/>
              <w:rPr>
                <w:sz w:val="20"/>
                <w:szCs w:val="20"/>
              </w:rPr>
            </w:pPr>
            <w:r w:rsidRPr="00BE237C">
              <w:rPr>
                <w:sz w:val="20"/>
                <w:szCs w:val="20"/>
              </w:rPr>
              <w:t>?</w:t>
            </w:r>
          </w:p>
        </w:tc>
      </w:tr>
      <w:tr w:rsidR="009954C9" w:rsidRPr="00BE237C" w14:paraId="37ACF27C" w14:textId="77777777" w:rsidTr="00A373B0">
        <w:trPr>
          <w:trHeight w:val="1235"/>
        </w:trPr>
        <w:tc>
          <w:tcPr>
            <w:tcW w:w="2547" w:type="dxa"/>
            <w:hideMark/>
          </w:tcPr>
          <w:p w14:paraId="05E76773" w14:textId="77777777" w:rsidR="009954C9" w:rsidRPr="00BE237C" w:rsidRDefault="009954C9" w:rsidP="00A373B0">
            <w:pPr>
              <w:jc w:val="both"/>
              <w:rPr>
                <w:sz w:val="20"/>
                <w:szCs w:val="20"/>
              </w:rPr>
            </w:pPr>
            <w:proofErr w:type="spellStart"/>
            <w:r w:rsidRPr="00BE237C">
              <w:rPr>
                <w:sz w:val="20"/>
                <w:szCs w:val="20"/>
              </w:rPr>
              <w:t>tbRegraPopulacional</w:t>
            </w:r>
            <w:proofErr w:type="spellEnd"/>
          </w:p>
        </w:tc>
        <w:tc>
          <w:tcPr>
            <w:tcW w:w="5694" w:type="dxa"/>
            <w:hideMark/>
          </w:tcPr>
          <w:p w14:paraId="1978504A" w14:textId="77777777" w:rsidR="009954C9" w:rsidRPr="00BE237C" w:rsidRDefault="009954C9" w:rsidP="00A373B0">
            <w:pPr>
              <w:jc w:val="both"/>
              <w:rPr>
                <w:sz w:val="20"/>
                <w:szCs w:val="20"/>
              </w:rPr>
            </w:pPr>
            <w:r w:rsidRPr="00BE237C">
              <w:rPr>
                <w:sz w:val="20"/>
                <w:szCs w:val="20"/>
              </w:rPr>
              <w:t xml:space="preserve">São grupos etários específicos para o atendimento de determinado procedimento ou que serão assistidos em determinado incentivo. Nomeia a </w:t>
            </w:r>
            <w:proofErr w:type="spellStart"/>
            <w:r w:rsidRPr="00BE237C">
              <w:rPr>
                <w:sz w:val="20"/>
                <w:szCs w:val="20"/>
              </w:rPr>
              <w:t>tbRegraPopulacionalPopulacao</w:t>
            </w:r>
            <w:proofErr w:type="spellEnd"/>
          </w:p>
        </w:tc>
      </w:tr>
      <w:tr w:rsidR="009954C9" w:rsidRPr="00BE237C" w14:paraId="66F640B0" w14:textId="77777777" w:rsidTr="00A373B0">
        <w:trPr>
          <w:trHeight w:val="600"/>
        </w:trPr>
        <w:tc>
          <w:tcPr>
            <w:tcW w:w="2547" w:type="dxa"/>
            <w:hideMark/>
          </w:tcPr>
          <w:p w14:paraId="00DF6374" w14:textId="77777777" w:rsidR="009954C9" w:rsidRPr="00BE237C" w:rsidRDefault="009954C9" w:rsidP="00A373B0">
            <w:pPr>
              <w:jc w:val="both"/>
              <w:rPr>
                <w:sz w:val="20"/>
                <w:szCs w:val="20"/>
              </w:rPr>
            </w:pPr>
            <w:proofErr w:type="spellStart"/>
            <w:r w:rsidRPr="00BE237C">
              <w:rPr>
                <w:sz w:val="20"/>
                <w:szCs w:val="20"/>
              </w:rPr>
              <w:t>tbRgraPopulacionalIndice</w:t>
            </w:r>
            <w:proofErr w:type="spellEnd"/>
          </w:p>
        </w:tc>
        <w:tc>
          <w:tcPr>
            <w:tcW w:w="5694" w:type="dxa"/>
            <w:hideMark/>
          </w:tcPr>
          <w:p w14:paraId="14F71BE8" w14:textId="77777777" w:rsidR="009954C9" w:rsidRPr="00BE237C" w:rsidRDefault="009954C9" w:rsidP="00A373B0">
            <w:pPr>
              <w:jc w:val="both"/>
              <w:rPr>
                <w:sz w:val="20"/>
                <w:szCs w:val="20"/>
              </w:rPr>
            </w:pPr>
            <w:r w:rsidRPr="00BE237C">
              <w:rPr>
                <w:sz w:val="20"/>
                <w:szCs w:val="20"/>
              </w:rPr>
              <w:t>?</w:t>
            </w:r>
          </w:p>
        </w:tc>
      </w:tr>
      <w:tr w:rsidR="009954C9" w:rsidRPr="00BE237C" w14:paraId="3E3EBB1E" w14:textId="77777777" w:rsidTr="00A373B0">
        <w:trPr>
          <w:trHeight w:val="600"/>
        </w:trPr>
        <w:tc>
          <w:tcPr>
            <w:tcW w:w="2547" w:type="dxa"/>
            <w:hideMark/>
          </w:tcPr>
          <w:p w14:paraId="101C8821" w14:textId="77777777" w:rsidR="009954C9" w:rsidRPr="00BE237C" w:rsidRDefault="009954C9" w:rsidP="00A373B0">
            <w:pPr>
              <w:jc w:val="both"/>
              <w:rPr>
                <w:sz w:val="20"/>
                <w:szCs w:val="20"/>
              </w:rPr>
            </w:pPr>
            <w:proofErr w:type="spellStart"/>
            <w:r w:rsidRPr="00BE237C">
              <w:rPr>
                <w:sz w:val="20"/>
                <w:szCs w:val="20"/>
              </w:rPr>
              <w:t>tbRegraPopulacionalPopulacao</w:t>
            </w:r>
            <w:proofErr w:type="spellEnd"/>
          </w:p>
        </w:tc>
        <w:tc>
          <w:tcPr>
            <w:tcW w:w="5694" w:type="dxa"/>
            <w:hideMark/>
          </w:tcPr>
          <w:p w14:paraId="319F103D" w14:textId="77777777" w:rsidR="009954C9" w:rsidRPr="00BE237C" w:rsidRDefault="009954C9" w:rsidP="00A373B0">
            <w:pPr>
              <w:jc w:val="both"/>
              <w:rPr>
                <w:sz w:val="20"/>
                <w:szCs w:val="20"/>
              </w:rPr>
            </w:pPr>
            <w:r w:rsidRPr="00BE237C">
              <w:rPr>
                <w:sz w:val="20"/>
                <w:szCs w:val="20"/>
              </w:rPr>
              <w:t>Recorte populacional para definir população alvo de determinadas programações</w:t>
            </w:r>
          </w:p>
        </w:tc>
      </w:tr>
      <w:tr w:rsidR="009954C9" w:rsidRPr="00BE237C" w14:paraId="29384E81" w14:textId="77777777" w:rsidTr="00A373B0">
        <w:trPr>
          <w:trHeight w:val="887"/>
        </w:trPr>
        <w:tc>
          <w:tcPr>
            <w:tcW w:w="2547" w:type="dxa"/>
            <w:hideMark/>
          </w:tcPr>
          <w:p w14:paraId="079D4844" w14:textId="77777777" w:rsidR="009954C9" w:rsidRPr="00BE237C" w:rsidRDefault="009954C9" w:rsidP="00A373B0">
            <w:pPr>
              <w:jc w:val="both"/>
              <w:rPr>
                <w:sz w:val="20"/>
                <w:szCs w:val="20"/>
              </w:rPr>
            </w:pPr>
            <w:proofErr w:type="spellStart"/>
            <w:r w:rsidRPr="00BE237C">
              <w:rPr>
                <w:sz w:val="20"/>
                <w:szCs w:val="20"/>
              </w:rPr>
              <w:t>tbRemanejamento</w:t>
            </w:r>
            <w:proofErr w:type="spellEnd"/>
          </w:p>
        </w:tc>
        <w:tc>
          <w:tcPr>
            <w:tcW w:w="5694" w:type="dxa"/>
            <w:hideMark/>
          </w:tcPr>
          <w:p w14:paraId="37EA0E6D" w14:textId="77777777" w:rsidR="009954C9" w:rsidRPr="00BE237C" w:rsidRDefault="009954C9" w:rsidP="00A373B0">
            <w:pPr>
              <w:jc w:val="both"/>
              <w:rPr>
                <w:sz w:val="20"/>
                <w:szCs w:val="20"/>
              </w:rPr>
            </w:pPr>
            <w:r w:rsidRPr="00BE237C">
              <w:rPr>
                <w:sz w:val="20"/>
                <w:szCs w:val="20"/>
              </w:rPr>
              <w:t>É todo o remanejamento processado durante a competência. Ele é oriundo da tabela RMN, que é uma das tabelas bases para a confecção do Banco da PPI</w:t>
            </w:r>
          </w:p>
        </w:tc>
      </w:tr>
      <w:tr w:rsidR="009954C9" w:rsidRPr="00BE237C" w14:paraId="24E7FF79" w14:textId="77777777" w:rsidTr="00A373B0">
        <w:trPr>
          <w:trHeight w:val="300"/>
        </w:trPr>
        <w:tc>
          <w:tcPr>
            <w:tcW w:w="2547" w:type="dxa"/>
            <w:hideMark/>
          </w:tcPr>
          <w:p w14:paraId="70287BB5" w14:textId="77777777" w:rsidR="009954C9" w:rsidRPr="00BE237C" w:rsidRDefault="009954C9" w:rsidP="00A373B0">
            <w:pPr>
              <w:jc w:val="both"/>
              <w:rPr>
                <w:sz w:val="20"/>
                <w:szCs w:val="20"/>
              </w:rPr>
            </w:pPr>
            <w:proofErr w:type="spellStart"/>
            <w:r w:rsidRPr="00BE237C">
              <w:rPr>
                <w:sz w:val="20"/>
                <w:szCs w:val="20"/>
              </w:rPr>
              <w:t>tbRepresentaçãoFisica</w:t>
            </w:r>
            <w:proofErr w:type="spellEnd"/>
          </w:p>
        </w:tc>
        <w:tc>
          <w:tcPr>
            <w:tcW w:w="5694" w:type="dxa"/>
            <w:hideMark/>
          </w:tcPr>
          <w:p w14:paraId="5C1ECE95" w14:textId="77777777" w:rsidR="009954C9" w:rsidRPr="00BE237C" w:rsidRDefault="009954C9" w:rsidP="00A373B0">
            <w:pPr>
              <w:jc w:val="both"/>
              <w:rPr>
                <w:sz w:val="20"/>
                <w:szCs w:val="20"/>
              </w:rPr>
            </w:pPr>
            <w:r w:rsidRPr="00BE237C">
              <w:rPr>
                <w:sz w:val="20"/>
                <w:szCs w:val="20"/>
              </w:rPr>
              <w:t>É o objeto da quantidade programada</w:t>
            </w:r>
          </w:p>
        </w:tc>
      </w:tr>
      <w:tr w:rsidR="009954C9" w:rsidRPr="00BE237C" w14:paraId="7154435A" w14:textId="77777777" w:rsidTr="00A373B0">
        <w:trPr>
          <w:trHeight w:val="600"/>
        </w:trPr>
        <w:tc>
          <w:tcPr>
            <w:tcW w:w="2547" w:type="dxa"/>
            <w:hideMark/>
          </w:tcPr>
          <w:p w14:paraId="73409A86" w14:textId="77777777" w:rsidR="009954C9" w:rsidRPr="00BE237C" w:rsidRDefault="009954C9" w:rsidP="00A373B0">
            <w:pPr>
              <w:jc w:val="both"/>
              <w:rPr>
                <w:sz w:val="20"/>
                <w:szCs w:val="20"/>
              </w:rPr>
            </w:pPr>
            <w:proofErr w:type="spellStart"/>
            <w:r w:rsidRPr="00BE237C">
              <w:rPr>
                <w:sz w:val="20"/>
                <w:szCs w:val="20"/>
              </w:rPr>
              <w:lastRenderedPageBreak/>
              <w:t>tbSadt</w:t>
            </w:r>
            <w:proofErr w:type="spellEnd"/>
          </w:p>
        </w:tc>
        <w:tc>
          <w:tcPr>
            <w:tcW w:w="5694" w:type="dxa"/>
            <w:hideMark/>
          </w:tcPr>
          <w:p w14:paraId="1074F128" w14:textId="77777777" w:rsidR="009954C9" w:rsidRPr="00BE237C" w:rsidRDefault="009954C9" w:rsidP="00A373B0">
            <w:pPr>
              <w:jc w:val="both"/>
              <w:rPr>
                <w:sz w:val="20"/>
                <w:szCs w:val="20"/>
              </w:rPr>
            </w:pPr>
            <w:r w:rsidRPr="00BE237C">
              <w:rPr>
                <w:sz w:val="20"/>
                <w:szCs w:val="20"/>
              </w:rPr>
              <w:t>Nomeia e codifica o SADT presente na programação da PPI</w:t>
            </w:r>
          </w:p>
        </w:tc>
      </w:tr>
      <w:tr w:rsidR="009954C9" w:rsidRPr="00BE237C" w14:paraId="23FC3267" w14:textId="77777777" w:rsidTr="00A373B0">
        <w:trPr>
          <w:trHeight w:val="631"/>
        </w:trPr>
        <w:tc>
          <w:tcPr>
            <w:tcW w:w="2547" w:type="dxa"/>
            <w:hideMark/>
          </w:tcPr>
          <w:p w14:paraId="48A8B9E6" w14:textId="77777777" w:rsidR="009954C9" w:rsidRPr="00BE237C" w:rsidRDefault="009954C9" w:rsidP="00A373B0">
            <w:pPr>
              <w:jc w:val="both"/>
              <w:rPr>
                <w:sz w:val="20"/>
                <w:szCs w:val="20"/>
              </w:rPr>
            </w:pPr>
            <w:proofErr w:type="spellStart"/>
            <w:r w:rsidRPr="00BE237C">
              <w:rPr>
                <w:sz w:val="20"/>
                <w:szCs w:val="20"/>
              </w:rPr>
              <w:t>tbSadtAssistencia</w:t>
            </w:r>
            <w:proofErr w:type="spellEnd"/>
          </w:p>
        </w:tc>
        <w:tc>
          <w:tcPr>
            <w:tcW w:w="5694" w:type="dxa"/>
            <w:hideMark/>
          </w:tcPr>
          <w:p w14:paraId="0BF07D1B" w14:textId="77777777" w:rsidR="009954C9" w:rsidRPr="00BE237C" w:rsidRDefault="009954C9" w:rsidP="00A373B0">
            <w:pPr>
              <w:jc w:val="both"/>
              <w:rPr>
                <w:sz w:val="20"/>
                <w:szCs w:val="20"/>
              </w:rPr>
            </w:pPr>
            <w:r w:rsidRPr="00BE237C">
              <w:rPr>
                <w:sz w:val="20"/>
                <w:szCs w:val="20"/>
              </w:rPr>
              <w:t>Valora o SADT, de acordo com sua programação dentro de uma assistência e bloco</w:t>
            </w:r>
          </w:p>
        </w:tc>
      </w:tr>
      <w:tr w:rsidR="009954C9" w:rsidRPr="00BE237C" w14:paraId="66FC5866" w14:textId="77777777" w:rsidTr="00A373B0">
        <w:trPr>
          <w:trHeight w:val="300"/>
        </w:trPr>
        <w:tc>
          <w:tcPr>
            <w:tcW w:w="2547" w:type="dxa"/>
            <w:hideMark/>
          </w:tcPr>
          <w:p w14:paraId="1D2658BC" w14:textId="77777777" w:rsidR="009954C9" w:rsidRPr="00BE237C" w:rsidRDefault="009954C9" w:rsidP="00A373B0">
            <w:pPr>
              <w:jc w:val="both"/>
              <w:rPr>
                <w:sz w:val="20"/>
                <w:szCs w:val="20"/>
              </w:rPr>
            </w:pPr>
            <w:proofErr w:type="spellStart"/>
            <w:r w:rsidRPr="00BE237C">
              <w:rPr>
                <w:sz w:val="20"/>
                <w:szCs w:val="20"/>
              </w:rPr>
              <w:t>tbSadtProcedimento</w:t>
            </w:r>
            <w:proofErr w:type="spellEnd"/>
          </w:p>
        </w:tc>
        <w:tc>
          <w:tcPr>
            <w:tcW w:w="5694" w:type="dxa"/>
            <w:hideMark/>
          </w:tcPr>
          <w:p w14:paraId="6326EA6E" w14:textId="77777777" w:rsidR="009954C9" w:rsidRPr="00BE237C" w:rsidRDefault="009954C9" w:rsidP="00A373B0">
            <w:pPr>
              <w:jc w:val="both"/>
              <w:rPr>
                <w:sz w:val="20"/>
                <w:szCs w:val="20"/>
              </w:rPr>
            </w:pPr>
            <w:r w:rsidRPr="00BE237C">
              <w:rPr>
                <w:sz w:val="20"/>
                <w:szCs w:val="20"/>
              </w:rPr>
              <w:t>?</w:t>
            </w:r>
          </w:p>
        </w:tc>
      </w:tr>
      <w:tr w:rsidR="009954C9" w:rsidRPr="00BE237C" w14:paraId="120C9C4E" w14:textId="77777777" w:rsidTr="00A373B0">
        <w:trPr>
          <w:trHeight w:val="1097"/>
        </w:trPr>
        <w:tc>
          <w:tcPr>
            <w:tcW w:w="2547" w:type="dxa"/>
            <w:hideMark/>
          </w:tcPr>
          <w:p w14:paraId="79D8241B" w14:textId="77777777" w:rsidR="009954C9" w:rsidRPr="00BE237C" w:rsidRDefault="009954C9" w:rsidP="00A373B0">
            <w:pPr>
              <w:jc w:val="both"/>
              <w:rPr>
                <w:sz w:val="20"/>
                <w:szCs w:val="20"/>
              </w:rPr>
            </w:pPr>
            <w:proofErr w:type="spellStart"/>
            <w:r w:rsidRPr="00BE237C">
              <w:rPr>
                <w:sz w:val="20"/>
                <w:szCs w:val="20"/>
              </w:rPr>
              <w:t>tbSeparaRemanejamento</w:t>
            </w:r>
            <w:proofErr w:type="spellEnd"/>
          </w:p>
        </w:tc>
        <w:tc>
          <w:tcPr>
            <w:tcW w:w="5694" w:type="dxa"/>
            <w:hideMark/>
          </w:tcPr>
          <w:p w14:paraId="73EE24F4" w14:textId="77777777" w:rsidR="009954C9" w:rsidRPr="00BE237C" w:rsidRDefault="009954C9" w:rsidP="00A373B0">
            <w:pPr>
              <w:jc w:val="both"/>
              <w:rPr>
                <w:sz w:val="20"/>
                <w:szCs w:val="20"/>
              </w:rPr>
            </w:pPr>
            <w:r w:rsidRPr="00BE237C">
              <w:rPr>
                <w:sz w:val="20"/>
                <w:szCs w:val="20"/>
              </w:rPr>
              <w:t xml:space="preserve">Representa uma unidade de mudança na PPI (entradas, saídas e mudanças). Associada ao </w:t>
            </w:r>
            <w:proofErr w:type="spellStart"/>
            <w:r w:rsidRPr="00BE237C">
              <w:rPr>
                <w:sz w:val="20"/>
                <w:szCs w:val="20"/>
              </w:rPr>
              <w:t>idDocumento</w:t>
            </w:r>
            <w:proofErr w:type="spellEnd"/>
            <w:r w:rsidRPr="00BE237C">
              <w:rPr>
                <w:sz w:val="20"/>
                <w:szCs w:val="20"/>
              </w:rPr>
              <w:t xml:space="preserve"> é de fundamental importância no processo de Fechamento de Teto para identificação e rastreio de recursos</w:t>
            </w:r>
          </w:p>
        </w:tc>
      </w:tr>
      <w:tr w:rsidR="009954C9" w:rsidRPr="00BE237C" w14:paraId="0587E699" w14:textId="77777777" w:rsidTr="00A373B0">
        <w:trPr>
          <w:trHeight w:val="300"/>
        </w:trPr>
        <w:tc>
          <w:tcPr>
            <w:tcW w:w="2547" w:type="dxa"/>
          </w:tcPr>
          <w:p w14:paraId="08D512F6" w14:textId="77777777" w:rsidR="009954C9" w:rsidRPr="00BE237C" w:rsidRDefault="009954C9" w:rsidP="00A373B0">
            <w:pPr>
              <w:jc w:val="both"/>
              <w:rPr>
                <w:sz w:val="20"/>
                <w:szCs w:val="20"/>
              </w:rPr>
            </w:pPr>
            <w:proofErr w:type="spellStart"/>
            <w:r>
              <w:rPr>
                <w:sz w:val="20"/>
                <w:szCs w:val="20"/>
              </w:rPr>
              <w:t>tbServico</w:t>
            </w:r>
            <w:proofErr w:type="spellEnd"/>
          </w:p>
        </w:tc>
        <w:tc>
          <w:tcPr>
            <w:tcW w:w="5694" w:type="dxa"/>
          </w:tcPr>
          <w:p w14:paraId="71452ACD" w14:textId="77777777" w:rsidR="009954C9" w:rsidRPr="00BE237C" w:rsidRDefault="009954C9" w:rsidP="00A373B0">
            <w:pPr>
              <w:jc w:val="both"/>
              <w:rPr>
                <w:sz w:val="20"/>
                <w:szCs w:val="20"/>
              </w:rPr>
            </w:pPr>
            <w:r>
              <w:rPr>
                <w:sz w:val="20"/>
                <w:szCs w:val="20"/>
              </w:rPr>
              <w:t>?</w:t>
            </w:r>
          </w:p>
        </w:tc>
      </w:tr>
      <w:tr w:rsidR="009954C9" w:rsidRPr="00BE237C" w14:paraId="60A5BC87" w14:textId="77777777" w:rsidTr="00A373B0">
        <w:trPr>
          <w:trHeight w:val="300"/>
        </w:trPr>
        <w:tc>
          <w:tcPr>
            <w:tcW w:w="2547" w:type="dxa"/>
            <w:hideMark/>
          </w:tcPr>
          <w:p w14:paraId="49A63341" w14:textId="77777777" w:rsidR="009954C9" w:rsidRPr="00BE237C" w:rsidRDefault="009954C9" w:rsidP="00A373B0">
            <w:pPr>
              <w:jc w:val="both"/>
              <w:rPr>
                <w:sz w:val="20"/>
                <w:szCs w:val="20"/>
              </w:rPr>
            </w:pPr>
            <w:proofErr w:type="spellStart"/>
            <w:r w:rsidRPr="00BE237C">
              <w:rPr>
                <w:sz w:val="20"/>
                <w:szCs w:val="20"/>
              </w:rPr>
              <w:t>tbSexo</w:t>
            </w:r>
            <w:proofErr w:type="spellEnd"/>
          </w:p>
        </w:tc>
        <w:tc>
          <w:tcPr>
            <w:tcW w:w="5694" w:type="dxa"/>
            <w:hideMark/>
          </w:tcPr>
          <w:p w14:paraId="08091CE2" w14:textId="77777777" w:rsidR="009954C9" w:rsidRPr="00BE237C" w:rsidRDefault="009954C9" w:rsidP="00A373B0">
            <w:pPr>
              <w:jc w:val="both"/>
              <w:rPr>
                <w:sz w:val="20"/>
                <w:szCs w:val="20"/>
              </w:rPr>
            </w:pPr>
            <w:r w:rsidRPr="00BE237C">
              <w:rPr>
                <w:sz w:val="20"/>
                <w:szCs w:val="20"/>
              </w:rPr>
              <w:t>Codifica o gênero nos estudos</w:t>
            </w:r>
          </w:p>
        </w:tc>
      </w:tr>
      <w:tr w:rsidR="009954C9" w:rsidRPr="00BE237C" w14:paraId="38552CA7" w14:textId="77777777" w:rsidTr="00A373B0">
        <w:trPr>
          <w:trHeight w:val="664"/>
        </w:trPr>
        <w:tc>
          <w:tcPr>
            <w:tcW w:w="2547" w:type="dxa"/>
            <w:hideMark/>
          </w:tcPr>
          <w:p w14:paraId="513E6A3F" w14:textId="77777777" w:rsidR="009954C9" w:rsidRPr="00BE237C" w:rsidRDefault="009954C9" w:rsidP="00A373B0">
            <w:pPr>
              <w:jc w:val="both"/>
              <w:rPr>
                <w:sz w:val="20"/>
                <w:szCs w:val="20"/>
              </w:rPr>
            </w:pPr>
            <w:proofErr w:type="spellStart"/>
            <w:r w:rsidRPr="00BE237C">
              <w:rPr>
                <w:sz w:val="20"/>
                <w:szCs w:val="20"/>
              </w:rPr>
              <w:t>tbSismac</w:t>
            </w:r>
            <w:proofErr w:type="spellEnd"/>
          </w:p>
        </w:tc>
        <w:tc>
          <w:tcPr>
            <w:tcW w:w="5694" w:type="dxa"/>
            <w:hideMark/>
          </w:tcPr>
          <w:p w14:paraId="627EDF9B" w14:textId="77777777" w:rsidR="009954C9" w:rsidRPr="00BE237C" w:rsidRDefault="009954C9" w:rsidP="00A373B0">
            <w:pPr>
              <w:jc w:val="both"/>
              <w:rPr>
                <w:sz w:val="20"/>
                <w:szCs w:val="20"/>
              </w:rPr>
            </w:pPr>
            <w:r w:rsidRPr="00BE237C">
              <w:rPr>
                <w:sz w:val="20"/>
                <w:szCs w:val="20"/>
              </w:rPr>
              <w:t>É o arquivo de exportação do SISMAC com todas as portarias cadastradas, alterações e respectivos valores</w:t>
            </w:r>
          </w:p>
        </w:tc>
      </w:tr>
      <w:tr w:rsidR="009954C9" w:rsidRPr="00BE237C" w14:paraId="78CC4988" w14:textId="77777777" w:rsidTr="00A373B0">
        <w:trPr>
          <w:trHeight w:val="600"/>
        </w:trPr>
        <w:tc>
          <w:tcPr>
            <w:tcW w:w="2547" w:type="dxa"/>
            <w:hideMark/>
          </w:tcPr>
          <w:p w14:paraId="369ED95C" w14:textId="77777777" w:rsidR="009954C9" w:rsidRPr="00BE237C" w:rsidRDefault="009954C9" w:rsidP="00A373B0">
            <w:pPr>
              <w:jc w:val="both"/>
              <w:rPr>
                <w:sz w:val="20"/>
                <w:szCs w:val="20"/>
              </w:rPr>
            </w:pPr>
            <w:proofErr w:type="spellStart"/>
            <w:r w:rsidRPr="00BE237C">
              <w:rPr>
                <w:sz w:val="20"/>
                <w:szCs w:val="20"/>
              </w:rPr>
              <w:t>tbSistema</w:t>
            </w:r>
            <w:proofErr w:type="spellEnd"/>
          </w:p>
        </w:tc>
        <w:tc>
          <w:tcPr>
            <w:tcW w:w="5694" w:type="dxa"/>
            <w:hideMark/>
          </w:tcPr>
          <w:p w14:paraId="07057E55" w14:textId="77777777" w:rsidR="009954C9" w:rsidRPr="00BE237C" w:rsidRDefault="009954C9" w:rsidP="00A373B0">
            <w:pPr>
              <w:jc w:val="both"/>
              <w:rPr>
                <w:sz w:val="20"/>
                <w:szCs w:val="20"/>
              </w:rPr>
            </w:pPr>
            <w:r w:rsidRPr="00BE237C">
              <w:rPr>
                <w:sz w:val="20"/>
                <w:szCs w:val="20"/>
              </w:rPr>
              <w:t>Codifica o sistema na programação: ambulatorial, hospitalar ou não se aplica</w:t>
            </w:r>
          </w:p>
        </w:tc>
      </w:tr>
      <w:tr w:rsidR="009954C9" w:rsidRPr="00BE237C" w14:paraId="19F85708" w14:textId="77777777" w:rsidTr="00A373B0">
        <w:trPr>
          <w:trHeight w:val="600"/>
        </w:trPr>
        <w:tc>
          <w:tcPr>
            <w:tcW w:w="2547" w:type="dxa"/>
            <w:hideMark/>
          </w:tcPr>
          <w:p w14:paraId="502DF19F" w14:textId="77777777" w:rsidR="009954C9" w:rsidRPr="00BE237C" w:rsidRDefault="009954C9" w:rsidP="00A373B0">
            <w:pPr>
              <w:jc w:val="both"/>
              <w:rPr>
                <w:sz w:val="20"/>
                <w:szCs w:val="20"/>
              </w:rPr>
            </w:pPr>
            <w:proofErr w:type="spellStart"/>
            <w:r w:rsidRPr="00BE237C">
              <w:rPr>
                <w:sz w:val="20"/>
                <w:szCs w:val="20"/>
              </w:rPr>
              <w:t>tbSituacao</w:t>
            </w:r>
            <w:proofErr w:type="spellEnd"/>
          </w:p>
        </w:tc>
        <w:tc>
          <w:tcPr>
            <w:tcW w:w="5694" w:type="dxa"/>
            <w:hideMark/>
          </w:tcPr>
          <w:p w14:paraId="0D9B4D7C" w14:textId="77777777" w:rsidR="009954C9" w:rsidRPr="00BE237C" w:rsidRDefault="009954C9" w:rsidP="00A373B0">
            <w:pPr>
              <w:jc w:val="both"/>
              <w:rPr>
                <w:sz w:val="20"/>
                <w:szCs w:val="20"/>
              </w:rPr>
            </w:pPr>
            <w:r w:rsidRPr="00BE237C">
              <w:rPr>
                <w:sz w:val="20"/>
                <w:szCs w:val="20"/>
              </w:rPr>
              <w:t>Nomeia as situações, que são casos especiais ocorridos na PPI</w:t>
            </w:r>
          </w:p>
        </w:tc>
      </w:tr>
      <w:tr w:rsidR="009954C9" w:rsidRPr="00BE237C" w14:paraId="47371D69" w14:textId="77777777" w:rsidTr="00A373B0">
        <w:trPr>
          <w:trHeight w:val="479"/>
        </w:trPr>
        <w:tc>
          <w:tcPr>
            <w:tcW w:w="2547" w:type="dxa"/>
            <w:hideMark/>
          </w:tcPr>
          <w:p w14:paraId="672F7E3C" w14:textId="77777777" w:rsidR="009954C9" w:rsidRPr="00BE237C" w:rsidRDefault="009954C9" w:rsidP="00A373B0">
            <w:pPr>
              <w:jc w:val="both"/>
              <w:rPr>
                <w:sz w:val="20"/>
                <w:szCs w:val="20"/>
              </w:rPr>
            </w:pPr>
            <w:proofErr w:type="spellStart"/>
            <w:r w:rsidRPr="00BE237C">
              <w:rPr>
                <w:sz w:val="20"/>
                <w:szCs w:val="20"/>
              </w:rPr>
              <w:t>tbSubgrupo</w:t>
            </w:r>
            <w:proofErr w:type="spellEnd"/>
          </w:p>
        </w:tc>
        <w:tc>
          <w:tcPr>
            <w:tcW w:w="5694" w:type="dxa"/>
            <w:hideMark/>
          </w:tcPr>
          <w:p w14:paraId="240AA3B5" w14:textId="77777777" w:rsidR="009954C9" w:rsidRPr="00BE237C" w:rsidRDefault="009954C9" w:rsidP="00A373B0">
            <w:pPr>
              <w:jc w:val="both"/>
              <w:rPr>
                <w:sz w:val="20"/>
                <w:szCs w:val="20"/>
              </w:rPr>
            </w:pPr>
            <w:r w:rsidRPr="00BE237C">
              <w:rPr>
                <w:sz w:val="20"/>
                <w:szCs w:val="20"/>
              </w:rPr>
              <w:t>Traz o desmembramento do Grupo e nomeia</w:t>
            </w:r>
          </w:p>
        </w:tc>
      </w:tr>
      <w:tr w:rsidR="009954C9" w:rsidRPr="00BE237C" w14:paraId="392FBAA9" w14:textId="77777777" w:rsidTr="00A373B0">
        <w:trPr>
          <w:trHeight w:val="600"/>
        </w:trPr>
        <w:tc>
          <w:tcPr>
            <w:tcW w:w="2547" w:type="dxa"/>
            <w:hideMark/>
          </w:tcPr>
          <w:p w14:paraId="28702A00" w14:textId="77777777" w:rsidR="009954C9" w:rsidRPr="00BE237C" w:rsidRDefault="009954C9" w:rsidP="00A373B0">
            <w:pPr>
              <w:jc w:val="both"/>
              <w:rPr>
                <w:sz w:val="20"/>
                <w:szCs w:val="20"/>
              </w:rPr>
            </w:pPr>
            <w:proofErr w:type="spellStart"/>
            <w:r w:rsidRPr="00BE237C">
              <w:rPr>
                <w:sz w:val="20"/>
                <w:szCs w:val="20"/>
              </w:rPr>
              <w:t>tbTabela</w:t>
            </w:r>
            <w:proofErr w:type="spellEnd"/>
          </w:p>
        </w:tc>
        <w:tc>
          <w:tcPr>
            <w:tcW w:w="5694" w:type="dxa"/>
            <w:hideMark/>
          </w:tcPr>
          <w:p w14:paraId="72080835" w14:textId="77777777" w:rsidR="009954C9" w:rsidRPr="00BE237C" w:rsidRDefault="009954C9" w:rsidP="00A373B0">
            <w:pPr>
              <w:jc w:val="both"/>
              <w:rPr>
                <w:sz w:val="20"/>
                <w:szCs w:val="20"/>
              </w:rPr>
            </w:pPr>
            <w:r>
              <w:rPr>
                <w:sz w:val="20"/>
                <w:szCs w:val="20"/>
              </w:rPr>
              <w:t>D</w:t>
            </w:r>
            <w:r w:rsidRPr="00BE237C">
              <w:rPr>
                <w:sz w:val="20"/>
                <w:szCs w:val="20"/>
              </w:rPr>
              <w:t>escreve cada tabela e traz seu alias, para programação em SQL</w:t>
            </w:r>
          </w:p>
        </w:tc>
      </w:tr>
      <w:tr w:rsidR="009954C9" w:rsidRPr="00BE237C" w14:paraId="41EA1FB3" w14:textId="77777777" w:rsidTr="00A373B0">
        <w:trPr>
          <w:trHeight w:val="1200"/>
        </w:trPr>
        <w:tc>
          <w:tcPr>
            <w:tcW w:w="2547" w:type="dxa"/>
            <w:hideMark/>
          </w:tcPr>
          <w:p w14:paraId="7718C453" w14:textId="77777777" w:rsidR="009954C9" w:rsidRPr="00BE237C" w:rsidRDefault="009954C9" w:rsidP="00A373B0">
            <w:pPr>
              <w:jc w:val="both"/>
              <w:rPr>
                <w:sz w:val="20"/>
                <w:szCs w:val="20"/>
              </w:rPr>
            </w:pPr>
            <w:proofErr w:type="spellStart"/>
            <w:r w:rsidRPr="00BE237C">
              <w:rPr>
                <w:sz w:val="20"/>
                <w:szCs w:val="20"/>
              </w:rPr>
              <w:t>tbTeto</w:t>
            </w:r>
            <w:proofErr w:type="spellEnd"/>
          </w:p>
        </w:tc>
        <w:tc>
          <w:tcPr>
            <w:tcW w:w="5694" w:type="dxa"/>
            <w:hideMark/>
          </w:tcPr>
          <w:p w14:paraId="0C30A9AE" w14:textId="77777777" w:rsidR="009954C9" w:rsidRPr="00BE237C" w:rsidRDefault="009954C9" w:rsidP="00A373B0">
            <w:pPr>
              <w:jc w:val="both"/>
              <w:rPr>
                <w:sz w:val="20"/>
                <w:szCs w:val="20"/>
              </w:rPr>
            </w:pPr>
            <w:r w:rsidRPr="00BE237C">
              <w:rPr>
                <w:sz w:val="20"/>
                <w:szCs w:val="20"/>
              </w:rPr>
              <w:t xml:space="preserve">Nomeia os "grupos" de </w:t>
            </w:r>
            <w:proofErr w:type="spellStart"/>
            <w:r w:rsidRPr="00BE237C">
              <w:rPr>
                <w:sz w:val="20"/>
                <w:szCs w:val="20"/>
              </w:rPr>
              <w:t>de</w:t>
            </w:r>
            <w:proofErr w:type="spellEnd"/>
            <w:r w:rsidRPr="00BE237C">
              <w:rPr>
                <w:sz w:val="20"/>
                <w:szCs w:val="20"/>
              </w:rPr>
              <w:t xml:space="preserve"> programação financeira que irá subsidiar a consulta da programação para os municípios e o pagamento de produção pela DPMR</w:t>
            </w:r>
          </w:p>
        </w:tc>
      </w:tr>
      <w:tr w:rsidR="009954C9" w:rsidRPr="00BE237C" w14:paraId="443F7598" w14:textId="77777777" w:rsidTr="00A373B0">
        <w:trPr>
          <w:trHeight w:val="600"/>
        </w:trPr>
        <w:tc>
          <w:tcPr>
            <w:tcW w:w="2547" w:type="dxa"/>
            <w:hideMark/>
          </w:tcPr>
          <w:p w14:paraId="4DCEE54D" w14:textId="77777777" w:rsidR="009954C9" w:rsidRPr="00BE237C" w:rsidRDefault="009954C9" w:rsidP="00A373B0">
            <w:pPr>
              <w:jc w:val="both"/>
              <w:rPr>
                <w:sz w:val="20"/>
                <w:szCs w:val="20"/>
              </w:rPr>
            </w:pPr>
            <w:proofErr w:type="spellStart"/>
            <w:r w:rsidRPr="00BE237C">
              <w:rPr>
                <w:sz w:val="20"/>
                <w:szCs w:val="20"/>
              </w:rPr>
              <w:t>tbTipoDocumento</w:t>
            </w:r>
            <w:proofErr w:type="spellEnd"/>
          </w:p>
        </w:tc>
        <w:tc>
          <w:tcPr>
            <w:tcW w:w="5694" w:type="dxa"/>
            <w:hideMark/>
          </w:tcPr>
          <w:p w14:paraId="153F9B8F" w14:textId="77777777" w:rsidR="009954C9" w:rsidRPr="00BE237C" w:rsidRDefault="009954C9" w:rsidP="00A373B0">
            <w:pPr>
              <w:jc w:val="both"/>
              <w:rPr>
                <w:sz w:val="20"/>
                <w:szCs w:val="20"/>
              </w:rPr>
            </w:pPr>
            <w:r w:rsidRPr="00BE237C">
              <w:rPr>
                <w:sz w:val="20"/>
                <w:szCs w:val="20"/>
              </w:rPr>
              <w:t>Classifica o tipo de documento que será cadastrado no programa</w:t>
            </w:r>
          </w:p>
        </w:tc>
      </w:tr>
      <w:tr w:rsidR="009954C9" w:rsidRPr="00BE237C" w14:paraId="64A833B8" w14:textId="77777777" w:rsidTr="00A373B0">
        <w:trPr>
          <w:trHeight w:val="300"/>
        </w:trPr>
        <w:tc>
          <w:tcPr>
            <w:tcW w:w="2547" w:type="dxa"/>
            <w:hideMark/>
          </w:tcPr>
          <w:p w14:paraId="518F2E58" w14:textId="77777777" w:rsidR="009954C9" w:rsidRPr="00BE237C" w:rsidRDefault="009954C9" w:rsidP="00A373B0">
            <w:pPr>
              <w:jc w:val="both"/>
              <w:rPr>
                <w:sz w:val="20"/>
                <w:szCs w:val="20"/>
              </w:rPr>
            </w:pPr>
            <w:proofErr w:type="spellStart"/>
            <w:r w:rsidRPr="00BE237C">
              <w:rPr>
                <w:sz w:val="20"/>
                <w:szCs w:val="20"/>
              </w:rPr>
              <w:t>tbTipoInconsistência</w:t>
            </w:r>
            <w:proofErr w:type="spellEnd"/>
          </w:p>
        </w:tc>
        <w:tc>
          <w:tcPr>
            <w:tcW w:w="5694" w:type="dxa"/>
            <w:hideMark/>
          </w:tcPr>
          <w:p w14:paraId="7CF1D5E9" w14:textId="77777777" w:rsidR="009954C9" w:rsidRPr="00BE237C" w:rsidRDefault="009954C9" w:rsidP="00A373B0">
            <w:pPr>
              <w:jc w:val="both"/>
              <w:rPr>
                <w:sz w:val="20"/>
                <w:szCs w:val="20"/>
              </w:rPr>
            </w:pPr>
            <w:r w:rsidRPr="00BE237C">
              <w:rPr>
                <w:sz w:val="20"/>
                <w:szCs w:val="20"/>
              </w:rPr>
              <w:t>?</w:t>
            </w:r>
          </w:p>
        </w:tc>
      </w:tr>
      <w:tr w:rsidR="009954C9" w:rsidRPr="00BE237C" w14:paraId="40DCC770" w14:textId="77777777" w:rsidTr="00A373B0">
        <w:trPr>
          <w:trHeight w:val="642"/>
        </w:trPr>
        <w:tc>
          <w:tcPr>
            <w:tcW w:w="2547" w:type="dxa"/>
            <w:hideMark/>
          </w:tcPr>
          <w:p w14:paraId="23D4FF39" w14:textId="77777777" w:rsidR="009954C9" w:rsidRPr="00BE237C" w:rsidRDefault="009954C9" w:rsidP="00A373B0">
            <w:pPr>
              <w:jc w:val="both"/>
              <w:rPr>
                <w:sz w:val="20"/>
                <w:szCs w:val="20"/>
              </w:rPr>
            </w:pPr>
            <w:proofErr w:type="spellStart"/>
            <w:r w:rsidRPr="00BE237C">
              <w:rPr>
                <w:sz w:val="20"/>
                <w:szCs w:val="20"/>
              </w:rPr>
              <w:t>tbTipoLeito</w:t>
            </w:r>
            <w:proofErr w:type="spellEnd"/>
          </w:p>
        </w:tc>
        <w:tc>
          <w:tcPr>
            <w:tcW w:w="5694" w:type="dxa"/>
            <w:hideMark/>
          </w:tcPr>
          <w:p w14:paraId="3D4FFE55" w14:textId="77777777" w:rsidR="009954C9" w:rsidRPr="00BE237C" w:rsidRDefault="009954C9" w:rsidP="00A373B0">
            <w:pPr>
              <w:jc w:val="both"/>
              <w:rPr>
                <w:sz w:val="20"/>
                <w:szCs w:val="20"/>
              </w:rPr>
            </w:pPr>
            <w:r w:rsidRPr="00BE237C">
              <w:rPr>
                <w:sz w:val="20"/>
                <w:szCs w:val="20"/>
              </w:rPr>
              <w:t>Nomeia, classifica e codifica os leitos de assistência para estudos e programação de incentivos</w:t>
            </w:r>
          </w:p>
        </w:tc>
      </w:tr>
      <w:tr w:rsidR="009954C9" w:rsidRPr="00BE237C" w14:paraId="09EC51B0" w14:textId="77777777" w:rsidTr="00A373B0">
        <w:trPr>
          <w:trHeight w:val="600"/>
        </w:trPr>
        <w:tc>
          <w:tcPr>
            <w:tcW w:w="2547" w:type="dxa"/>
            <w:hideMark/>
          </w:tcPr>
          <w:p w14:paraId="70DBF53E" w14:textId="77777777" w:rsidR="009954C9" w:rsidRPr="00BE237C" w:rsidRDefault="009954C9" w:rsidP="00A373B0">
            <w:pPr>
              <w:jc w:val="both"/>
              <w:rPr>
                <w:sz w:val="20"/>
                <w:szCs w:val="20"/>
              </w:rPr>
            </w:pPr>
            <w:proofErr w:type="spellStart"/>
            <w:r w:rsidRPr="00BE237C">
              <w:rPr>
                <w:sz w:val="20"/>
                <w:szCs w:val="20"/>
              </w:rPr>
              <w:t>tbTipoProgramacao</w:t>
            </w:r>
            <w:proofErr w:type="spellEnd"/>
          </w:p>
        </w:tc>
        <w:tc>
          <w:tcPr>
            <w:tcW w:w="5694" w:type="dxa"/>
            <w:hideMark/>
          </w:tcPr>
          <w:p w14:paraId="415C3865" w14:textId="77777777" w:rsidR="009954C9" w:rsidRPr="00BE237C" w:rsidRDefault="009954C9" w:rsidP="00A373B0">
            <w:pPr>
              <w:jc w:val="both"/>
              <w:rPr>
                <w:sz w:val="20"/>
                <w:szCs w:val="20"/>
              </w:rPr>
            </w:pPr>
            <w:r w:rsidRPr="00BE237C">
              <w:rPr>
                <w:sz w:val="20"/>
                <w:szCs w:val="20"/>
              </w:rPr>
              <w:t xml:space="preserve">Classifica o tipo de programação por tipo de agrupamento do </w:t>
            </w:r>
            <w:proofErr w:type="spellStart"/>
            <w:r w:rsidRPr="00BE237C">
              <w:rPr>
                <w:sz w:val="20"/>
                <w:szCs w:val="20"/>
              </w:rPr>
              <w:t>Sigtap</w:t>
            </w:r>
            <w:proofErr w:type="spellEnd"/>
          </w:p>
        </w:tc>
      </w:tr>
      <w:tr w:rsidR="009954C9" w:rsidRPr="00BE237C" w14:paraId="38993A8D" w14:textId="77777777" w:rsidTr="00A373B0">
        <w:trPr>
          <w:trHeight w:val="1353"/>
        </w:trPr>
        <w:tc>
          <w:tcPr>
            <w:tcW w:w="2547" w:type="dxa"/>
            <w:hideMark/>
          </w:tcPr>
          <w:p w14:paraId="4A067BFE" w14:textId="77777777" w:rsidR="009954C9" w:rsidRPr="00BE237C" w:rsidRDefault="009954C9" w:rsidP="00A373B0">
            <w:pPr>
              <w:jc w:val="both"/>
              <w:rPr>
                <w:sz w:val="20"/>
                <w:szCs w:val="20"/>
              </w:rPr>
            </w:pPr>
            <w:proofErr w:type="spellStart"/>
            <w:r w:rsidRPr="00BE237C">
              <w:rPr>
                <w:sz w:val="20"/>
                <w:szCs w:val="20"/>
              </w:rPr>
              <w:t>tbTipoRemanejamento</w:t>
            </w:r>
            <w:proofErr w:type="spellEnd"/>
          </w:p>
        </w:tc>
        <w:tc>
          <w:tcPr>
            <w:tcW w:w="5694" w:type="dxa"/>
            <w:hideMark/>
          </w:tcPr>
          <w:p w14:paraId="75CF9BCF" w14:textId="77777777" w:rsidR="009954C9" w:rsidRPr="00BE237C" w:rsidRDefault="009954C9" w:rsidP="00A373B0">
            <w:pPr>
              <w:jc w:val="both"/>
              <w:rPr>
                <w:sz w:val="20"/>
                <w:szCs w:val="20"/>
              </w:rPr>
            </w:pPr>
            <w:r w:rsidRPr="00BE237C">
              <w:rPr>
                <w:sz w:val="20"/>
                <w:szCs w:val="20"/>
              </w:rPr>
              <w:t xml:space="preserve">Codifica o comportamento da programação e do remanejamento do recurso. Se o município é próprio ou referência, valor federal ou estadual, se possui ou não meta física, se é oriundo do </w:t>
            </w:r>
            <w:proofErr w:type="spellStart"/>
            <w:r w:rsidRPr="00BE237C">
              <w:rPr>
                <w:sz w:val="20"/>
                <w:szCs w:val="20"/>
              </w:rPr>
              <w:t>Susfácil</w:t>
            </w:r>
            <w:proofErr w:type="spellEnd"/>
            <w:r w:rsidRPr="00BE237C">
              <w:rPr>
                <w:sz w:val="20"/>
                <w:szCs w:val="20"/>
              </w:rPr>
              <w:t xml:space="preserve"> ou é lançado pelo operador</w:t>
            </w:r>
          </w:p>
        </w:tc>
      </w:tr>
      <w:tr w:rsidR="009954C9" w:rsidRPr="00BE237C" w14:paraId="0AB61771" w14:textId="77777777" w:rsidTr="00A373B0">
        <w:trPr>
          <w:trHeight w:val="600"/>
        </w:trPr>
        <w:tc>
          <w:tcPr>
            <w:tcW w:w="2547" w:type="dxa"/>
            <w:hideMark/>
          </w:tcPr>
          <w:p w14:paraId="696811DB" w14:textId="77777777" w:rsidR="009954C9" w:rsidRPr="00BE237C" w:rsidRDefault="009954C9" w:rsidP="00A373B0">
            <w:pPr>
              <w:jc w:val="both"/>
              <w:rPr>
                <w:sz w:val="20"/>
                <w:szCs w:val="20"/>
              </w:rPr>
            </w:pPr>
            <w:proofErr w:type="spellStart"/>
            <w:r w:rsidRPr="00BE237C">
              <w:rPr>
                <w:sz w:val="20"/>
                <w:szCs w:val="20"/>
              </w:rPr>
              <w:t>tbTipoSadt</w:t>
            </w:r>
            <w:proofErr w:type="spellEnd"/>
          </w:p>
        </w:tc>
        <w:tc>
          <w:tcPr>
            <w:tcW w:w="5694" w:type="dxa"/>
            <w:hideMark/>
          </w:tcPr>
          <w:p w14:paraId="5881E835" w14:textId="77777777" w:rsidR="009954C9" w:rsidRPr="00BE237C" w:rsidRDefault="009954C9" w:rsidP="00A373B0">
            <w:pPr>
              <w:jc w:val="both"/>
              <w:rPr>
                <w:sz w:val="20"/>
                <w:szCs w:val="20"/>
              </w:rPr>
            </w:pPr>
            <w:r w:rsidRPr="00BE237C">
              <w:rPr>
                <w:sz w:val="20"/>
                <w:szCs w:val="20"/>
              </w:rPr>
              <w:t>Descreve o tipo de SADT e como se dá o cálculo</w:t>
            </w:r>
          </w:p>
        </w:tc>
      </w:tr>
      <w:tr w:rsidR="009954C9" w:rsidRPr="00BE237C" w14:paraId="66B886D4" w14:textId="77777777" w:rsidTr="00A373B0">
        <w:trPr>
          <w:trHeight w:val="1934"/>
        </w:trPr>
        <w:tc>
          <w:tcPr>
            <w:tcW w:w="2547" w:type="dxa"/>
            <w:hideMark/>
          </w:tcPr>
          <w:p w14:paraId="06AE09E5" w14:textId="77777777" w:rsidR="009954C9" w:rsidRPr="00BE237C" w:rsidRDefault="009954C9" w:rsidP="00A373B0">
            <w:pPr>
              <w:jc w:val="both"/>
              <w:rPr>
                <w:sz w:val="20"/>
                <w:szCs w:val="20"/>
              </w:rPr>
            </w:pPr>
            <w:proofErr w:type="spellStart"/>
            <w:r w:rsidRPr="00BE237C">
              <w:rPr>
                <w:sz w:val="20"/>
                <w:szCs w:val="20"/>
              </w:rPr>
              <w:lastRenderedPageBreak/>
              <w:t>txRemanejamento</w:t>
            </w:r>
            <w:proofErr w:type="spellEnd"/>
          </w:p>
        </w:tc>
        <w:tc>
          <w:tcPr>
            <w:tcW w:w="5694" w:type="dxa"/>
            <w:hideMark/>
          </w:tcPr>
          <w:p w14:paraId="5DBE4060" w14:textId="77777777" w:rsidR="009954C9" w:rsidRPr="00BE237C" w:rsidRDefault="009954C9" w:rsidP="00A373B0">
            <w:pPr>
              <w:jc w:val="both"/>
              <w:rPr>
                <w:sz w:val="20"/>
                <w:szCs w:val="20"/>
              </w:rPr>
            </w:pPr>
            <w:r w:rsidRPr="00BE237C">
              <w:rPr>
                <w:sz w:val="20"/>
                <w:szCs w:val="20"/>
              </w:rPr>
              <w:t>Consolida todo o remanejamento efetuado durante o processo de fechamento de teto. Apresenta as alterações em valores e quantidades na PPI, inclusão e alterações no CNES, Separa Remanejamento e Documentos novos e que sofreram modificações; por origem e atendimento, alteração nos Custos médio, Metas Físicas e valores, FOG e demais particularidades de cada remanejamento e/ou publicação</w:t>
            </w:r>
          </w:p>
        </w:tc>
      </w:tr>
    </w:tbl>
    <w:p w14:paraId="7BF2B453" w14:textId="77777777" w:rsidR="00935D9F" w:rsidRDefault="00935D9F">
      <w:pPr>
        <w:jc w:val="both"/>
        <w:rPr>
          <w:sz w:val="20"/>
          <w:szCs w:val="20"/>
        </w:rPr>
      </w:pPr>
    </w:p>
    <w:p w14:paraId="5341CB93" w14:textId="77777777" w:rsidR="00935D9F" w:rsidRDefault="00935D9F">
      <w:pPr>
        <w:jc w:val="both"/>
        <w:rPr>
          <w:sz w:val="20"/>
          <w:szCs w:val="20"/>
        </w:rPr>
      </w:pPr>
    </w:p>
    <w:p w14:paraId="1E2BAE41" w14:textId="77777777" w:rsidR="00935D9F" w:rsidRDefault="009948F8">
      <w:pPr>
        <w:rPr>
          <w:rFonts w:ascii="Calibri" w:eastAsia="Calibri" w:hAnsi="Calibri" w:cs="Calibri"/>
          <w:b/>
        </w:rPr>
      </w:pPr>
      <w:r>
        <w:rPr>
          <w:rFonts w:ascii="Calibri" w:eastAsia="Calibri" w:hAnsi="Calibri" w:cs="Calibri"/>
          <w:b/>
        </w:rPr>
        <w:t>Principais bancos da PPI:</w:t>
      </w:r>
    </w:p>
    <w:p w14:paraId="0CC8C404" w14:textId="77777777" w:rsidR="00935D9F" w:rsidRDefault="00935D9F">
      <w:pPr>
        <w:rPr>
          <w:rFonts w:ascii="Calibri" w:eastAsia="Calibri" w:hAnsi="Calibri" w:cs="Calibri"/>
        </w:rPr>
      </w:pPr>
    </w:p>
    <w:tbl>
      <w:tblPr>
        <w:tblStyle w:val="a1"/>
        <w:tblW w:w="8484" w:type="dxa"/>
        <w:tblInd w:w="0" w:type="dxa"/>
        <w:tblLayout w:type="fixed"/>
        <w:tblLook w:val="0400" w:firstRow="0" w:lastRow="0" w:firstColumn="0" w:lastColumn="0" w:noHBand="0" w:noVBand="1"/>
      </w:tblPr>
      <w:tblGrid>
        <w:gridCol w:w="1975"/>
        <w:gridCol w:w="6509"/>
      </w:tblGrid>
      <w:tr w:rsidR="00935D9F" w14:paraId="1DA86552" w14:textId="77777777">
        <w:trPr>
          <w:trHeight w:val="300"/>
        </w:trPr>
        <w:tc>
          <w:tcPr>
            <w:tcW w:w="1975" w:type="dxa"/>
            <w:tcBorders>
              <w:top w:val="single" w:sz="8" w:space="0" w:color="000000"/>
              <w:left w:val="single" w:sz="8" w:space="0" w:color="000000"/>
              <w:bottom w:val="single" w:sz="4" w:space="0" w:color="000000"/>
              <w:right w:val="single" w:sz="4" w:space="0" w:color="000000"/>
            </w:tcBorders>
            <w:shd w:val="clear" w:color="auto" w:fill="auto"/>
            <w:vAlign w:val="bottom"/>
          </w:tcPr>
          <w:p w14:paraId="0D147D1C" w14:textId="77777777" w:rsidR="00935D9F" w:rsidRDefault="009948F8">
            <w:pPr>
              <w:rPr>
                <w:rFonts w:ascii="Calibri" w:eastAsia="Calibri" w:hAnsi="Calibri" w:cs="Calibri"/>
              </w:rPr>
            </w:pPr>
            <w:r>
              <w:rPr>
                <w:rFonts w:ascii="Calibri" w:eastAsia="Calibri" w:hAnsi="Calibri" w:cs="Calibri"/>
              </w:rPr>
              <w:t>Nome</w:t>
            </w:r>
          </w:p>
        </w:tc>
        <w:tc>
          <w:tcPr>
            <w:tcW w:w="6509" w:type="dxa"/>
            <w:tcBorders>
              <w:top w:val="single" w:sz="8" w:space="0" w:color="000000"/>
              <w:left w:val="nil"/>
              <w:bottom w:val="single" w:sz="4" w:space="0" w:color="000000"/>
              <w:right w:val="single" w:sz="8" w:space="0" w:color="000000"/>
            </w:tcBorders>
            <w:shd w:val="clear" w:color="auto" w:fill="auto"/>
            <w:vAlign w:val="bottom"/>
          </w:tcPr>
          <w:p w14:paraId="661062BA" w14:textId="77777777" w:rsidR="00935D9F" w:rsidRDefault="009948F8">
            <w:pPr>
              <w:rPr>
                <w:rFonts w:ascii="Calibri" w:eastAsia="Calibri" w:hAnsi="Calibri" w:cs="Calibri"/>
              </w:rPr>
            </w:pPr>
            <w:r>
              <w:rPr>
                <w:rFonts w:ascii="Calibri" w:eastAsia="Calibri" w:hAnsi="Calibri" w:cs="Calibri"/>
              </w:rPr>
              <w:t>Características</w:t>
            </w:r>
          </w:p>
        </w:tc>
      </w:tr>
      <w:tr w:rsidR="00935D9F" w14:paraId="2B6AC51D" w14:textId="77777777">
        <w:trPr>
          <w:trHeight w:val="300"/>
        </w:trPr>
        <w:tc>
          <w:tcPr>
            <w:tcW w:w="1975" w:type="dxa"/>
            <w:tcBorders>
              <w:top w:val="nil"/>
              <w:left w:val="single" w:sz="8" w:space="0" w:color="000000"/>
              <w:bottom w:val="single" w:sz="4" w:space="0" w:color="000000"/>
              <w:right w:val="single" w:sz="4" w:space="0" w:color="000000"/>
            </w:tcBorders>
            <w:shd w:val="clear" w:color="auto" w:fill="auto"/>
            <w:vAlign w:val="center"/>
          </w:tcPr>
          <w:p w14:paraId="6043B5E8" w14:textId="77777777" w:rsidR="00935D9F" w:rsidRDefault="009948F8">
            <w:pPr>
              <w:rPr>
                <w:rFonts w:ascii="Calibri" w:eastAsia="Calibri" w:hAnsi="Calibri" w:cs="Calibri"/>
              </w:rPr>
            </w:pPr>
            <w:r>
              <w:rPr>
                <w:rFonts w:ascii="Calibri" w:eastAsia="Calibri" w:hAnsi="Calibri" w:cs="Calibri"/>
              </w:rPr>
              <w:t>REMANEJAMENTO PPI</w:t>
            </w:r>
          </w:p>
        </w:tc>
        <w:tc>
          <w:tcPr>
            <w:tcW w:w="6509" w:type="dxa"/>
            <w:tcBorders>
              <w:top w:val="nil"/>
              <w:left w:val="nil"/>
              <w:bottom w:val="single" w:sz="4" w:space="0" w:color="000000"/>
              <w:right w:val="single" w:sz="8" w:space="0" w:color="000000"/>
            </w:tcBorders>
            <w:shd w:val="clear" w:color="auto" w:fill="auto"/>
            <w:vAlign w:val="center"/>
          </w:tcPr>
          <w:p w14:paraId="20A66B30" w14:textId="77777777" w:rsidR="00935D9F" w:rsidRDefault="009948F8">
            <w:pPr>
              <w:rPr>
                <w:rFonts w:ascii="Calibri" w:eastAsia="Calibri" w:hAnsi="Calibri" w:cs="Calibri"/>
              </w:rPr>
            </w:pPr>
            <w:r>
              <w:rPr>
                <w:rFonts w:ascii="Calibri" w:eastAsia="Calibri" w:hAnsi="Calibri" w:cs="Calibri"/>
              </w:rPr>
              <w:t xml:space="preserve">Banco novo com todos os </w:t>
            </w:r>
            <w:proofErr w:type="spellStart"/>
            <w:r>
              <w:rPr>
                <w:rFonts w:ascii="Calibri" w:eastAsia="Calibri" w:hAnsi="Calibri" w:cs="Calibri"/>
              </w:rPr>
              <w:t>txRemanejamento</w:t>
            </w:r>
            <w:proofErr w:type="spellEnd"/>
            <w:r>
              <w:rPr>
                <w:rFonts w:ascii="Calibri" w:eastAsia="Calibri" w:hAnsi="Calibri" w:cs="Calibri"/>
              </w:rPr>
              <w:t xml:space="preserve"> dos bancos anteriores.</w:t>
            </w:r>
          </w:p>
        </w:tc>
      </w:tr>
      <w:tr w:rsidR="00935D9F" w14:paraId="3EF4E26A" w14:textId="77777777">
        <w:trPr>
          <w:trHeight w:val="300"/>
        </w:trPr>
        <w:tc>
          <w:tcPr>
            <w:tcW w:w="1975" w:type="dxa"/>
            <w:tcBorders>
              <w:top w:val="nil"/>
              <w:left w:val="single" w:sz="8" w:space="0" w:color="000000"/>
              <w:bottom w:val="single" w:sz="4" w:space="0" w:color="000000"/>
              <w:right w:val="single" w:sz="4" w:space="0" w:color="000000"/>
            </w:tcBorders>
            <w:shd w:val="clear" w:color="auto" w:fill="auto"/>
            <w:vAlign w:val="center"/>
          </w:tcPr>
          <w:p w14:paraId="3A18B79C" w14:textId="77777777" w:rsidR="00935D9F" w:rsidRDefault="009948F8">
            <w:pPr>
              <w:rPr>
                <w:rFonts w:ascii="Calibri" w:eastAsia="Calibri" w:hAnsi="Calibri" w:cs="Calibri"/>
              </w:rPr>
            </w:pPr>
            <w:r>
              <w:rPr>
                <w:rFonts w:ascii="Calibri" w:eastAsia="Calibri" w:hAnsi="Calibri" w:cs="Calibri"/>
              </w:rPr>
              <w:t>PPIMG</w:t>
            </w:r>
          </w:p>
        </w:tc>
        <w:tc>
          <w:tcPr>
            <w:tcW w:w="6509" w:type="dxa"/>
            <w:tcBorders>
              <w:top w:val="nil"/>
              <w:left w:val="nil"/>
              <w:bottom w:val="single" w:sz="4" w:space="0" w:color="000000"/>
              <w:right w:val="single" w:sz="8" w:space="0" w:color="000000"/>
            </w:tcBorders>
            <w:shd w:val="clear" w:color="auto" w:fill="auto"/>
            <w:vAlign w:val="center"/>
          </w:tcPr>
          <w:p w14:paraId="6148BFD9" w14:textId="77777777" w:rsidR="00935D9F" w:rsidRDefault="009948F8">
            <w:pPr>
              <w:rPr>
                <w:rFonts w:ascii="Calibri" w:eastAsia="Calibri" w:hAnsi="Calibri" w:cs="Calibri"/>
              </w:rPr>
            </w:pPr>
            <w:r>
              <w:rPr>
                <w:rFonts w:ascii="Calibri" w:eastAsia="Calibri" w:hAnsi="Calibri" w:cs="Calibri"/>
              </w:rPr>
              <w:t>Resultado mensal do TETO.</w:t>
            </w:r>
          </w:p>
        </w:tc>
      </w:tr>
      <w:tr w:rsidR="00935D9F" w14:paraId="1A4C4C92" w14:textId="77777777">
        <w:trPr>
          <w:trHeight w:val="300"/>
        </w:trPr>
        <w:tc>
          <w:tcPr>
            <w:tcW w:w="1975" w:type="dxa"/>
            <w:tcBorders>
              <w:top w:val="nil"/>
              <w:left w:val="single" w:sz="8" w:space="0" w:color="000000"/>
              <w:bottom w:val="single" w:sz="4" w:space="0" w:color="000000"/>
              <w:right w:val="single" w:sz="4" w:space="0" w:color="000000"/>
            </w:tcBorders>
            <w:shd w:val="clear" w:color="auto" w:fill="auto"/>
            <w:vAlign w:val="center"/>
          </w:tcPr>
          <w:p w14:paraId="539EDCA4" w14:textId="77777777" w:rsidR="00935D9F" w:rsidRDefault="009948F8">
            <w:pPr>
              <w:rPr>
                <w:rFonts w:ascii="Calibri" w:eastAsia="Calibri" w:hAnsi="Calibri" w:cs="Calibri"/>
              </w:rPr>
            </w:pPr>
            <w:r>
              <w:rPr>
                <w:rFonts w:ascii="Calibri" w:eastAsia="Calibri" w:hAnsi="Calibri" w:cs="Calibri"/>
              </w:rPr>
              <w:t>PRODUCAO</w:t>
            </w:r>
          </w:p>
        </w:tc>
        <w:tc>
          <w:tcPr>
            <w:tcW w:w="6509" w:type="dxa"/>
            <w:tcBorders>
              <w:top w:val="nil"/>
              <w:left w:val="nil"/>
              <w:bottom w:val="single" w:sz="4" w:space="0" w:color="000000"/>
              <w:right w:val="single" w:sz="8" w:space="0" w:color="000000"/>
            </w:tcBorders>
            <w:shd w:val="clear" w:color="auto" w:fill="auto"/>
            <w:vAlign w:val="center"/>
          </w:tcPr>
          <w:p w14:paraId="10835B25" w14:textId="77777777" w:rsidR="00935D9F" w:rsidRDefault="009948F8">
            <w:pPr>
              <w:rPr>
                <w:rFonts w:ascii="Calibri" w:eastAsia="Calibri" w:hAnsi="Calibri" w:cs="Calibri"/>
              </w:rPr>
            </w:pPr>
            <w:r>
              <w:rPr>
                <w:rFonts w:ascii="Calibri" w:eastAsia="Calibri" w:hAnsi="Calibri" w:cs="Calibri"/>
              </w:rPr>
              <w:t>Atualizado mensalmente a partir dos dados do MS e da PPI (Cruzamento de dados).</w:t>
            </w:r>
          </w:p>
        </w:tc>
      </w:tr>
      <w:tr w:rsidR="00935D9F" w14:paraId="77DDB59D" w14:textId="77777777">
        <w:trPr>
          <w:trHeight w:val="300"/>
        </w:trPr>
        <w:tc>
          <w:tcPr>
            <w:tcW w:w="1975" w:type="dxa"/>
            <w:tcBorders>
              <w:top w:val="nil"/>
              <w:left w:val="single" w:sz="8" w:space="0" w:color="000000"/>
              <w:bottom w:val="single" w:sz="4" w:space="0" w:color="000000"/>
              <w:right w:val="single" w:sz="4" w:space="0" w:color="000000"/>
            </w:tcBorders>
            <w:shd w:val="clear" w:color="auto" w:fill="auto"/>
            <w:vAlign w:val="center"/>
          </w:tcPr>
          <w:p w14:paraId="7C22445E" w14:textId="77777777" w:rsidR="00935D9F" w:rsidRDefault="009948F8">
            <w:pPr>
              <w:rPr>
                <w:rFonts w:ascii="Calibri" w:eastAsia="Calibri" w:hAnsi="Calibri" w:cs="Calibri"/>
              </w:rPr>
            </w:pPr>
            <w:r>
              <w:rPr>
                <w:rFonts w:ascii="Calibri" w:eastAsia="Calibri" w:hAnsi="Calibri" w:cs="Calibri"/>
              </w:rPr>
              <w:t>ESTUDOS</w:t>
            </w:r>
          </w:p>
        </w:tc>
        <w:tc>
          <w:tcPr>
            <w:tcW w:w="6509" w:type="dxa"/>
            <w:tcBorders>
              <w:top w:val="nil"/>
              <w:left w:val="nil"/>
              <w:bottom w:val="single" w:sz="4" w:space="0" w:color="000000"/>
              <w:right w:val="single" w:sz="8" w:space="0" w:color="000000"/>
            </w:tcBorders>
            <w:shd w:val="clear" w:color="auto" w:fill="auto"/>
            <w:vAlign w:val="center"/>
          </w:tcPr>
          <w:p w14:paraId="49A5C75A" w14:textId="77777777" w:rsidR="00935D9F" w:rsidRDefault="009948F8">
            <w:pPr>
              <w:rPr>
                <w:rFonts w:ascii="Calibri" w:eastAsia="Calibri" w:hAnsi="Calibri" w:cs="Calibri"/>
              </w:rPr>
            </w:pPr>
            <w:r>
              <w:rPr>
                <w:rFonts w:ascii="Calibri" w:eastAsia="Calibri" w:hAnsi="Calibri" w:cs="Calibri"/>
              </w:rPr>
              <w:t>Gerados a partir dos Bancos de PRODUÇÃO.</w:t>
            </w:r>
          </w:p>
        </w:tc>
      </w:tr>
      <w:tr w:rsidR="00935D9F" w14:paraId="5789215C" w14:textId="77777777">
        <w:trPr>
          <w:trHeight w:val="615"/>
        </w:trPr>
        <w:tc>
          <w:tcPr>
            <w:tcW w:w="1975" w:type="dxa"/>
            <w:tcBorders>
              <w:top w:val="nil"/>
              <w:left w:val="single" w:sz="8" w:space="0" w:color="000000"/>
              <w:bottom w:val="single" w:sz="8" w:space="0" w:color="000000"/>
              <w:right w:val="single" w:sz="4" w:space="0" w:color="000000"/>
            </w:tcBorders>
            <w:shd w:val="clear" w:color="auto" w:fill="auto"/>
            <w:vAlign w:val="center"/>
          </w:tcPr>
          <w:p w14:paraId="0F8D33C9" w14:textId="77777777" w:rsidR="00935D9F" w:rsidRDefault="009948F8">
            <w:pPr>
              <w:rPr>
                <w:rFonts w:ascii="Calibri" w:eastAsia="Calibri" w:hAnsi="Calibri" w:cs="Calibri"/>
              </w:rPr>
            </w:pPr>
            <w:r>
              <w:rPr>
                <w:rFonts w:ascii="Calibri" w:eastAsia="Calibri" w:hAnsi="Calibri" w:cs="Calibri"/>
              </w:rPr>
              <w:t>SERVIDOR   DE TABELAS</w:t>
            </w:r>
          </w:p>
        </w:tc>
        <w:tc>
          <w:tcPr>
            <w:tcW w:w="6509" w:type="dxa"/>
            <w:tcBorders>
              <w:top w:val="nil"/>
              <w:left w:val="nil"/>
              <w:bottom w:val="single" w:sz="8" w:space="0" w:color="000000"/>
              <w:right w:val="single" w:sz="8" w:space="0" w:color="000000"/>
            </w:tcBorders>
            <w:shd w:val="clear" w:color="auto" w:fill="auto"/>
            <w:vAlign w:val="center"/>
          </w:tcPr>
          <w:p w14:paraId="3708614A" w14:textId="547EA067" w:rsidR="00935D9F" w:rsidRDefault="009948F8">
            <w:pPr>
              <w:rPr>
                <w:rFonts w:ascii="Calibri" w:eastAsia="Calibri" w:hAnsi="Calibri" w:cs="Calibri"/>
              </w:rPr>
            </w:pPr>
            <w:r>
              <w:rPr>
                <w:rFonts w:ascii="Calibri" w:eastAsia="Calibri" w:hAnsi="Calibri" w:cs="Calibri"/>
              </w:rPr>
              <w:t xml:space="preserve">Banco de tabelas completas do CNES, SIGTAP, CID. </w:t>
            </w:r>
            <w:r w:rsidR="00991377">
              <w:rPr>
                <w:rFonts w:ascii="Calibri" w:eastAsia="Calibri" w:hAnsi="Calibri" w:cs="Calibri"/>
              </w:rPr>
              <w:t>Possui</w:t>
            </w:r>
            <w:r>
              <w:rPr>
                <w:rFonts w:ascii="Calibri" w:eastAsia="Calibri" w:hAnsi="Calibri" w:cs="Calibri"/>
              </w:rPr>
              <w:t xml:space="preserve"> as regras e metodologias dos estudos registradas através do campo assistência.</w:t>
            </w:r>
          </w:p>
        </w:tc>
      </w:tr>
    </w:tbl>
    <w:p w14:paraId="42D19938" w14:textId="77777777" w:rsidR="00935D9F" w:rsidRDefault="00935D9F">
      <w:pPr>
        <w:jc w:val="both"/>
        <w:rPr>
          <w:sz w:val="20"/>
          <w:szCs w:val="20"/>
        </w:rPr>
      </w:pPr>
    </w:p>
    <w:p w14:paraId="5F891267" w14:textId="4CBF8A45" w:rsidR="00BE237C" w:rsidRDefault="00BE237C">
      <w:pPr>
        <w:rPr>
          <w:sz w:val="20"/>
          <w:szCs w:val="20"/>
        </w:rPr>
      </w:pPr>
    </w:p>
    <w:p w14:paraId="07CA3FE2" w14:textId="59653E8F" w:rsidR="00EF6070" w:rsidRPr="00A373B0" w:rsidRDefault="00EF6070" w:rsidP="00EF6070">
      <w:pPr>
        <w:spacing w:line="360" w:lineRule="auto"/>
        <w:jc w:val="both"/>
        <w:rPr>
          <w:rFonts w:asciiTheme="majorHAnsi" w:hAnsiTheme="majorHAnsi" w:cstheme="majorHAnsi"/>
          <w:b/>
        </w:rPr>
      </w:pPr>
      <w:r w:rsidRPr="00A373B0">
        <w:rPr>
          <w:rFonts w:asciiTheme="majorHAnsi" w:hAnsiTheme="majorHAnsi" w:cstheme="majorHAnsi"/>
          <w:b/>
        </w:rPr>
        <w:t xml:space="preserve">Detalhamento das movimentações físico-financeiras que impactam no Limite Financeiro da Média e Alta Complexidade Ambulatorial e Hospitalar do Estado e municípios de Minas Gerais </w:t>
      </w:r>
    </w:p>
    <w:p w14:paraId="2B45B9EA" w14:textId="77777777" w:rsidR="00EF6070" w:rsidRPr="00EF6070" w:rsidRDefault="00EF6070" w:rsidP="00EF6070">
      <w:pPr>
        <w:spacing w:line="360" w:lineRule="auto"/>
        <w:jc w:val="both"/>
        <w:rPr>
          <w:rFonts w:asciiTheme="majorHAnsi" w:hAnsiTheme="majorHAnsi" w:cstheme="majorHAnsi"/>
          <w:b/>
          <w:color w:val="4F81BD" w:themeColor="accent1"/>
        </w:rPr>
      </w:pPr>
    </w:p>
    <w:p w14:paraId="55E78C28" w14:textId="4122F144" w:rsidR="00EF6070" w:rsidRDefault="00A373B0" w:rsidP="00EF6070">
      <w:pPr>
        <w:spacing w:line="360" w:lineRule="auto"/>
        <w:ind w:firstLine="720"/>
        <w:jc w:val="both"/>
        <w:rPr>
          <w:rFonts w:asciiTheme="majorHAnsi" w:hAnsiTheme="majorHAnsi" w:cstheme="majorHAnsi"/>
        </w:rPr>
      </w:pPr>
      <w:r>
        <w:rPr>
          <w:rFonts w:asciiTheme="majorHAnsi" w:hAnsiTheme="majorHAnsi" w:cstheme="majorHAnsi"/>
        </w:rPr>
        <w:t xml:space="preserve">O presente detalhamento (inicialmente tratado em Nota Técnica), </w:t>
      </w:r>
      <w:r w:rsidR="00EF6070" w:rsidRPr="00EF6070">
        <w:rPr>
          <w:rFonts w:asciiTheme="majorHAnsi" w:hAnsiTheme="majorHAnsi" w:cstheme="majorHAnsi"/>
        </w:rPr>
        <w:t>nota visa informar acerca das situações que podem gerar movimentação físico-financeira no Limite Financeiro da Média e Alta Complexidade Ambulatorial e Hospitalar, mais conhecido como Teto MAC, e, portanto, trazer alterações para a Programação Pactuada Integrada (PPI/MG).</w:t>
      </w:r>
    </w:p>
    <w:p w14:paraId="2E5E6603" w14:textId="77777777" w:rsidR="00EF6070" w:rsidRPr="00EF6070" w:rsidRDefault="00EF6070" w:rsidP="00EF6070">
      <w:pPr>
        <w:spacing w:line="360" w:lineRule="auto"/>
        <w:ind w:firstLine="720"/>
        <w:jc w:val="both"/>
        <w:rPr>
          <w:rFonts w:asciiTheme="majorHAnsi" w:hAnsiTheme="majorHAnsi" w:cstheme="majorHAnsi"/>
        </w:rPr>
      </w:pPr>
    </w:p>
    <w:p w14:paraId="2EF8CD8C" w14:textId="767C3B28" w:rsidR="00EF6070" w:rsidRDefault="00EF6070" w:rsidP="00EF6070">
      <w:pPr>
        <w:spacing w:line="360" w:lineRule="auto"/>
        <w:ind w:firstLine="720"/>
        <w:jc w:val="both"/>
        <w:rPr>
          <w:rFonts w:asciiTheme="majorHAnsi" w:hAnsiTheme="majorHAnsi" w:cstheme="majorHAnsi"/>
        </w:rPr>
      </w:pPr>
      <w:r w:rsidRPr="00EF6070">
        <w:rPr>
          <w:rFonts w:asciiTheme="majorHAnsi" w:hAnsiTheme="majorHAnsi" w:cstheme="majorHAnsi"/>
        </w:rPr>
        <w:t xml:space="preserve">Inicialmente, é importante destacar que cabe à Diretoria de Programação Pactuada Integrada (DPPI) consolidar e enviar mensalmente ao Ministério da Saúde os limites e as modificações físico-financeiras do Teto MAC dos municípios e da gestão estadual. </w:t>
      </w:r>
    </w:p>
    <w:p w14:paraId="16F664F8" w14:textId="77777777" w:rsidR="00EF6070" w:rsidRPr="00EF6070" w:rsidRDefault="00EF6070" w:rsidP="00EF6070">
      <w:pPr>
        <w:spacing w:line="360" w:lineRule="auto"/>
        <w:ind w:firstLine="720"/>
        <w:jc w:val="both"/>
        <w:rPr>
          <w:rFonts w:asciiTheme="majorHAnsi" w:hAnsiTheme="majorHAnsi" w:cstheme="majorHAnsi"/>
        </w:rPr>
      </w:pPr>
    </w:p>
    <w:p w14:paraId="19F246BC" w14:textId="058C4641" w:rsidR="00EF6070" w:rsidRDefault="00EF6070" w:rsidP="00EF6070">
      <w:pPr>
        <w:spacing w:line="360" w:lineRule="auto"/>
        <w:ind w:firstLine="720"/>
        <w:jc w:val="both"/>
        <w:rPr>
          <w:rFonts w:asciiTheme="majorHAnsi" w:hAnsiTheme="majorHAnsi" w:cstheme="majorHAnsi"/>
        </w:rPr>
      </w:pPr>
      <w:r w:rsidRPr="00EF6070">
        <w:rPr>
          <w:rFonts w:asciiTheme="majorHAnsi" w:hAnsiTheme="majorHAnsi" w:cstheme="majorHAnsi"/>
        </w:rPr>
        <w:t xml:space="preserve">Para tanto, tem-se que considerar a programação das </w:t>
      </w:r>
      <w:r w:rsidRPr="00EF6070">
        <w:rPr>
          <w:rFonts w:asciiTheme="majorHAnsi" w:hAnsiTheme="majorHAnsi" w:cstheme="majorHAnsi"/>
          <w:b/>
          <w:bCs/>
        </w:rPr>
        <w:t>portarias ministeriais</w:t>
      </w:r>
      <w:r w:rsidRPr="00EF6070">
        <w:rPr>
          <w:rFonts w:asciiTheme="majorHAnsi" w:hAnsiTheme="majorHAnsi" w:cstheme="majorHAnsi"/>
        </w:rPr>
        <w:t xml:space="preserve"> que geram impacto financeiro (acréscimo ou supressão) no montante de recursos federais alocado em Minas </w:t>
      </w:r>
      <w:r w:rsidRPr="00EF6070">
        <w:rPr>
          <w:rFonts w:asciiTheme="majorHAnsi" w:hAnsiTheme="majorHAnsi" w:cstheme="majorHAnsi"/>
        </w:rPr>
        <w:lastRenderedPageBreak/>
        <w:t xml:space="preserve">Gerais, correspondente ao </w:t>
      </w:r>
      <w:proofErr w:type="spellStart"/>
      <w:r w:rsidRPr="00EF6070">
        <w:rPr>
          <w:rFonts w:asciiTheme="majorHAnsi" w:hAnsiTheme="majorHAnsi" w:cstheme="majorHAnsi"/>
        </w:rPr>
        <w:t>cofinanciamento</w:t>
      </w:r>
      <w:proofErr w:type="spellEnd"/>
      <w:r w:rsidRPr="00EF6070">
        <w:rPr>
          <w:rFonts w:asciiTheme="majorHAnsi" w:hAnsiTheme="majorHAnsi" w:cstheme="majorHAnsi"/>
        </w:rPr>
        <w:t xml:space="preserve"> das ações e serviços públicos de saúde de média e alta complexidade ambulatorial e hospitalar (Teto MAC). </w:t>
      </w:r>
    </w:p>
    <w:p w14:paraId="716FDC04" w14:textId="77777777" w:rsidR="00EF6070" w:rsidRPr="00EF6070" w:rsidRDefault="00EF6070" w:rsidP="00EF6070">
      <w:pPr>
        <w:spacing w:line="360" w:lineRule="auto"/>
        <w:ind w:firstLine="720"/>
        <w:jc w:val="both"/>
        <w:rPr>
          <w:rFonts w:asciiTheme="majorHAnsi" w:hAnsiTheme="majorHAnsi" w:cstheme="majorHAnsi"/>
        </w:rPr>
      </w:pPr>
    </w:p>
    <w:p w14:paraId="7E9049B9" w14:textId="6B586C54" w:rsidR="00EF6070" w:rsidRDefault="00EF6070" w:rsidP="00EF6070">
      <w:pPr>
        <w:spacing w:line="360" w:lineRule="auto"/>
        <w:ind w:firstLine="720"/>
        <w:jc w:val="both"/>
        <w:rPr>
          <w:rFonts w:asciiTheme="majorHAnsi" w:hAnsiTheme="majorHAnsi" w:cstheme="majorHAnsi"/>
        </w:rPr>
      </w:pPr>
      <w:r w:rsidRPr="00EF6070">
        <w:rPr>
          <w:rFonts w:asciiTheme="majorHAnsi" w:hAnsiTheme="majorHAnsi" w:cstheme="majorHAnsi"/>
        </w:rPr>
        <w:t xml:space="preserve">Ademais, também geram alterações na PPI/MG, e, portanto, também são considerados no momento de fechamento do Teto MAC, as modificações advindas pelo processo de </w:t>
      </w:r>
      <w:r w:rsidRPr="00EF6070">
        <w:rPr>
          <w:rFonts w:asciiTheme="majorHAnsi" w:hAnsiTheme="majorHAnsi" w:cstheme="majorHAnsi"/>
          <w:b/>
          <w:bCs/>
        </w:rPr>
        <w:t>remanejamento</w:t>
      </w:r>
      <w:r w:rsidRPr="00EF6070">
        <w:rPr>
          <w:rFonts w:asciiTheme="majorHAnsi" w:hAnsiTheme="majorHAnsi" w:cstheme="majorHAnsi"/>
        </w:rPr>
        <w:t xml:space="preserve"> para adequações dos pactos entre gestores, bem como os </w:t>
      </w:r>
      <w:r w:rsidRPr="00EF6070">
        <w:rPr>
          <w:rFonts w:asciiTheme="majorHAnsi" w:hAnsiTheme="majorHAnsi" w:cstheme="majorHAnsi"/>
          <w:b/>
          <w:bCs/>
        </w:rPr>
        <w:t>documentos estaduais</w:t>
      </w:r>
      <w:r w:rsidRPr="00EF6070">
        <w:rPr>
          <w:rFonts w:asciiTheme="majorHAnsi" w:hAnsiTheme="majorHAnsi" w:cstheme="majorHAnsi"/>
        </w:rPr>
        <w:t xml:space="preserve"> publicados no âmbito do Estado que tenham previsão de alteração da PPI/MG.</w:t>
      </w:r>
    </w:p>
    <w:p w14:paraId="3A40BB7E" w14:textId="77777777" w:rsidR="00EF6070" w:rsidRPr="00EF6070" w:rsidRDefault="00EF6070" w:rsidP="00EF6070">
      <w:pPr>
        <w:spacing w:line="360" w:lineRule="auto"/>
        <w:ind w:firstLine="720"/>
        <w:jc w:val="both"/>
        <w:rPr>
          <w:rFonts w:asciiTheme="majorHAnsi" w:hAnsiTheme="majorHAnsi" w:cstheme="majorHAnsi"/>
        </w:rPr>
      </w:pPr>
    </w:p>
    <w:p w14:paraId="00693D97" w14:textId="606596AE" w:rsidR="00EF6070" w:rsidRDefault="00EF6070" w:rsidP="00EF6070">
      <w:pPr>
        <w:spacing w:line="360" w:lineRule="auto"/>
        <w:ind w:firstLine="360"/>
        <w:jc w:val="both"/>
        <w:rPr>
          <w:rFonts w:asciiTheme="majorHAnsi" w:hAnsiTheme="majorHAnsi" w:cstheme="majorHAnsi"/>
        </w:rPr>
      </w:pPr>
      <w:r w:rsidRPr="00EF6070">
        <w:rPr>
          <w:rFonts w:asciiTheme="majorHAnsi" w:hAnsiTheme="majorHAnsi" w:cstheme="majorHAnsi"/>
        </w:rPr>
        <w:t xml:space="preserve">A seguir, apresenta-se de forma mais detalhada, as situações que impactam em movimentação na PPI/MG, que podem ser visualizadas no sítio eletrônico na consulta “ALTERAÇÕES DO TETO PPI/MG”. </w:t>
      </w:r>
    </w:p>
    <w:p w14:paraId="34527D1C" w14:textId="77777777" w:rsidR="00EF6070" w:rsidRPr="00EF6070" w:rsidRDefault="00EF6070" w:rsidP="00EF6070">
      <w:pPr>
        <w:spacing w:line="360" w:lineRule="auto"/>
        <w:ind w:firstLine="360"/>
        <w:jc w:val="both"/>
        <w:rPr>
          <w:rFonts w:asciiTheme="majorHAnsi" w:hAnsiTheme="majorHAnsi" w:cstheme="majorHAnsi"/>
        </w:rPr>
      </w:pPr>
    </w:p>
    <w:p w14:paraId="606C753D" w14:textId="77777777" w:rsidR="00EF6070" w:rsidRPr="00EF6070" w:rsidRDefault="00EF6070" w:rsidP="00EF6070">
      <w:pPr>
        <w:pStyle w:val="PargrafodaLista"/>
        <w:numPr>
          <w:ilvl w:val="0"/>
          <w:numId w:val="27"/>
        </w:numPr>
        <w:spacing w:after="200" w:line="360" w:lineRule="auto"/>
        <w:jc w:val="both"/>
        <w:rPr>
          <w:rFonts w:asciiTheme="majorHAnsi" w:hAnsiTheme="majorHAnsi" w:cstheme="majorHAnsi"/>
        </w:rPr>
      </w:pPr>
      <w:r w:rsidRPr="00EF6070">
        <w:rPr>
          <w:rFonts w:asciiTheme="majorHAnsi" w:hAnsiTheme="majorHAnsi" w:cstheme="majorHAnsi"/>
          <w:b/>
        </w:rPr>
        <w:t>Portarias:</w:t>
      </w:r>
      <w:r w:rsidRPr="00EF6070">
        <w:rPr>
          <w:rFonts w:asciiTheme="majorHAnsi" w:hAnsiTheme="majorHAnsi" w:cstheme="majorHAnsi"/>
        </w:rPr>
        <w:t xml:space="preserve"> podem gerar um impacto positivo ou negativo na PPI/MG a depender se o objeto é acréscimo ou supressão de recurso financeiro. Também podem não gerar impacto, caso a motivação seja alteração do tipo de gestão ou do prestador beneficiado.</w:t>
      </w:r>
    </w:p>
    <w:p w14:paraId="3BDA8585" w14:textId="5B96643A" w:rsidR="00EF6070" w:rsidRDefault="00EF6070" w:rsidP="00EF6070">
      <w:pPr>
        <w:pStyle w:val="PargrafodaLista"/>
        <w:spacing w:line="360" w:lineRule="auto"/>
        <w:jc w:val="both"/>
        <w:rPr>
          <w:rFonts w:asciiTheme="majorHAnsi" w:hAnsiTheme="majorHAnsi" w:cstheme="majorHAnsi"/>
        </w:rPr>
      </w:pPr>
      <w:r w:rsidRPr="00EF6070">
        <w:rPr>
          <w:rFonts w:asciiTheme="majorHAnsi" w:hAnsiTheme="majorHAnsi" w:cstheme="majorHAnsi"/>
          <w:b/>
          <w:bCs/>
          <w:u w:val="single"/>
        </w:rPr>
        <w:t>Importante:</w:t>
      </w:r>
      <w:r w:rsidRPr="00EF6070">
        <w:rPr>
          <w:rFonts w:asciiTheme="majorHAnsi" w:hAnsiTheme="majorHAnsi" w:cstheme="majorHAnsi"/>
        </w:rPr>
        <w:t xml:space="preserve"> a portaria só será incluída na PPI/MG após ser registrada no Sistema de Controle de Limite Financeiro da Média e Alta Complexidade (SISMAC). As portarias de parcela única não são programadas na PPI, por ser caráter excepcional. Em alguns casos pode haver um “</w:t>
      </w:r>
      <w:proofErr w:type="spellStart"/>
      <w:r w:rsidRPr="00EF6070">
        <w:rPr>
          <w:rFonts w:asciiTheme="majorHAnsi" w:hAnsiTheme="majorHAnsi" w:cstheme="majorHAnsi"/>
        </w:rPr>
        <w:t>delay</w:t>
      </w:r>
      <w:proofErr w:type="spellEnd"/>
      <w:r w:rsidRPr="00EF6070">
        <w:rPr>
          <w:rFonts w:asciiTheme="majorHAnsi" w:hAnsiTheme="majorHAnsi" w:cstheme="majorHAnsi"/>
        </w:rPr>
        <w:t>” entre o registro da portaria no SISMAC e sua programação na PPI/MG devido a data limite para envio do teto mensalmente ao Ministério da Saúde.</w:t>
      </w:r>
    </w:p>
    <w:p w14:paraId="338FE2BB" w14:textId="77777777" w:rsidR="00EF6070" w:rsidRPr="00EF6070" w:rsidRDefault="00EF6070" w:rsidP="00EF6070">
      <w:pPr>
        <w:pStyle w:val="PargrafodaLista"/>
        <w:spacing w:line="360" w:lineRule="auto"/>
        <w:jc w:val="both"/>
        <w:rPr>
          <w:rFonts w:asciiTheme="majorHAnsi" w:hAnsiTheme="majorHAnsi" w:cstheme="majorHAnsi"/>
        </w:rPr>
      </w:pPr>
    </w:p>
    <w:p w14:paraId="494117CE" w14:textId="77777777" w:rsidR="00EF6070" w:rsidRPr="00EF6070" w:rsidRDefault="00EF6070" w:rsidP="00EF6070">
      <w:pPr>
        <w:pStyle w:val="PargrafodaLista"/>
        <w:numPr>
          <w:ilvl w:val="0"/>
          <w:numId w:val="27"/>
        </w:numPr>
        <w:spacing w:after="200" w:line="360" w:lineRule="auto"/>
        <w:jc w:val="both"/>
        <w:rPr>
          <w:rFonts w:asciiTheme="majorHAnsi" w:hAnsiTheme="majorHAnsi" w:cstheme="majorHAnsi"/>
        </w:rPr>
      </w:pPr>
      <w:r w:rsidRPr="00EF6070">
        <w:rPr>
          <w:rFonts w:asciiTheme="majorHAnsi" w:hAnsiTheme="majorHAnsi" w:cstheme="majorHAnsi"/>
          <w:b/>
        </w:rPr>
        <w:t>Remanejamentos das metas:</w:t>
      </w:r>
      <w:r w:rsidRPr="00EF6070">
        <w:rPr>
          <w:rFonts w:asciiTheme="majorHAnsi" w:hAnsiTheme="majorHAnsi" w:cstheme="majorHAnsi"/>
        </w:rPr>
        <w:t xml:space="preserve"> traduz a repactuação das referências de atendimento nos pactos assistenciais, possibilitando a reorganização do fluxo de média e alta complexidade, por meio de nova programação. Portanto, as alterações advindas dessa situação geram mudança na alocação da meta física da origem entre município de atendimento, o que pode gerar impacto financeiro (a depender da forma de programação na PPI/MG)</w:t>
      </w:r>
    </w:p>
    <w:p w14:paraId="613B2787" w14:textId="31F9FBB9" w:rsidR="00EF6070" w:rsidRDefault="00EF6070" w:rsidP="00EF6070">
      <w:pPr>
        <w:pStyle w:val="PargrafodaLista"/>
        <w:spacing w:line="360" w:lineRule="auto"/>
        <w:jc w:val="both"/>
        <w:rPr>
          <w:rFonts w:asciiTheme="majorHAnsi" w:hAnsiTheme="majorHAnsi" w:cstheme="majorHAnsi"/>
        </w:rPr>
      </w:pPr>
      <w:r w:rsidRPr="00EF6070">
        <w:rPr>
          <w:rFonts w:asciiTheme="majorHAnsi" w:hAnsiTheme="majorHAnsi" w:cstheme="majorHAnsi"/>
        </w:rPr>
        <w:t>A mudança pode ser visualizada no sítio eletrônico da PPI/MG tanto com a busca por município de origem quanto por atendimento.</w:t>
      </w:r>
    </w:p>
    <w:p w14:paraId="5E3AAF3D" w14:textId="77777777" w:rsidR="00EF6070" w:rsidRPr="00EF6070" w:rsidRDefault="00EF6070" w:rsidP="00EF6070">
      <w:pPr>
        <w:pStyle w:val="PargrafodaLista"/>
        <w:spacing w:line="360" w:lineRule="auto"/>
        <w:jc w:val="both"/>
        <w:rPr>
          <w:rFonts w:asciiTheme="majorHAnsi" w:hAnsiTheme="majorHAnsi" w:cstheme="majorHAnsi"/>
        </w:rPr>
      </w:pPr>
    </w:p>
    <w:p w14:paraId="35686340" w14:textId="0C61987F" w:rsidR="00EF6070" w:rsidRDefault="00EF6070" w:rsidP="00EF6070">
      <w:pPr>
        <w:pStyle w:val="PargrafodaLista"/>
        <w:numPr>
          <w:ilvl w:val="0"/>
          <w:numId w:val="27"/>
        </w:numPr>
        <w:spacing w:after="200" w:line="360" w:lineRule="auto"/>
        <w:jc w:val="both"/>
        <w:rPr>
          <w:rFonts w:asciiTheme="majorHAnsi" w:hAnsiTheme="majorHAnsi" w:cstheme="majorHAnsi"/>
        </w:rPr>
      </w:pPr>
      <w:r w:rsidRPr="00EF6070">
        <w:rPr>
          <w:rFonts w:asciiTheme="majorHAnsi" w:hAnsiTheme="majorHAnsi" w:cstheme="majorHAnsi"/>
          <w:b/>
        </w:rPr>
        <w:lastRenderedPageBreak/>
        <w:t>Encontros de Contas e Ressarcimentos:</w:t>
      </w:r>
      <w:r w:rsidRPr="00EF6070">
        <w:rPr>
          <w:rFonts w:asciiTheme="majorHAnsi" w:hAnsiTheme="majorHAnsi" w:cstheme="majorHAnsi"/>
        </w:rPr>
        <w:t xml:space="preserve"> corresponde às movimentações financeiras entre os municípios de atendimento (incluindo o Estado de Minas Gerais) para atender aos acertos a serem realizados, via Teto MAC, após apuração. Cada movimentação é realizada na PPI de acordo com a periodicidade definida no respectivo instrumento normativo de apuração, sendo retirada nos meses seguintes em que não há previsão. Só aparecerá novo valor de movimentação na PPI quando for realizada uma nova apuração. Isso quer dizer que na Forma de Organização de registro dessa situação, só terá informação na competência em que se tem apuração a ser executada, sumindo da PPI nos meses em que não há </w:t>
      </w:r>
      <w:proofErr w:type="spellStart"/>
      <w:r w:rsidRPr="00EF6070">
        <w:rPr>
          <w:rFonts w:asciiTheme="majorHAnsi" w:hAnsiTheme="majorHAnsi" w:cstheme="majorHAnsi"/>
        </w:rPr>
        <w:t>extrapolamento</w:t>
      </w:r>
      <w:proofErr w:type="spellEnd"/>
      <w:r w:rsidRPr="00EF6070">
        <w:rPr>
          <w:rFonts w:asciiTheme="majorHAnsi" w:hAnsiTheme="majorHAnsi" w:cstheme="majorHAnsi"/>
        </w:rPr>
        <w:t xml:space="preserve">/desconto a serem efetivados. </w:t>
      </w:r>
    </w:p>
    <w:p w14:paraId="1723F1BE" w14:textId="77777777" w:rsidR="00EF6070" w:rsidRPr="00EF6070" w:rsidRDefault="00EF6070" w:rsidP="00EF6070">
      <w:pPr>
        <w:pStyle w:val="PargrafodaLista"/>
        <w:spacing w:after="200" w:line="360" w:lineRule="auto"/>
        <w:jc w:val="both"/>
        <w:rPr>
          <w:rFonts w:asciiTheme="majorHAnsi" w:hAnsiTheme="majorHAnsi" w:cstheme="majorHAnsi"/>
        </w:rPr>
      </w:pPr>
    </w:p>
    <w:p w14:paraId="00B455BC" w14:textId="77777777" w:rsidR="00EF6070" w:rsidRPr="00EF6070" w:rsidRDefault="00EF6070" w:rsidP="00EF6070">
      <w:pPr>
        <w:pStyle w:val="PargrafodaLista"/>
        <w:spacing w:line="360" w:lineRule="auto"/>
        <w:jc w:val="both"/>
        <w:rPr>
          <w:rFonts w:asciiTheme="majorHAnsi" w:hAnsiTheme="majorHAnsi" w:cstheme="majorHAnsi"/>
        </w:rPr>
      </w:pPr>
      <w:r w:rsidRPr="00EF6070">
        <w:rPr>
          <w:rFonts w:asciiTheme="majorHAnsi" w:hAnsiTheme="majorHAnsi" w:cstheme="majorHAnsi"/>
          <w:b/>
          <w:bCs/>
          <w:u w:val="single"/>
        </w:rPr>
        <w:t>Importante:</w:t>
      </w:r>
      <w:r w:rsidRPr="00EF6070">
        <w:rPr>
          <w:rFonts w:asciiTheme="majorHAnsi" w:hAnsiTheme="majorHAnsi" w:cstheme="majorHAnsi"/>
        </w:rPr>
        <w:t xml:space="preserve"> no ícone “Documentos Técnicos” do sítio eletrônico da PPI/MG, tem-se na opção “Consolidados” o documento que sistematiza as movimentações financeiras </w:t>
      </w:r>
    </w:p>
    <w:p w14:paraId="2149CBB7" w14:textId="58FDC2F0" w:rsidR="00EF6070" w:rsidRDefault="00EF6070" w:rsidP="00EF6070">
      <w:pPr>
        <w:pStyle w:val="PargrafodaLista"/>
        <w:spacing w:line="360" w:lineRule="auto"/>
        <w:jc w:val="both"/>
        <w:rPr>
          <w:rFonts w:asciiTheme="majorHAnsi" w:hAnsiTheme="majorHAnsi" w:cstheme="majorHAnsi"/>
        </w:rPr>
      </w:pPr>
      <w:proofErr w:type="gramStart"/>
      <w:r w:rsidRPr="00EF6070">
        <w:rPr>
          <w:rFonts w:asciiTheme="majorHAnsi" w:hAnsiTheme="majorHAnsi" w:cstheme="majorHAnsi"/>
        </w:rPr>
        <w:t>vinculadas</w:t>
      </w:r>
      <w:proofErr w:type="gramEnd"/>
      <w:r w:rsidRPr="00EF6070">
        <w:rPr>
          <w:rFonts w:asciiTheme="majorHAnsi" w:hAnsiTheme="majorHAnsi" w:cstheme="majorHAnsi"/>
        </w:rPr>
        <w:t xml:space="preserve"> aos </w:t>
      </w:r>
      <w:proofErr w:type="spellStart"/>
      <w:r w:rsidRPr="00EF6070">
        <w:rPr>
          <w:rFonts w:asciiTheme="majorHAnsi" w:hAnsiTheme="majorHAnsi" w:cstheme="majorHAnsi"/>
        </w:rPr>
        <w:t>extrapolamentos</w:t>
      </w:r>
      <w:proofErr w:type="spellEnd"/>
      <w:r w:rsidRPr="00EF6070">
        <w:rPr>
          <w:rFonts w:asciiTheme="majorHAnsi" w:hAnsiTheme="majorHAnsi" w:cstheme="majorHAnsi"/>
        </w:rPr>
        <w:t xml:space="preserve">/descontos apurados e </w:t>
      </w:r>
      <w:proofErr w:type="spellStart"/>
      <w:r w:rsidRPr="00EF6070">
        <w:rPr>
          <w:rFonts w:asciiTheme="majorHAnsi" w:hAnsiTheme="majorHAnsi" w:cstheme="majorHAnsi"/>
        </w:rPr>
        <w:t>publicizados</w:t>
      </w:r>
      <w:proofErr w:type="spellEnd"/>
      <w:r w:rsidRPr="00EF6070">
        <w:rPr>
          <w:rFonts w:asciiTheme="majorHAnsi" w:hAnsiTheme="majorHAnsi" w:cstheme="majorHAnsi"/>
        </w:rPr>
        <w:t xml:space="preserve"> por meio de ato normativo SES/COSEMS relativos aos Encontros de Contas e Ressarcimentos.</w:t>
      </w:r>
    </w:p>
    <w:p w14:paraId="1A2C64E1" w14:textId="77777777" w:rsidR="00EF6070" w:rsidRPr="00EF6070" w:rsidRDefault="00EF6070" w:rsidP="00EF6070">
      <w:pPr>
        <w:pStyle w:val="PargrafodaLista"/>
        <w:spacing w:line="360" w:lineRule="auto"/>
        <w:jc w:val="both"/>
        <w:rPr>
          <w:rFonts w:asciiTheme="majorHAnsi" w:hAnsiTheme="majorHAnsi" w:cstheme="majorHAnsi"/>
        </w:rPr>
      </w:pPr>
    </w:p>
    <w:p w14:paraId="2718EAB9" w14:textId="3426D099" w:rsidR="00EF6070" w:rsidRDefault="00EF6070" w:rsidP="00EF6070">
      <w:pPr>
        <w:pStyle w:val="PargrafodaLista"/>
        <w:numPr>
          <w:ilvl w:val="0"/>
          <w:numId w:val="27"/>
        </w:numPr>
        <w:spacing w:after="200" w:line="360" w:lineRule="auto"/>
        <w:jc w:val="both"/>
        <w:rPr>
          <w:rFonts w:asciiTheme="majorHAnsi" w:hAnsiTheme="majorHAnsi" w:cstheme="majorHAnsi"/>
        </w:rPr>
      </w:pPr>
      <w:r w:rsidRPr="00EF6070">
        <w:rPr>
          <w:rFonts w:asciiTheme="majorHAnsi" w:hAnsiTheme="majorHAnsi" w:cstheme="majorHAnsi"/>
          <w:b/>
        </w:rPr>
        <w:t>Reprogramação das metas por meio de Deliberação CIB-SUS/MG:</w:t>
      </w:r>
      <w:r w:rsidRPr="00EF6070">
        <w:rPr>
          <w:rFonts w:asciiTheme="majorHAnsi" w:hAnsiTheme="majorHAnsi" w:cstheme="majorHAnsi"/>
        </w:rPr>
        <w:t xml:space="preserve"> corresponde às revisões físico-financeiras na PPI/MG realizadas por meio de publicação de Deliberação CIB-SUS/MG, a partir de estudos assistenciais coordenados pelas áreas técnicas e comissões SES/COSEMS competentes. Pode-se contemplar alterações nos tetos dos municípios enquanto origem e/ou atendimento, e consequentemente no que tange às metas físicas e/ou financeiras.</w:t>
      </w:r>
    </w:p>
    <w:p w14:paraId="501D54A6" w14:textId="77777777" w:rsidR="00EF6070" w:rsidRPr="00EF6070" w:rsidRDefault="00EF6070" w:rsidP="00EF6070">
      <w:pPr>
        <w:pStyle w:val="PargrafodaLista"/>
        <w:spacing w:after="200" w:line="360" w:lineRule="auto"/>
        <w:jc w:val="both"/>
        <w:rPr>
          <w:rFonts w:asciiTheme="majorHAnsi" w:hAnsiTheme="majorHAnsi" w:cstheme="majorHAnsi"/>
        </w:rPr>
      </w:pPr>
    </w:p>
    <w:p w14:paraId="01F185E1" w14:textId="104540B2" w:rsidR="00EF6070" w:rsidRDefault="00EF6070" w:rsidP="00EF6070">
      <w:pPr>
        <w:pStyle w:val="PargrafodaLista"/>
        <w:numPr>
          <w:ilvl w:val="0"/>
          <w:numId w:val="27"/>
        </w:numPr>
        <w:spacing w:after="200" w:line="360" w:lineRule="auto"/>
        <w:jc w:val="both"/>
        <w:rPr>
          <w:rFonts w:asciiTheme="majorHAnsi" w:hAnsiTheme="majorHAnsi" w:cstheme="majorHAnsi"/>
        </w:rPr>
      </w:pPr>
      <w:r w:rsidRPr="00EF6070">
        <w:rPr>
          <w:rFonts w:asciiTheme="majorHAnsi" w:hAnsiTheme="majorHAnsi" w:cstheme="majorHAnsi"/>
          <w:b/>
        </w:rPr>
        <w:t>Assunção da gestão dos prestadores:</w:t>
      </w:r>
      <w:r w:rsidRPr="00EF6070">
        <w:rPr>
          <w:rFonts w:asciiTheme="majorHAnsi" w:hAnsiTheme="majorHAnsi" w:cstheme="majorHAnsi"/>
        </w:rPr>
        <w:t xml:space="preserve"> corresponde à decisão do município em assumir a gestão dos prestadores de média e alta complexidade, publicada em Deliberação CIB-SUS/MG. Neste caso, o registro de mudança é apenas relativo à gestão do recurso.</w:t>
      </w:r>
    </w:p>
    <w:p w14:paraId="4BCF9EB7" w14:textId="77777777" w:rsidR="00EF6070" w:rsidRPr="00EF6070" w:rsidRDefault="00EF6070" w:rsidP="00EF6070">
      <w:pPr>
        <w:pStyle w:val="PargrafodaLista"/>
        <w:spacing w:after="200" w:line="360" w:lineRule="auto"/>
        <w:jc w:val="both"/>
        <w:rPr>
          <w:rFonts w:asciiTheme="majorHAnsi" w:hAnsiTheme="majorHAnsi" w:cstheme="majorHAnsi"/>
        </w:rPr>
      </w:pPr>
    </w:p>
    <w:p w14:paraId="29A9A939" w14:textId="77777777" w:rsidR="00EF6070" w:rsidRPr="00EF6070" w:rsidRDefault="00EF6070" w:rsidP="00EF6070">
      <w:pPr>
        <w:pStyle w:val="PargrafodaLista"/>
        <w:numPr>
          <w:ilvl w:val="0"/>
          <w:numId w:val="27"/>
        </w:numPr>
        <w:spacing w:after="200" w:line="360" w:lineRule="auto"/>
        <w:jc w:val="both"/>
        <w:rPr>
          <w:rFonts w:asciiTheme="majorHAnsi" w:hAnsiTheme="majorHAnsi" w:cstheme="majorHAnsi"/>
        </w:rPr>
      </w:pPr>
      <w:r w:rsidRPr="00EF6070">
        <w:rPr>
          <w:rFonts w:asciiTheme="majorHAnsi" w:hAnsiTheme="majorHAnsi" w:cstheme="majorHAnsi"/>
          <w:b/>
        </w:rPr>
        <w:t>Notas:</w:t>
      </w:r>
      <w:r w:rsidRPr="00EF6070">
        <w:rPr>
          <w:rFonts w:asciiTheme="majorHAnsi" w:hAnsiTheme="majorHAnsi" w:cstheme="majorHAnsi"/>
        </w:rPr>
        <w:t xml:space="preserve"> em situações que ensejam ajustes na programação ou adequações excepcionais (como adequação do tipo de gestão ou falhas de programação/pagamento) elabora-se Nota Informativa ou Técnica para respaldar as modificações realizadas.</w:t>
      </w:r>
    </w:p>
    <w:p w14:paraId="6B28657C" w14:textId="77777777" w:rsidR="00EF6070" w:rsidRDefault="00EF6070">
      <w:pPr>
        <w:rPr>
          <w:sz w:val="20"/>
          <w:szCs w:val="20"/>
        </w:rPr>
      </w:pPr>
    </w:p>
    <w:p w14:paraId="28965FAD" w14:textId="77777777" w:rsidR="00957CD4" w:rsidRPr="00957CD4" w:rsidRDefault="00957CD4" w:rsidP="00957CD4">
      <w:pPr>
        <w:jc w:val="center"/>
        <w:rPr>
          <w:rFonts w:ascii="Calibri" w:eastAsia="Calibri" w:hAnsi="Calibri" w:cs="Calibri"/>
        </w:rPr>
      </w:pPr>
    </w:p>
    <w:p w14:paraId="50EA4528" w14:textId="4A85BE1C" w:rsidR="00935D9F" w:rsidRPr="006C65AE" w:rsidRDefault="009948F8">
      <w:pPr>
        <w:spacing w:after="200" w:line="360" w:lineRule="auto"/>
        <w:jc w:val="both"/>
        <w:rPr>
          <w:rFonts w:ascii="Calibri" w:eastAsia="Calibri" w:hAnsi="Calibri" w:cs="Calibri"/>
          <w:b/>
          <w:u w:val="single"/>
        </w:rPr>
      </w:pPr>
      <w:r w:rsidRPr="006C65AE">
        <w:rPr>
          <w:rFonts w:ascii="Calibri" w:eastAsia="Calibri" w:hAnsi="Calibri" w:cs="Calibri"/>
          <w:b/>
          <w:u w:val="single"/>
        </w:rPr>
        <w:lastRenderedPageBreak/>
        <w:t>Programa SFT (Sistema de Fechamento de Teto):</w:t>
      </w:r>
    </w:p>
    <w:p w14:paraId="466BF3A3" w14:textId="5ACB8C31" w:rsidR="00935D9F" w:rsidRDefault="006C65AE" w:rsidP="006C65AE">
      <w:pPr>
        <w:spacing w:after="200" w:line="360" w:lineRule="auto"/>
        <w:ind w:firstLine="720"/>
        <w:jc w:val="both"/>
        <w:rPr>
          <w:rFonts w:ascii="Calibri" w:eastAsia="Calibri" w:hAnsi="Calibri" w:cs="Calibri"/>
        </w:rPr>
      </w:pPr>
      <w:r>
        <w:rPr>
          <w:rFonts w:ascii="Calibri" w:eastAsia="Calibri" w:hAnsi="Calibri" w:cs="Calibri"/>
        </w:rPr>
        <w:t>O p</w:t>
      </w:r>
      <w:r w:rsidR="009948F8">
        <w:rPr>
          <w:rFonts w:ascii="Calibri" w:eastAsia="Calibri" w:hAnsi="Calibri" w:cs="Calibri"/>
        </w:rPr>
        <w:t xml:space="preserve">rograma </w:t>
      </w:r>
      <w:r>
        <w:rPr>
          <w:rFonts w:ascii="Calibri" w:eastAsia="Calibri" w:hAnsi="Calibri" w:cs="Calibri"/>
        </w:rPr>
        <w:t xml:space="preserve">“Sistema de Fechamento de Teto” foi </w:t>
      </w:r>
      <w:r w:rsidR="00F87DAE">
        <w:rPr>
          <w:rFonts w:ascii="Calibri" w:eastAsia="Calibri" w:hAnsi="Calibri" w:cs="Calibri"/>
        </w:rPr>
        <w:t xml:space="preserve">desenvolvido e </w:t>
      </w:r>
      <w:r w:rsidR="009948F8">
        <w:rPr>
          <w:rFonts w:ascii="Calibri" w:eastAsia="Calibri" w:hAnsi="Calibri" w:cs="Calibri"/>
        </w:rPr>
        <w:t>implantado em 2011 pelos técnicos em informática da DPPI para diminuir as alterações manuais no teto</w:t>
      </w:r>
      <w:r>
        <w:rPr>
          <w:rFonts w:ascii="Calibri" w:eastAsia="Calibri" w:hAnsi="Calibri" w:cs="Calibri"/>
        </w:rPr>
        <w:t xml:space="preserve"> e otimizar o processo</w:t>
      </w:r>
      <w:r w:rsidR="009948F8">
        <w:rPr>
          <w:rFonts w:ascii="Calibri" w:eastAsia="Calibri" w:hAnsi="Calibri" w:cs="Calibri"/>
        </w:rPr>
        <w:t>. Este programa é constantemente alterado para acompanhar as modificações que ocorrem na estrutura da PPI/MG e no envio das informações mensais ao Ministério da Saúde.</w:t>
      </w:r>
    </w:p>
    <w:p w14:paraId="366E8178" w14:textId="44C0EDF1" w:rsidR="00935D9F" w:rsidRDefault="0095484E" w:rsidP="0095484E">
      <w:pPr>
        <w:spacing w:after="200" w:line="360" w:lineRule="auto"/>
        <w:ind w:firstLine="360"/>
        <w:jc w:val="both"/>
        <w:rPr>
          <w:rFonts w:ascii="Calibri" w:eastAsia="Calibri" w:hAnsi="Calibri" w:cs="Calibri"/>
        </w:rPr>
      </w:pPr>
      <w:r>
        <w:rPr>
          <w:rFonts w:ascii="Calibri" w:eastAsia="Calibri" w:hAnsi="Calibri" w:cs="Calibri"/>
        </w:rPr>
        <w:t>O processo de Fechamento de Teto é detalhado no</w:t>
      </w:r>
      <w:r w:rsidR="00B66D0F">
        <w:rPr>
          <w:rFonts w:ascii="Calibri" w:eastAsia="Calibri" w:hAnsi="Calibri" w:cs="Calibri"/>
        </w:rPr>
        <w:t>s</w:t>
      </w:r>
      <w:r>
        <w:rPr>
          <w:rFonts w:ascii="Calibri" w:eastAsia="Calibri" w:hAnsi="Calibri" w:cs="Calibri"/>
        </w:rPr>
        <w:t xml:space="preserve"> POP</w:t>
      </w:r>
      <w:r w:rsidR="00B66D0F">
        <w:rPr>
          <w:rFonts w:ascii="Calibri" w:eastAsia="Calibri" w:hAnsi="Calibri" w:cs="Calibri"/>
        </w:rPr>
        <w:t>-</w:t>
      </w:r>
      <w:r>
        <w:rPr>
          <w:rFonts w:ascii="Calibri" w:eastAsia="Calibri" w:hAnsi="Calibri" w:cs="Calibri"/>
        </w:rPr>
        <w:t>DPPI</w:t>
      </w:r>
      <w:r w:rsidR="00B66D0F">
        <w:rPr>
          <w:rFonts w:ascii="Calibri" w:eastAsia="Calibri" w:hAnsi="Calibri" w:cs="Calibri"/>
        </w:rPr>
        <w:t>: 003, 004 e 005. Estas são as e</w:t>
      </w:r>
      <w:r w:rsidR="009948F8">
        <w:rPr>
          <w:rFonts w:ascii="Calibri" w:eastAsia="Calibri" w:hAnsi="Calibri" w:cs="Calibri"/>
        </w:rPr>
        <w:t>tapas de trabalho do programa:</w:t>
      </w:r>
    </w:p>
    <w:p w14:paraId="4869967C" w14:textId="24119E85" w:rsidR="00935D9F" w:rsidRPr="0095484E" w:rsidRDefault="009948F8" w:rsidP="0095484E">
      <w:pPr>
        <w:pStyle w:val="PargrafodaLista"/>
        <w:numPr>
          <w:ilvl w:val="0"/>
          <w:numId w:val="7"/>
        </w:numPr>
        <w:spacing w:line="360" w:lineRule="auto"/>
        <w:jc w:val="both"/>
        <w:rPr>
          <w:sz w:val="24"/>
          <w:szCs w:val="24"/>
        </w:rPr>
      </w:pPr>
      <w:r w:rsidRPr="0095484E">
        <w:rPr>
          <w:rFonts w:ascii="Calibri" w:eastAsia="Calibri" w:hAnsi="Calibri" w:cs="Calibri"/>
        </w:rPr>
        <w:t>C</w:t>
      </w:r>
      <w:r w:rsidR="009D2B56">
        <w:rPr>
          <w:rFonts w:ascii="Calibri" w:eastAsia="Calibri" w:hAnsi="Calibri" w:cs="Calibri"/>
        </w:rPr>
        <w:t xml:space="preserve">opiar </w:t>
      </w:r>
      <w:r w:rsidR="0095484E" w:rsidRPr="0095484E">
        <w:rPr>
          <w:rFonts w:ascii="Calibri" w:eastAsia="Calibri" w:hAnsi="Calibri" w:cs="Calibri"/>
        </w:rPr>
        <w:t>Banco</w:t>
      </w:r>
      <w:r w:rsidRPr="0095484E">
        <w:rPr>
          <w:rFonts w:ascii="Calibri" w:eastAsia="Calibri" w:hAnsi="Calibri" w:cs="Calibri"/>
        </w:rPr>
        <w:t xml:space="preserve"> PPI.</w:t>
      </w:r>
      <w:r w:rsidR="0095484E" w:rsidRPr="0095484E">
        <w:rPr>
          <w:rFonts w:ascii="Calibri" w:eastAsia="Calibri" w:hAnsi="Calibri" w:cs="Calibri"/>
        </w:rPr>
        <w:t>mdb (CompetênciaXX.mdb)</w:t>
      </w:r>
      <w:r w:rsidRPr="0095484E">
        <w:rPr>
          <w:rFonts w:ascii="Calibri" w:eastAsia="Calibri" w:hAnsi="Calibri" w:cs="Calibri"/>
        </w:rPr>
        <w:t xml:space="preserve"> do mês anterior para a competência atual</w:t>
      </w:r>
      <w:r w:rsidR="00B66D0F">
        <w:rPr>
          <w:rFonts w:ascii="Calibri" w:eastAsia="Calibri" w:hAnsi="Calibri" w:cs="Calibri"/>
        </w:rPr>
        <w:t>.</w:t>
      </w:r>
    </w:p>
    <w:p w14:paraId="15BEEE3D" w14:textId="4E59CAAA" w:rsidR="00935D9F" w:rsidRDefault="009948F8" w:rsidP="0095484E">
      <w:pPr>
        <w:numPr>
          <w:ilvl w:val="0"/>
          <w:numId w:val="7"/>
        </w:numPr>
        <w:spacing w:line="360" w:lineRule="auto"/>
        <w:jc w:val="both"/>
        <w:rPr>
          <w:sz w:val="24"/>
          <w:szCs w:val="24"/>
        </w:rPr>
      </w:pPr>
      <w:r>
        <w:rPr>
          <w:rFonts w:ascii="Calibri" w:eastAsia="Calibri" w:hAnsi="Calibri" w:cs="Calibri"/>
        </w:rPr>
        <w:t>Preench</w:t>
      </w:r>
      <w:r w:rsidR="00B66D0F">
        <w:rPr>
          <w:rFonts w:ascii="Calibri" w:eastAsia="Calibri" w:hAnsi="Calibri" w:cs="Calibri"/>
        </w:rPr>
        <w:t xml:space="preserve">er </w:t>
      </w:r>
      <w:r>
        <w:rPr>
          <w:rFonts w:ascii="Calibri" w:eastAsia="Calibri" w:hAnsi="Calibri" w:cs="Calibri"/>
        </w:rPr>
        <w:t xml:space="preserve">a </w:t>
      </w:r>
      <w:proofErr w:type="spellStart"/>
      <w:r>
        <w:rPr>
          <w:rFonts w:ascii="Calibri" w:eastAsia="Calibri" w:hAnsi="Calibri" w:cs="Calibri"/>
        </w:rPr>
        <w:t>tbRemanejamento</w:t>
      </w:r>
      <w:proofErr w:type="spellEnd"/>
      <w:r>
        <w:rPr>
          <w:rFonts w:ascii="Calibri" w:eastAsia="Calibri" w:hAnsi="Calibri" w:cs="Calibri"/>
        </w:rPr>
        <w:t xml:space="preserve"> a partir das tabelas RMN e</w:t>
      </w:r>
      <w:r w:rsidR="00F87DAE">
        <w:rPr>
          <w:rFonts w:ascii="Calibri" w:eastAsia="Calibri" w:hAnsi="Calibri" w:cs="Calibri"/>
        </w:rPr>
        <w:t xml:space="preserve"> GERA</w:t>
      </w:r>
      <w:r w:rsidR="0095484E">
        <w:rPr>
          <w:rFonts w:ascii="Calibri" w:eastAsia="Calibri" w:hAnsi="Calibri" w:cs="Calibri"/>
        </w:rPr>
        <w:t xml:space="preserve"> (esta é gerada preenchida pelo site GERA)</w:t>
      </w:r>
      <w:r>
        <w:rPr>
          <w:rFonts w:ascii="Calibri" w:eastAsia="Calibri" w:hAnsi="Calibri" w:cs="Calibri"/>
        </w:rPr>
        <w:t xml:space="preserve">. A </w:t>
      </w:r>
      <w:proofErr w:type="spellStart"/>
      <w:r>
        <w:rPr>
          <w:rFonts w:ascii="Calibri" w:eastAsia="Calibri" w:hAnsi="Calibri" w:cs="Calibri"/>
        </w:rPr>
        <w:t>tbRemanejamento</w:t>
      </w:r>
      <w:proofErr w:type="spellEnd"/>
      <w:r>
        <w:rPr>
          <w:rFonts w:ascii="Calibri" w:eastAsia="Calibri" w:hAnsi="Calibri" w:cs="Calibri"/>
        </w:rPr>
        <w:t xml:space="preserve"> altera as metas físicas e/ou custo médio na </w:t>
      </w:r>
      <w:proofErr w:type="spellStart"/>
      <w:r>
        <w:rPr>
          <w:rFonts w:ascii="Calibri" w:eastAsia="Calibri" w:hAnsi="Calibri" w:cs="Calibri"/>
        </w:rPr>
        <w:t>tbCustoMedio</w:t>
      </w:r>
      <w:proofErr w:type="spellEnd"/>
      <w:r>
        <w:rPr>
          <w:rFonts w:ascii="Calibri" w:eastAsia="Calibri" w:hAnsi="Calibri" w:cs="Calibri"/>
        </w:rPr>
        <w:t xml:space="preserve"> e </w:t>
      </w:r>
      <w:proofErr w:type="spellStart"/>
      <w:r>
        <w:rPr>
          <w:rFonts w:ascii="Calibri" w:eastAsia="Calibri" w:hAnsi="Calibri" w:cs="Calibri"/>
        </w:rPr>
        <w:t>tbPpiOficial</w:t>
      </w:r>
      <w:proofErr w:type="spellEnd"/>
      <w:r w:rsidR="00B66D0F">
        <w:rPr>
          <w:rFonts w:ascii="Calibri" w:eastAsia="Calibri" w:hAnsi="Calibri" w:cs="Calibri"/>
        </w:rPr>
        <w:t>.</w:t>
      </w:r>
    </w:p>
    <w:p w14:paraId="58C64FCF" w14:textId="12131C9D" w:rsidR="00935D9F" w:rsidRDefault="009948F8" w:rsidP="0095484E">
      <w:pPr>
        <w:numPr>
          <w:ilvl w:val="0"/>
          <w:numId w:val="7"/>
        </w:numPr>
        <w:spacing w:line="360" w:lineRule="auto"/>
        <w:jc w:val="both"/>
        <w:rPr>
          <w:sz w:val="24"/>
          <w:szCs w:val="24"/>
        </w:rPr>
      </w:pPr>
      <w:r>
        <w:rPr>
          <w:rFonts w:ascii="Calibri" w:eastAsia="Calibri" w:hAnsi="Calibri" w:cs="Calibri"/>
        </w:rPr>
        <w:t>Preen</w:t>
      </w:r>
      <w:r w:rsidR="00B66D0F">
        <w:rPr>
          <w:rFonts w:ascii="Calibri" w:eastAsia="Calibri" w:hAnsi="Calibri" w:cs="Calibri"/>
        </w:rPr>
        <w:t>cher a MNUT manualmente com os Separa R</w:t>
      </w:r>
      <w:r>
        <w:rPr>
          <w:rFonts w:ascii="Calibri" w:eastAsia="Calibri" w:hAnsi="Calibri" w:cs="Calibri"/>
        </w:rPr>
        <w:t>emanejamento</w:t>
      </w:r>
      <w:r w:rsidR="00B66D0F">
        <w:rPr>
          <w:rFonts w:ascii="Calibri" w:eastAsia="Calibri" w:hAnsi="Calibri" w:cs="Calibri"/>
        </w:rPr>
        <w:t>s</w:t>
      </w:r>
      <w:r>
        <w:rPr>
          <w:rFonts w:ascii="Calibri" w:eastAsia="Calibri" w:hAnsi="Calibri" w:cs="Calibri"/>
        </w:rPr>
        <w:t>, tabelas, registros campos e valores.</w:t>
      </w:r>
    </w:p>
    <w:p w14:paraId="4AF09423" w14:textId="78963CEE" w:rsidR="00935D9F" w:rsidRDefault="009948F8" w:rsidP="0095484E">
      <w:pPr>
        <w:numPr>
          <w:ilvl w:val="0"/>
          <w:numId w:val="7"/>
        </w:numPr>
        <w:spacing w:line="360" w:lineRule="auto"/>
        <w:jc w:val="both"/>
        <w:rPr>
          <w:sz w:val="24"/>
          <w:szCs w:val="24"/>
        </w:rPr>
      </w:pPr>
      <w:r>
        <w:rPr>
          <w:rFonts w:ascii="Calibri" w:eastAsia="Calibri" w:hAnsi="Calibri" w:cs="Calibri"/>
        </w:rPr>
        <w:t>Gerar o BANCO PPI/MG para realizar os testes</w:t>
      </w:r>
      <w:r w:rsidR="00B66D0F">
        <w:rPr>
          <w:rFonts w:ascii="Calibri" w:eastAsia="Calibri" w:hAnsi="Calibri" w:cs="Calibri"/>
        </w:rPr>
        <w:t>.</w:t>
      </w:r>
    </w:p>
    <w:p w14:paraId="0A6FD7B0" w14:textId="77777777" w:rsidR="00935D9F" w:rsidRDefault="009948F8" w:rsidP="0095484E">
      <w:pPr>
        <w:numPr>
          <w:ilvl w:val="0"/>
          <w:numId w:val="7"/>
        </w:numPr>
        <w:spacing w:line="360" w:lineRule="auto"/>
        <w:jc w:val="both"/>
        <w:rPr>
          <w:sz w:val="24"/>
          <w:szCs w:val="24"/>
        </w:rPr>
      </w:pPr>
      <w:r>
        <w:rPr>
          <w:rFonts w:ascii="Calibri" w:eastAsia="Calibri" w:hAnsi="Calibri" w:cs="Calibri"/>
        </w:rPr>
        <w:t>Realizar testes de consistência:</w:t>
      </w:r>
    </w:p>
    <w:p w14:paraId="7FB22DA9" w14:textId="77777777" w:rsidR="00935D9F" w:rsidRPr="009A5C37" w:rsidRDefault="009948F8">
      <w:pPr>
        <w:numPr>
          <w:ilvl w:val="0"/>
          <w:numId w:val="1"/>
        </w:numPr>
        <w:spacing w:line="360" w:lineRule="auto"/>
        <w:ind w:left="709" w:firstLine="0"/>
        <w:jc w:val="both"/>
        <w:rPr>
          <w:b/>
          <w:sz w:val="24"/>
          <w:szCs w:val="24"/>
        </w:rPr>
      </w:pPr>
      <w:r w:rsidRPr="009A5C37">
        <w:rPr>
          <w:rFonts w:ascii="Calibri" w:eastAsia="Calibri" w:hAnsi="Calibri" w:cs="Calibri"/>
          <w:b/>
        </w:rPr>
        <w:t xml:space="preserve">Registros duplicados: </w:t>
      </w:r>
    </w:p>
    <w:p w14:paraId="718EAB78" w14:textId="71B80331" w:rsidR="00935D9F" w:rsidRDefault="009948F8">
      <w:pPr>
        <w:spacing w:line="360" w:lineRule="auto"/>
        <w:ind w:left="709" w:firstLine="720"/>
        <w:jc w:val="both"/>
        <w:rPr>
          <w:sz w:val="24"/>
          <w:szCs w:val="24"/>
        </w:rPr>
      </w:pPr>
      <w:r>
        <w:rPr>
          <w:rFonts w:ascii="Calibri" w:eastAsia="Calibri" w:hAnsi="Calibri" w:cs="Calibri"/>
        </w:rPr>
        <w:t>Sim</w:t>
      </w:r>
      <w:r w:rsidR="00B66D0F">
        <w:rPr>
          <w:rFonts w:ascii="Calibri" w:eastAsia="Calibri" w:hAnsi="Calibri" w:cs="Calibri"/>
        </w:rPr>
        <w:t>:</w:t>
      </w:r>
      <w:r>
        <w:rPr>
          <w:rFonts w:ascii="Calibri" w:eastAsia="Calibri" w:hAnsi="Calibri" w:cs="Calibri"/>
        </w:rPr>
        <w:t xml:space="preserve"> corrige manualmente na RMN e/ou </w:t>
      </w:r>
      <w:r w:rsidR="00B66D0F">
        <w:rPr>
          <w:rFonts w:ascii="Calibri" w:eastAsia="Calibri" w:hAnsi="Calibri" w:cs="Calibri"/>
        </w:rPr>
        <w:t>GERA</w:t>
      </w:r>
      <w:r w:rsidR="00C70350">
        <w:rPr>
          <w:rFonts w:ascii="Calibri" w:eastAsia="Calibri" w:hAnsi="Calibri" w:cs="Calibri"/>
        </w:rPr>
        <w:t>.</w:t>
      </w:r>
    </w:p>
    <w:p w14:paraId="09551D33" w14:textId="6B0DC191" w:rsidR="00935D9F" w:rsidRDefault="009948F8">
      <w:pPr>
        <w:spacing w:line="360" w:lineRule="auto"/>
        <w:ind w:left="709"/>
        <w:jc w:val="both"/>
        <w:rPr>
          <w:rFonts w:ascii="Calibri" w:eastAsia="Calibri" w:hAnsi="Calibri" w:cs="Calibri"/>
        </w:rPr>
      </w:pPr>
      <w:r>
        <w:rPr>
          <w:rFonts w:ascii="Calibri" w:eastAsia="Calibri" w:hAnsi="Calibri" w:cs="Calibri"/>
        </w:rPr>
        <w:t xml:space="preserve">           </w:t>
      </w:r>
      <w:r w:rsidR="00B66D0F">
        <w:rPr>
          <w:rFonts w:ascii="Calibri" w:eastAsia="Calibri" w:hAnsi="Calibri" w:cs="Calibri"/>
        </w:rPr>
        <w:t xml:space="preserve">    Não:</w:t>
      </w:r>
      <w:r>
        <w:rPr>
          <w:rFonts w:ascii="Calibri" w:eastAsia="Calibri" w:hAnsi="Calibri" w:cs="Calibri"/>
        </w:rPr>
        <w:t xml:space="preserve"> continua a verificação</w:t>
      </w:r>
      <w:r w:rsidR="00C70350">
        <w:rPr>
          <w:rFonts w:ascii="Calibri" w:eastAsia="Calibri" w:hAnsi="Calibri" w:cs="Calibri"/>
        </w:rPr>
        <w:t>.</w:t>
      </w:r>
    </w:p>
    <w:p w14:paraId="214DD1B8" w14:textId="0AB71373" w:rsidR="00935D9F" w:rsidRDefault="009948F8">
      <w:pPr>
        <w:numPr>
          <w:ilvl w:val="0"/>
          <w:numId w:val="1"/>
        </w:numPr>
        <w:spacing w:line="360" w:lineRule="auto"/>
        <w:ind w:left="709" w:firstLine="0"/>
        <w:jc w:val="both"/>
        <w:rPr>
          <w:sz w:val="24"/>
          <w:szCs w:val="24"/>
        </w:rPr>
      </w:pPr>
      <w:r w:rsidRPr="009A5C37">
        <w:rPr>
          <w:rFonts w:ascii="Calibri" w:eastAsia="Calibri" w:hAnsi="Calibri" w:cs="Calibri"/>
          <w:b/>
        </w:rPr>
        <w:t>Tabelas:</w:t>
      </w:r>
      <w:r>
        <w:rPr>
          <w:rFonts w:ascii="Calibri" w:eastAsia="Calibri" w:hAnsi="Calibri" w:cs="Calibri"/>
        </w:rPr>
        <w:t xml:space="preserve"> procura </w:t>
      </w:r>
      <w:r w:rsidR="00B66D0F">
        <w:rPr>
          <w:rFonts w:ascii="Calibri" w:eastAsia="Calibri" w:hAnsi="Calibri" w:cs="Calibri"/>
        </w:rPr>
        <w:t xml:space="preserve">por </w:t>
      </w:r>
      <w:r>
        <w:rPr>
          <w:rFonts w:ascii="Calibri" w:eastAsia="Calibri" w:hAnsi="Calibri" w:cs="Calibri"/>
        </w:rPr>
        <w:t>registros duplicados, linhas em branco, falta de consistência entre ligações de tabelas, dentre outros.</w:t>
      </w:r>
    </w:p>
    <w:p w14:paraId="41734F6B" w14:textId="0AD4740E" w:rsidR="00935D9F" w:rsidRDefault="009948F8">
      <w:pPr>
        <w:spacing w:line="360" w:lineRule="auto"/>
        <w:ind w:left="709" w:firstLine="720"/>
        <w:jc w:val="both"/>
        <w:rPr>
          <w:sz w:val="24"/>
          <w:szCs w:val="24"/>
        </w:rPr>
      </w:pPr>
      <w:r>
        <w:rPr>
          <w:rFonts w:ascii="Calibri" w:eastAsia="Calibri" w:hAnsi="Calibri" w:cs="Calibri"/>
        </w:rPr>
        <w:t xml:space="preserve">Se ocorre erro: corrige manualmente na RMN e/ou </w:t>
      </w:r>
      <w:r w:rsidR="00B66D0F">
        <w:rPr>
          <w:rFonts w:ascii="Calibri" w:eastAsia="Calibri" w:hAnsi="Calibri" w:cs="Calibri"/>
        </w:rPr>
        <w:t>GERA</w:t>
      </w:r>
      <w:r w:rsidR="00C70350">
        <w:rPr>
          <w:rFonts w:ascii="Calibri" w:eastAsia="Calibri" w:hAnsi="Calibri" w:cs="Calibri"/>
        </w:rPr>
        <w:t>.</w:t>
      </w:r>
    </w:p>
    <w:p w14:paraId="7FBA91F6" w14:textId="0A7A7FF0" w:rsidR="00935D9F" w:rsidRDefault="009948F8">
      <w:pPr>
        <w:spacing w:line="360" w:lineRule="auto"/>
        <w:ind w:left="709"/>
        <w:jc w:val="both"/>
        <w:rPr>
          <w:rFonts w:ascii="Calibri" w:eastAsia="Calibri" w:hAnsi="Calibri" w:cs="Calibri"/>
        </w:rPr>
      </w:pPr>
      <w:r>
        <w:rPr>
          <w:rFonts w:ascii="Calibri" w:eastAsia="Calibri" w:hAnsi="Calibri" w:cs="Calibri"/>
        </w:rPr>
        <w:t xml:space="preserve">       </w:t>
      </w:r>
      <w:r>
        <w:rPr>
          <w:rFonts w:ascii="Calibri" w:eastAsia="Calibri" w:hAnsi="Calibri" w:cs="Calibri"/>
        </w:rPr>
        <w:tab/>
        <w:t>Não: continua a verificação</w:t>
      </w:r>
      <w:r w:rsidR="00C70350">
        <w:rPr>
          <w:rFonts w:ascii="Calibri" w:eastAsia="Calibri" w:hAnsi="Calibri" w:cs="Calibri"/>
        </w:rPr>
        <w:t>.</w:t>
      </w:r>
    </w:p>
    <w:p w14:paraId="26B77F35" w14:textId="77777777" w:rsidR="00C70350" w:rsidRPr="00C70350" w:rsidRDefault="009948F8">
      <w:pPr>
        <w:numPr>
          <w:ilvl w:val="0"/>
          <w:numId w:val="1"/>
        </w:numPr>
        <w:spacing w:line="360" w:lineRule="auto"/>
        <w:ind w:left="709" w:firstLine="0"/>
        <w:jc w:val="both"/>
        <w:rPr>
          <w:sz w:val="24"/>
          <w:szCs w:val="24"/>
        </w:rPr>
      </w:pPr>
      <w:r w:rsidRPr="009A5C37">
        <w:rPr>
          <w:rFonts w:ascii="Calibri" w:eastAsia="Calibri" w:hAnsi="Calibri" w:cs="Calibri"/>
          <w:b/>
        </w:rPr>
        <w:t>Parâmetro:</w:t>
      </w:r>
      <w:r>
        <w:rPr>
          <w:rFonts w:ascii="Calibri" w:eastAsia="Calibri" w:hAnsi="Calibri" w:cs="Calibri"/>
        </w:rPr>
        <w:t xml:space="preserve"> após realizar as modificações na PPIOFICIAL</w:t>
      </w:r>
      <w:r w:rsidR="00C70350">
        <w:rPr>
          <w:rFonts w:ascii="Calibri" w:eastAsia="Calibri" w:hAnsi="Calibri" w:cs="Calibri"/>
        </w:rPr>
        <w:t>,</w:t>
      </w:r>
      <w:r>
        <w:rPr>
          <w:rFonts w:ascii="Calibri" w:eastAsia="Calibri" w:hAnsi="Calibri" w:cs="Calibri"/>
        </w:rPr>
        <w:t xml:space="preserve"> verifica se as metas físicas que foram programadas com parâmetro estão consistentes. </w:t>
      </w:r>
    </w:p>
    <w:p w14:paraId="337E7F42" w14:textId="21F0B4AB" w:rsidR="00935D9F" w:rsidRDefault="009948F8" w:rsidP="00C70350">
      <w:pPr>
        <w:spacing w:line="360" w:lineRule="auto"/>
        <w:ind w:left="1429" w:firstLine="11"/>
        <w:jc w:val="both"/>
        <w:rPr>
          <w:sz w:val="24"/>
          <w:szCs w:val="24"/>
        </w:rPr>
      </w:pPr>
      <w:r>
        <w:rPr>
          <w:rFonts w:ascii="Calibri" w:eastAsia="Calibri" w:hAnsi="Calibri" w:cs="Calibri"/>
        </w:rPr>
        <w:t>Se apresentar inconsistência</w:t>
      </w:r>
      <w:r w:rsidR="00C70350">
        <w:rPr>
          <w:rFonts w:ascii="Calibri" w:eastAsia="Calibri" w:hAnsi="Calibri" w:cs="Calibri"/>
        </w:rPr>
        <w:t>:</w:t>
      </w:r>
      <w:r>
        <w:rPr>
          <w:rFonts w:ascii="Calibri" w:eastAsia="Calibri" w:hAnsi="Calibri" w:cs="Calibri"/>
        </w:rPr>
        <w:t xml:space="preserve"> corrige manualmente na RMN e/ou </w:t>
      </w:r>
      <w:r w:rsidR="00C70350">
        <w:rPr>
          <w:rFonts w:ascii="Calibri" w:eastAsia="Calibri" w:hAnsi="Calibri" w:cs="Calibri"/>
        </w:rPr>
        <w:t>GERA.</w:t>
      </w:r>
    </w:p>
    <w:p w14:paraId="16E4C83E" w14:textId="7DE41FE6" w:rsidR="00935D9F" w:rsidRDefault="009948F8">
      <w:pPr>
        <w:spacing w:line="360" w:lineRule="auto"/>
        <w:ind w:left="709"/>
        <w:jc w:val="both"/>
        <w:rPr>
          <w:rFonts w:ascii="Calibri" w:eastAsia="Calibri" w:hAnsi="Calibri" w:cs="Calibri"/>
        </w:rPr>
      </w:pPr>
      <w:r>
        <w:rPr>
          <w:rFonts w:ascii="Calibri" w:eastAsia="Calibri" w:hAnsi="Calibri" w:cs="Calibri"/>
        </w:rPr>
        <w:t xml:space="preserve">           </w:t>
      </w:r>
      <w:r w:rsidR="00C70350">
        <w:rPr>
          <w:rFonts w:ascii="Calibri" w:eastAsia="Calibri" w:hAnsi="Calibri" w:cs="Calibri"/>
        </w:rPr>
        <w:t xml:space="preserve">   </w:t>
      </w:r>
      <w:r>
        <w:rPr>
          <w:rFonts w:ascii="Calibri" w:eastAsia="Calibri" w:hAnsi="Calibri" w:cs="Calibri"/>
        </w:rPr>
        <w:t xml:space="preserve"> Estão consistentes: continua a verificação</w:t>
      </w:r>
      <w:r w:rsidR="00C70350">
        <w:rPr>
          <w:rFonts w:ascii="Calibri" w:eastAsia="Calibri" w:hAnsi="Calibri" w:cs="Calibri"/>
        </w:rPr>
        <w:t>.</w:t>
      </w:r>
    </w:p>
    <w:p w14:paraId="223449CF" w14:textId="77777777" w:rsidR="00C70350" w:rsidRPr="00C70350" w:rsidRDefault="009948F8">
      <w:pPr>
        <w:numPr>
          <w:ilvl w:val="0"/>
          <w:numId w:val="1"/>
        </w:numPr>
        <w:spacing w:line="360" w:lineRule="auto"/>
        <w:ind w:left="709" w:firstLine="0"/>
        <w:jc w:val="both"/>
        <w:rPr>
          <w:sz w:val="24"/>
          <w:szCs w:val="24"/>
        </w:rPr>
      </w:pPr>
      <w:r w:rsidRPr="0089290E">
        <w:rPr>
          <w:rFonts w:ascii="Calibri" w:eastAsia="Calibri" w:hAnsi="Calibri" w:cs="Calibri"/>
          <w:b/>
        </w:rPr>
        <w:t>Custo méd</w:t>
      </w:r>
      <w:r w:rsidR="00C70350" w:rsidRPr="0089290E">
        <w:rPr>
          <w:rFonts w:ascii="Calibri" w:eastAsia="Calibri" w:hAnsi="Calibri" w:cs="Calibri"/>
          <w:b/>
        </w:rPr>
        <w:t>io</w:t>
      </w:r>
      <w:r w:rsidRPr="0089290E">
        <w:rPr>
          <w:rFonts w:ascii="Calibri" w:eastAsia="Calibri" w:hAnsi="Calibri" w:cs="Calibri"/>
          <w:b/>
        </w:rPr>
        <w:t>:</w:t>
      </w:r>
      <w:r>
        <w:rPr>
          <w:rFonts w:ascii="Calibri" w:eastAsia="Calibri" w:hAnsi="Calibri" w:cs="Calibri"/>
        </w:rPr>
        <w:t xml:space="preserve"> testa os custos médios</w:t>
      </w:r>
      <w:r w:rsidR="00C70350">
        <w:rPr>
          <w:rFonts w:ascii="Calibri" w:eastAsia="Calibri" w:hAnsi="Calibri" w:cs="Calibri"/>
        </w:rPr>
        <w:t>.</w:t>
      </w:r>
    </w:p>
    <w:p w14:paraId="61E2AE04" w14:textId="1AD71079" w:rsidR="00935D9F" w:rsidRDefault="00C70350" w:rsidP="00C70350">
      <w:pPr>
        <w:spacing w:line="360" w:lineRule="auto"/>
        <w:ind w:left="1429" w:firstLine="11"/>
        <w:jc w:val="both"/>
        <w:rPr>
          <w:sz w:val="24"/>
          <w:szCs w:val="24"/>
        </w:rPr>
      </w:pPr>
      <w:r>
        <w:rPr>
          <w:rFonts w:ascii="Calibri" w:eastAsia="Calibri" w:hAnsi="Calibri" w:cs="Calibri"/>
        </w:rPr>
        <w:t xml:space="preserve">Se apresentar inconsistência: </w:t>
      </w:r>
      <w:r w:rsidR="009948F8">
        <w:rPr>
          <w:rFonts w:ascii="Calibri" w:eastAsia="Calibri" w:hAnsi="Calibri" w:cs="Calibri"/>
        </w:rPr>
        <w:t xml:space="preserve">corrige manualmente na RMN e/ou </w:t>
      </w:r>
      <w:r>
        <w:rPr>
          <w:rFonts w:ascii="Calibri" w:eastAsia="Calibri" w:hAnsi="Calibri" w:cs="Calibri"/>
        </w:rPr>
        <w:t>GERA.</w:t>
      </w:r>
    </w:p>
    <w:p w14:paraId="22FE252B" w14:textId="3B151018" w:rsidR="00AE10A5" w:rsidRDefault="009948F8" w:rsidP="007C6F41">
      <w:pPr>
        <w:tabs>
          <w:tab w:val="left" w:pos="1418"/>
        </w:tabs>
        <w:spacing w:line="360" w:lineRule="auto"/>
        <w:ind w:left="1418" w:hanging="851"/>
        <w:jc w:val="both"/>
        <w:rPr>
          <w:rFonts w:ascii="Calibri" w:eastAsia="Calibri" w:hAnsi="Calibri" w:cs="Calibri"/>
        </w:rPr>
      </w:pPr>
      <w:r>
        <w:rPr>
          <w:rFonts w:ascii="Calibri" w:eastAsia="Calibri" w:hAnsi="Calibri" w:cs="Calibri"/>
        </w:rPr>
        <w:lastRenderedPageBreak/>
        <w:t xml:space="preserve">               Estão consistentes</w:t>
      </w:r>
      <w:r w:rsidR="00C70350">
        <w:rPr>
          <w:rFonts w:ascii="Calibri" w:eastAsia="Calibri" w:hAnsi="Calibri" w:cs="Calibri"/>
        </w:rPr>
        <w:t>:</w:t>
      </w:r>
      <w:r>
        <w:rPr>
          <w:rFonts w:ascii="Calibri" w:eastAsia="Calibri" w:hAnsi="Calibri" w:cs="Calibri"/>
        </w:rPr>
        <w:t xml:space="preserve"> continua a verificação</w:t>
      </w:r>
      <w:r w:rsidR="00C70350">
        <w:rPr>
          <w:rFonts w:ascii="Calibri" w:eastAsia="Calibri" w:hAnsi="Calibri" w:cs="Calibri"/>
        </w:rPr>
        <w:t>.</w:t>
      </w:r>
    </w:p>
    <w:p w14:paraId="76C5252C" w14:textId="16062154" w:rsidR="00935D9F" w:rsidRDefault="009948F8" w:rsidP="00AE10A5">
      <w:pPr>
        <w:spacing w:line="360" w:lineRule="auto"/>
        <w:ind w:firstLine="709"/>
        <w:jc w:val="both"/>
        <w:rPr>
          <w:rFonts w:ascii="Calibri" w:eastAsia="Calibri" w:hAnsi="Calibri" w:cs="Calibri"/>
        </w:rPr>
      </w:pPr>
      <w:r>
        <w:rPr>
          <w:rFonts w:ascii="Calibri" w:eastAsia="Calibri" w:hAnsi="Calibri" w:cs="Calibri"/>
        </w:rPr>
        <w:t xml:space="preserve">Quando um município não tem custo médio, é feita uma média </w:t>
      </w:r>
      <w:r w:rsidR="00E65272">
        <w:rPr>
          <w:rFonts w:ascii="Calibri" w:eastAsia="Calibri" w:hAnsi="Calibri" w:cs="Calibri"/>
        </w:rPr>
        <w:t>dos custos médio</w:t>
      </w:r>
      <w:r w:rsidR="00574790">
        <w:rPr>
          <w:rFonts w:ascii="Calibri" w:eastAsia="Calibri" w:hAnsi="Calibri" w:cs="Calibri"/>
        </w:rPr>
        <w:t>s</w:t>
      </w:r>
      <w:r w:rsidR="00E65272">
        <w:rPr>
          <w:rFonts w:ascii="Calibri" w:eastAsia="Calibri" w:hAnsi="Calibri" w:cs="Calibri"/>
        </w:rPr>
        <w:t xml:space="preserve"> existentes na Forma de O</w:t>
      </w:r>
      <w:r>
        <w:rPr>
          <w:rFonts w:ascii="Calibri" w:eastAsia="Calibri" w:hAnsi="Calibri" w:cs="Calibri"/>
        </w:rPr>
        <w:t>rganização</w:t>
      </w:r>
      <w:r w:rsidR="00E65272">
        <w:rPr>
          <w:rFonts w:ascii="Calibri" w:eastAsia="Calibri" w:hAnsi="Calibri" w:cs="Calibri"/>
        </w:rPr>
        <w:t xml:space="preserve"> (FOG)</w:t>
      </w:r>
      <w:r>
        <w:rPr>
          <w:rFonts w:ascii="Calibri" w:eastAsia="Calibri" w:hAnsi="Calibri" w:cs="Calibri"/>
        </w:rPr>
        <w:t xml:space="preserve"> em questão. É inserido para o município um custo médio para a população própria e outro para a referenciada.  Atualmente, no SIHMC, </w:t>
      </w:r>
      <w:r w:rsidR="00F77855">
        <w:rPr>
          <w:rFonts w:ascii="Calibri" w:eastAsia="Calibri" w:hAnsi="Calibri" w:cs="Calibri"/>
        </w:rPr>
        <w:t>existe</w:t>
      </w:r>
      <w:r>
        <w:rPr>
          <w:rFonts w:ascii="Calibri" w:eastAsia="Calibri" w:hAnsi="Calibri" w:cs="Calibri"/>
        </w:rPr>
        <w:t xml:space="preserve"> uma tabela </w:t>
      </w:r>
      <w:r w:rsidR="00F77855">
        <w:rPr>
          <w:rFonts w:ascii="Calibri" w:eastAsia="Calibri" w:hAnsi="Calibri" w:cs="Calibri"/>
        </w:rPr>
        <w:t>relacionando</w:t>
      </w:r>
      <w:r>
        <w:rPr>
          <w:rFonts w:ascii="Calibri" w:eastAsia="Calibri" w:hAnsi="Calibri" w:cs="Calibri"/>
        </w:rPr>
        <w:t xml:space="preserve"> FOG </w:t>
      </w:r>
      <w:r w:rsidR="00F77855">
        <w:rPr>
          <w:rFonts w:ascii="Calibri" w:eastAsia="Calibri" w:hAnsi="Calibri" w:cs="Calibri"/>
        </w:rPr>
        <w:t>com</w:t>
      </w:r>
      <w:r>
        <w:rPr>
          <w:rFonts w:ascii="Calibri" w:eastAsia="Calibri" w:hAnsi="Calibri" w:cs="Calibri"/>
        </w:rPr>
        <w:t xml:space="preserve"> população própria e referenciada, com um acréscimo de informações sobre a classificação do PDR (vigente em 2019) em polo Micro, polo Macro e municípios (modelo adotado no estudo do SIHMC). </w:t>
      </w:r>
    </w:p>
    <w:p w14:paraId="042FFF4D" w14:textId="77777777" w:rsidR="00935D9F" w:rsidRDefault="009948F8">
      <w:pPr>
        <w:spacing w:line="360" w:lineRule="auto"/>
        <w:ind w:left="709"/>
        <w:jc w:val="both"/>
        <w:rPr>
          <w:rFonts w:ascii="Calibri" w:eastAsia="Calibri" w:hAnsi="Calibri" w:cs="Calibri"/>
        </w:rPr>
      </w:pPr>
      <w:r>
        <w:rPr>
          <w:rFonts w:ascii="Calibri" w:eastAsia="Calibri" w:hAnsi="Calibri" w:cs="Calibri"/>
        </w:rPr>
        <w:tab/>
        <w:t xml:space="preserve">Testes realizados: </w:t>
      </w:r>
    </w:p>
    <w:p w14:paraId="4061D941" w14:textId="4C229FCD" w:rsidR="00935D9F" w:rsidRDefault="009948F8" w:rsidP="00F77855">
      <w:pPr>
        <w:numPr>
          <w:ilvl w:val="0"/>
          <w:numId w:val="10"/>
        </w:numPr>
        <w:spacing w:line="360" w:lineRule="auto"/>
        <w:ind w:left="1418" w:firstLine="0"/>
        <w:jc w:val="both"/>
        <w:rPr>
          <w:rFonts w:ascii="Times New Roman" w:eastAsia="Times New Roman" w:hAnsi="Times New Roman" w:cs="Times New Roman"/>
        </w:rPr>
      </w:pPr>
      <w:r>
        <w:rPr>
          <w:rFonts w:ascii="Calibri" w:eastAsia="Calibri" w:hAnsi="Calibri" w:cs="Calibri"/>
        </w:rPr>
        <w:t>Custo médio faltando, sobrando, zerado: é preciso corrigir, sendo feit</w:t>
      </w:r>
      <w:r w:rsidR="00F77855">
        <w:rPr>
          <w:rFonts w:ascii="Calibri" w:eastAsia="Calibri" w:hAnsi="Calibri" w:cs="Calibri"/>
        </w:rPr>
        <w:t>o automaticamente pelo programa; porém, caso n</w:t>
      </w:r>
      <w:r w:rsidR="00E460C2">
        <w:rPr>
          <w:rFonts w:ascii="Calibri" w:eastAsia="Calibri" w:hAnsi="Calibri" w:cs="Calibri"/>
        </w:rPr>
        <w:t>ão seja corrigido pelo sistema, confecciona-se a correção na tabela</w:t>
      </w:r>
      <w:r>
        <w:rPr>
          <w:rFonts w:ascii="Calibri" w:eastAsia="Calibri" w:hAnsi="Calibri" w:cs="Calibri"/>
        </w:rPr>
        <w:t>.</w:t>
      </w:r>
    </w:p>
    <w:p w14:paraId="7FC7F8A9" w14:textId="7A129113" w:rsidR="00935D9F" w:rsidRPr="00686FA1" w:rsidRDefault="00CE37E5" w:rsidP="00686FA1">
      <w:pPr>
        <w:numPr>
          <w:ilvl w:val="0"/>
          <w:numId w:val="10"/>
        </w:numPr>
        <w:spacing w:line="360" w:lineRule="auto"/>
        <w:ind w:left="1418" w:firstLine="0"/>
        <w:jc w:val="both"/>
        <w:rPr>
          <w:rFonts w:ascii="Times New Roman" w:eastAsia="Times New Roman" w:hAnsi="Times New Roman" w:cs="Times New Roman"/>
        </w:rPr>
      </w:pPr>
      <w:r>
        <w:rPr>
          <w:rFonts w:ascii="Calibri" w:eastAsia="Calibri" w:hAnsi="Calibri" w:cs="Calibri"/>
        </w:rPr>
        <w:t>Custo médio diferente</w:t>
      </w:r>
      <w:r w:rsidR="009948F8">
        <w:rPr>
          <w:rFonts w:ascii="Calibri" w:eastAsia="Calibri" w:hAnsi="Calibri" w:cs="Calibri"/>
        </w:rPr>
        <w:t>: não é erro, mas tem a necessidade de atualizar na PPI, feito automaticamente pelo programa.</w:t>
      </w:r>
    </w:p>
    <w:p w14:paraId="2FEE44CE" w14:textId="454C2766" w:rsidR="009A5C37" w:rsidRPr="009A5C37" w:rsidRDefault="009A5C37" w:rsidP="009A5C37">
      <w:pPr>
        <w:numPr>
          <w:ilvl w:val="0"/>
          <w:numId w:val="1"/>
        </w:numPr>
        <w:spacing w:line="360" w:lineRule="auto"/>
        <w:ind w:left="709" w:firstLine="0"/>
        <w:jc w:val="both"/>
        <w:rPr>
          <w:b/>
          <w:sz w:val="24"/>
          <w:szCs w:val="24"/>
        </w:rPr>
      </w:pPr>
      <w:r>
        <w:rPr>
          <w:rFonts w:ascii="Calibri" w:eastAsia="Calibri" w:hAnsi="Calibri" w:cs="Calibri"/>
          <w:b/>
        </w:rPr>
        <w:t xml:space="preserve">Gestão: </w:t>
      </w:r>
      <w:r w:rsidRPr="009A5C37">
        <w:rPr>
          <w:rFonts w:ascii="Calibri" w:eastAsia="Calibri" w:hAnsi="Calibri" w:cs="Calibri"/>
        </w:rPr>
        <w:t xml:space="preserve">O teste de gestão é realizado na </w:t>
      </w:r>
      <w:proofErr w:type="spellStart"/>
      <w:r w:rsidRPr="009A5C37">
        <w:rPr>
          <w:rFonts w:ascii="Calibri" w:eastAsia="Calibri" w:hAnsi="Calibri" w:cs="Calibri"/>
        </w:rPr>
        <w:t>tbAssistenciaBloco</w:t>
      </w:r>
      <w:proofErr w:type="spellEnd"/>
      <w:r w:rsidRPr="009A5C37">
        <w:rPr>
          <w:rFonts w:ascii="Calibri" w:eastAsia="Calibri" w:hAnsi="Calibri" w:cs="Calibri"/>
        </w:rPr>
        <w:t xml:space="preserve"> que associa a </w:t>
      </w:r>
      <w:proofErr w:type="spellStart"/>
      <w:r w:rsidRPr="009A5C37">
        <w:rPr>
          <w:rFonts w:ascii="Calibri" w:eastAsia="Calibri" w:hAnsi="Calibri" w:cs="Calibri"/>
        </w:rPr>
        <w:t>tbAssistencia</w:t>
      </w:r>
      <w:proofErr w:type="spellEnd"/>
      <w:r w:rsidRPr="009A5C37">
        <w:rPr>
          <w:rFonts w:ascii="Calibri" w:eastAsia="Calibri" w:hAnsi="Calibri" w:cs="Calibri"/>
        </w:rPr>
        <w:t xml:space="preserve"> com a </w:t>
      </w:r>
      <w:proofErr w:type="spellStart"/>
      <w:r w:rsidRPr="009A5C37">
        <w:rPr>
          <w:rFonts w:ascii="Calibri" w:eastAsia="Calibri" w:hAnsi="Calibri" w:cs="Calibri"/>
        </w:rPr>
        <w:t>tbBloco</w:t>
      </w:r>
      <w:proofErr w:type="spellEnd"/>
      <w:r w:rsidRPr="009A5C37">
        <w:rPr>
          <w:rFonts w:ascii="Calibri" w:eastAsia="Calibri" w:hAnsi="Calibri" w:cs="Calibri"/>
        </w:rPr>
        <w:t xml:space="preserve">. A </w:t>
      </w:r>
      <w:proofErr w:type="spellStart"/>
      <w:r w:rsidRPr="009A5C37">
        <w:rPr>
          <w:rFonts w:ascii="Calibri" w:eastAsia="Calibri" w:hAnsi="Calibri" w:cs="Calibri"/>
        </w:rPr>
        <w:t>tbAssistencia</w:t>
      </w:r>
      <w:proofErr w:type="spellEnd"/>
      <w:r w:rsidRPr="009A5C37">
        <w:rPr>
          <w:rFonts w:ascii="Calibri" w:eastAsia="Calibri" w:hAnsi="Calibri" w:cs="Calibri"/>
        </w:rPr>
        <w:t xml:space="preserve"> tem a gestão possível:</w:t>
      </w:r>
    </w:p>
    <w:p w14:paraId="62D25BBD" w14:textId="2827BE1A" w:rsidR="009A5C37" w:rsidRPr="009A5C37" w:rsidRDefault="009A5C37" w:rsidP="009A5C37">
      <w:pPr>
        <w:pStyle w:val="PargrafodaLista"/>
        <w:numPr>
          <w:ilvl w:val="0"/>
          <w:numId w:val="28"/>
        </w:numPr>
        <w:spacing w:line="360" w:lineRule="auto"/>
        <w:jc w:val="both"/>
        <w:rPr>
          <w:rFonts w:ascii="Times New Roman" w:eastAsia="Times New Roman" w:hAnsi="Times New Roman" w:cs="Times New Roman"/>
          <w:sz w:val="24"/>
          <w:szCs w:val="24"/>
        </w:rPr>
      </w:pPr>
      <w:r w:rsidRPr="009A5C37">
        <w:rPr>
          <w:rFonts w:ascii="Calibri" w:eastAsia="Calibri" w:hAnsi="Calibri" w:cs="Calibri"/>
        </w:rPr>
        <w:t>Só admite gestão plena</w:t>
      </w:r>
    </w:p>
    <w:p w14:paraId="3B1657BF" w14:textId="28B5F57E" w:rsidR="009A5C37" w:rsidRPr="009A5C37" w:rsidRDefault="009A5C37" w:rsidP="009A5C37">
      <w:pPr>
        <w:pStyle w:val="PargrafodaLista"/>
        <w:numPr>
          <w:ilvl w:val="0"/>
          <w:numId w:val="28"/>
        </w:numPr>
        <w:spacing w:line="360" w:lineRule="auto"/>
        <w:jc w:val="both"/>
        <w:rPr>
          <w:rFonts w:ascii="Times New Roman" w:eastAsia="Times New Roman" w:hAnsi="Times New Roman" w:cs="Times New Roman"/>
          <w:sz w:val="24"/>
          <w:szCs w:val="24"/>
        </w:rPr>
      </w:pPr>
      <w:r w:rsidRPr="009A5C37">
        <w:rPr>
          <w:rFonts w:ascii="Calibri" w:eastAsia="Calibri" w:hAnsi="Calibri" w:cs="Calibri"/>
        </w:rPr>
        <w:t>Só admite gestão estadual</w:t>
      </w:r>
    </w:p>
    <w:p w14:paraId="277FC00C" w14:textId="17FE36FE" w:rsidR="009A5C37" w:rsidRPr="009A5C37" w:rsidRDefault="009A5C37" w:rsidP="009A5C37">
      <w:pPr>
        <w:pStyle w:val="PargrafodaLista"/>
        <w:numPr>
          <w:ilvl w:val="0"/>
          <w:numId w:val="28"/>
        </w:numPr>
        <w:spacing w:line="360" w:lineRule="auto"/>
        <w:jc w:val="both"/>
        <w:rPr>
          <w:rFonts w:ascii="Times New Roman" w:eastAsia="Times New Roman" w:hAnsi="Times New Roman" w:cs="Times New Roman"/>
          <w:sz w:val="24"/>
          <w:szCs w:val="24"/>
        </w:rPr>
      </w:pPr>
      <w:r w:rsidRPr="009A5C37">
        <w:rPr>
          <w:rFonts w:ascii="Calibri" w:eastAsia="Calibri" w:hAnsi="Calibri" w:cs="Calibri"/>
        </w:rPr>
        <w:t xml:space="preserve">Em aberto, pode ter os 2 tipos de gestão, extraindo este dado da </w:t>
      </w:r>
      <w:proofErr w:type="spellStart"/>
      <w:r w:rsidRPr="009A5C37">
        <w:rPr>
          <w:rFonts w:ascii="Calibri" w:eastAsia="Calibri" w:hAnsi="Calibri" w:cs="Calibri"/>
        </w:rPr>
        <w:t>tbMunicipio</w:t>
      </w:r>
      <w:proofErr w:type="spellEnd"/>
      <w:r w:rsidRPr="009A5C37">
        <w:rPr>
          <w:rFonts w:ascii="Calibri" w:eastAsia="Calibri" w:hAnsi="Calibri" w:cs="Calibri"/>
        </w:rPr>
        <w:t xml:space="preserve"> que fornece a gestão, ou seja, esta opção vai admitir a gestão do município.</w:t>
      </w:r>
    </w:p>
    <w:p w14:paraId="251A0E2A" w14:textId="036CD120" w:rsidR="00935D9F" w:rsidRDefault="00CE37E5">
      <w:pPr>
        <w:spacing w:line="360" w:lineRule="auto"/>
        <w:ind w:left="709" w:firstLine="720"/>
        <w:jc w:val="both"/>
        <w:rPr>
          <w:sz w:val="24"/>
          <w:szCs w:val="24"/>
        </w:rPr>
      </w:pPr>
      <w:r>
        <w:rPr>
          <w:rFonts w:ascii="Calibri" w:eastAsia="Calibri" w:hAnsi="Calibri" w:cs="Calibri"/>
        </w:rPr>
        <w:t>Se apresentar inconsistência: corrige manualmente na RMN</w:t>
      </w:r>
      <w:r w:rsidR="009A5C37">
        <w:rPr>
          <w:rFonts w:ascii="Calibri" w:eastAsia="Calibri" w:hAnsi="Calibri" w:cs="Calibri"/>
        </w:rPr>
        <w:t>.</w:t>
      </w:r>
    </w:p>
    <w:p w14:paraId="7628729D" w14:textId="191C4588" w:rsidR="00935D9F" w:rsidRDefault="009948F8" w:rsidP="00686FA1">
      <w:pPr>
        <w:spacing w:line="360" w:lineRule="auto"/>
        <w:ind w:left="709"/>
        <w:jc w:val="both"/>
        <w:rPr>
          <w:rFonts w:ascii="Calibri" w:eastAsia="Calibri" w:hAnsi="Calibri" w:cs="Calibri"/>
        </w:rPr>
      </w:pPr>
      <w:r>
        <w:rPr>
          <w:rFonts w:ascii="Calibri" w:eastAsia="Calibri" w:hAnsi="Calibri" w:cs="Calibri"/>
        </w:rPr>
        <w:t xml:space="preserve">               Estão consistentes: continua a verificação</w:t>
      </w:r>
      <w:r w:rsidR="009A5C37">
        <w:rPr>
          <w:rFonts w:ascii="Calibri" w:eastAsia="Calibri" w:hAnsi="Calibri" w:cs="Calibri"/>
        </w:rPr>
        <w:t>.</w:t>
      </w:r>
    </w:p>
    <w:p w14:paraId="08C1F5E3" w14:textId="06FE18F3" w:rsidR="00935D9F" w:rsidRPr="009A5C37" w:rsidRDefault="009948F8" w:rsidP="009A5C37">
      <w:pPr>
        <w:pStyle w:val="PargrafodaLista"/>
        <w:numPr>
          <w:ilvl w:val="0"/>
          <w:numId w:val="29"/>
        </w:numPr>
        <w:spacing w:line="360" w:lineRule="auto"/>
        <w:ind w:left="709" w:firstLine="0"/>
        <w:jc w:val="both"/>
        <w:rPr>
          <w:sz w:val="24"/>
          <w:szCs w:val="24"/>
        </w:rPr>
      </w:pPr>
      <w:r w:rsidRPr="009A5C37">
        <w:rPr>
          <w:rFonts w:ascii="Calibri" w:eastAsia="Calibri" w:hAnsi="Calibri" w:cs="Calibri"/>
          <w:b/>
        </w:rPr>
        <w:t>Meta física:</w:t>
      </w:r>
      <w:r w:rsidRPr="009A5C37">
        <w:rPr>
          <w:rFonts w:ascii="Calibri" w:eastAsia="Calibri" w:hAnsi="Calibri" w:cs="Calibri"/>
        </w:rPr>
        <w:t xml:space="preserve"> testa as quantidades de metas físicas</w:t>
      </w:r>
      <w:r w:rsidR="009A5C37">
        <w:rPr>
          <w:rFonts w:ascii="Calibri" w:eastAsia="Calibri" w:hAnsi="Calibri" w:cs="Calibri"/>
        </w:rPr>
        <w:t xml:space="preserve"> em a)</w:t>
      </w:r>
      <w:r w:rsidRPr="009A5C37">
        <w:rPr>
          <w:rFonts w:ascii="Calibri" w:eastAsia="Calibri" w:hAnsi="Calibri" w:cs="Calibri"/>
        </w:rPr>
        <w:t xml:space="preserve"> se a quantidade for inferior a 1 (não pode existir) ou </w:t>
      </w:r>
      <w:r w:rsidR="009A5C37">
        <w:rPr>
          <w:rFonts w:ascii="Calibri" w:eastAsia="Calibri" w:hAnsi="Calibri" w:cs="Calibri"/>
        </w:rPr>
        <w:t xml:space="preserve">b) </w:t>
      </w:r>
      <w:r w:rsidRPr="009A5C37">
        <w:rPr>
          <w:rFonts w:ascii="Calibri" w:eastAsia="Calibri" w:hAnsi="Calibri" w:cs="Calibri"/>
        </w:rPr>
        <w:t>se a quantidade for maior do que a meta física esperada (ex. Portaria tem meta física máxima 1)</w:t>
      </w:r>
      <w:r w:rsidR="009A5C37">
        <w:rPr>
          <w:rFonts w:ascii="Calibri" w:eastAsia="Calibri" w:hAnsi="Calibri" w:cs="Calibri"/>
        </w:rPr>
        <w:t>.</w:t>
      </w:r>
      <w:r w:rsidRPr="009A5C37">
        <w:rPr>
          <w:rFonts w:ascii="Calibri" w:eastAsia="Calibri" w:hAnsi="Calibri" w:cs="Calibri"/>
        </w:rPr>
        <w:t xml:space="preserve"> </w:t>
      </w:r>
    </w:p>
    <w:p w14:paraId="1402BAE4" w14:textId="7CDCFEF2" w:rsidR="00935D9F" w:rsidRDefault="009A5C37">
      <w:pPr>
        <w:spacing w:line="360" w:lineRule="auto"/>
        <w:ind w:left="709" w:firstLine="720"/>
        <w:jc w:val="both"/>
        <w:rPr>
          <w:sz w:val="24"/>
          <w:szCs w:val="24"/>
        </w:rPr>
      </w:pPr>
      <w:r>
        <w:rPr>
          <w:rFonts w:ascii="Calibri" w:eastAsia="Calibri" w:hAnsi="Calibri" w:cs="Calibri"/>
        </w:rPr>
        <w:t>Se apresentar inconsistência: corrige manualmente na RMN e/ou GERA.</w:t>
      </w:r>
    </w:p>
    <w:p w14:paraId="2A5B6EA6" w14:textId="05A08ECC" w:rsidR="0089290E" w:rsidRDefault="009948F8" w:rsidP="0089290E">
      <w:pPr>
        <w:spacing w:line="360" w:lineRule="auto"/>
        <w:ind w:left="709"/>
        <w:jc w:val="both"/>
        <w:rPr>
          <w:rFonts w:ascii="Calibri" w:eastAsia="Calibri" w:hAnsi="Calibri" w:cs="Calibri"/>
        </w:rPr>
      </w:pPr>
      <w:r>
        <w:rPr>
          <w:rFonts w:ascii="Calibri" w:eastAsia="Calibri" w:hAnsi="Calibri" w:cs="Calibri"/>
        </w:rPr>
        <w:t xml:space="preserve">               Estão consistentes: continua o processo</w:t>
      </w:r>
      <w:r w:rsidR="009A5C37">
        <w:rPr>
          <w:rFonts w:ascii="Calibri" w:eastAsia="Calibri" w:hAnsi="Calibri" w:cs="Calibri"/>
        </w:rPr>
        <w:t>.</w:t>
      </w:r>
    </w:p>
    <w:p w14:paraId="7B92E938" w14:textId="0E8849F5" w:rsidR="0089290E" w:rsidRPr="007B3AD4" w:rsidRDefault="0089290E" w:rsidP="007B3AD4">
      <w:pPr>
        <w:pStyle w:val="PargrafodaLista"/>
        <w:numPr>
          <w:ilvl w:val="0"/>
          <w:numId w:val="29"/>
        </w:numPr>
        <w:spacing w:line="360" w:lineRule="auto"/>
        <w:ind w:left="709" w:firstLine="0"/>
        <w:jc w:val="both"/>
        <w:rPr>
          <w:rFonts w:ascii="Calibri" w:eastAsia="Calibri" w:hAnsi="Calibri" w:cs="Calibri"/>
        </w:rPr>
      </w:pPr>
      <w:r w:rsidRPr="0089290E">
        <w:rPr>
          <w:rFonts w:ascii="Calibri" w:eastAsia="Calibri" w:hAnsi="Calibri" w:cs="Calibri"/>
          <w:b/>
        </w:rPr>
        <w:t>Programação Prestador:</w:t>
      </w:r>
      <w:r w:rsidR="007C6F41">
        <w:rPr>
          <w:rFonts w:ascii="Calibri" w:eastAsia="Calibri" w:hAnsi="Calibri" w:cs="Calibri"/>
          <w:b/>
        </w:rPr>
        <w:t xml:space="preserve"> </w:t>
      </w:r>
      <w:r w:rsidR="00B6648B" w:rsidRPr="007B3AD4">
        <w:rPr>
          <w:rFonts w:ascii="Calibri" w:eastAsia="Calibri" w:hAnsi="Calibri" w:cs="Calibri"/>
        </w:rPr>
        <w:t xml:space="preserve">busca identificar se a programação por CNES e município está de acordo com o </w:t>
      </w:r>
      <w:proofErr w:type="spellStart"/>
      <w:r w:rsidR="00B6648B" w:rsidRPr="007B3AD4">
        <w:rPr>
          <w:rFonts w:ascii="Calibri" w:eastAsia="Calibri" w:hAnsi="Calibri" w:cs="Calibri"/>
        </w:rPr>
        <w:t>determindo</w:t>
      </w:r>
      <w:proofErr w:type="spellEnd"/>
      <w:r w:rsidR="00B6648B" w:rsidRPr="007B3AD4">
        <w:rPr>
          <w:rFonts w:ascii="Calibri" w:eastAsia="Calibri" w:hAnsi="Calibri" w:cs="Calibri"/>
        </w:rPr>
        <w:t xml:space="preserve"> em portarias e deliberações orquestradas entre a PPI e as áreas técnicas.</w:t>
      </w:r>
    </w:p>
    <w:p w14:paraId="1A9BFA8A" w14:textId="495EB1F8" w:rsidR="0089290E" w:rsidRPr="007B3AD4" w:rsidRDefault="0089290E" w:rsidP="007B3AD4">
      <w:pPr>
        <w:pStyle w:val="PargrafodaLista"/>
        <w:numPr>
          <w:ilvl w:val="0"/>
          <w:numId w:val="29"/>
        </w:numPr>
        <w:spacing w:line="360" w:lineRule="auto"/>
        <w:ind w:left="709" w:firstLine="0"/>
        <w:jc w:val="both"/>
        <w:rPr>
          <w:rFonts w:ascii="Calibri" w:eastAsia="Calibri" w:hAnsi="Calibri" w:cs="Calibri"/>
        </w:rPr>
      </w:pPr>
      <w:r w:rsidRPr="0089290E">
        <w:rPr>
          <w:rFonts w:ascii="Calibri" w:eastAsia="Calibri" w:hAnsi="Calibri" w:cs="Calibri"/>
          <w:b/>
        </w:rPr>
        <w:lastRenderedPageBreak/>
        <w:t xml:space="preserve">SISMAC x </w:t>
      </w:r>
      <w:proofErr w:type="spellStart"/>
      <w:r w:rsidRPr="0089290E">
        <w:rPr>
          <w:rFonts w:ascii="Calibri" w:eastAsia="Calibri" w:hAnsi="Calibri" w:cs="Calibri"/>
          <w:b/>
        </w:rPr>
        <w:t>tbDocumento</w:t>
      </w:r>
      <w:proofErr w:type="spellEnd"/>
      <w:r w:rsidRPr="0089290E">
        <w:rPr>
          <w:rFonts w:ascii="Calibri" w:eastAsia="Calibri" w:hAnsi="Calibri" w:cs="Calibri"/>
          <w:b/>
        </w:rPr>
        <w:t>:</w:t>
      </w:r>
      <w:r>
        <w:rPr>
          <w:rFonts w:ascii="Calibri" w:eastAsia="Calibri" w:hAnsi="Calibri" w:cs="Calibri"/>
          <w:b/>
        </w:rPr>
        <w:t xml:space="preserve"> </w:t>
      </w:r>
      <w:r w:rsidR="001A4AD4" w:rsidRPr="007B3AD4">
        <w:rPr>
          <w:rFonts w:ascii="Calibri" w:eastAsia="Calibri" w:hAnsi="Calibri" w:cs="Calibri"/>
        </w:rPr>
        <w:t>testa a tabela</w:t>
      </w:r>
      <w:r w:rsidR="007C6F41" w:rsidRPr="007B3AD4">
        <w:rPr>
          <w:rFonts w:ascii="Calibri" w:eastAsia="Calibri" w:hAnsi="Calibri" w:cs="Calibri"/>
        </w:rPr>
        <w:t xml:space="preserve"> SISMAC</w:t>
      </w:r>
      <w:r w:rsidR="001A4AD4" w:rsidRPr="007B3AD4">
        <w:rPr>
          <w:rFonts w:ascii="Calibri" w:eastAsia="Calibri" w:hAnsi="Calibri" w:cs="Calibri"/>
        </w:rPr>
        <w:t xml:space="preserve"> preenchida a partir do relatório de portarias cadastradas no SISMAC (extraído do site SISMAC) com a tabela </w:t>
      </w:r>
      <w:proofErr w:type="spellStart"/>
      <w:r w:rsidR="001A4AD4" w:rsidRPr="007B3AD4">
        <w:rPr>
          <w:rFonts w:ascii="Calibri" w:eastAsia="Calibri" w:hAnsi="Calibri" w:cs="Calibri"/>
        </w:rPr>
        <w:t>tbDocumento</w:t>
      </w:r>
      <w:proofErr w:type="spellEnd"/>
      <w:r w:rsidR="007C6F41" w:rsidRPr="007B3AD4">
        <w:rPr>
          <w:rFonts w:ascii="Calibri" w:eastAsia="Calibri" w:hAnsi="Calibri" w:cs="Calibri"/>
        </w:rPr>
        <w:t>,</w:t>
      </w:r>
      <w:r w:rsidR="001A4AD4" w:rsidRPr="007B3AD4">
        <w:rPr>
          <w:rFonts w:ascii="Calibri" w:eastAsia="Calibri" w:hAnsi="Calibri" w:cs="Calibri"/>
        </w:rPr>
        <w:t xml:space="preserve"> a fim de identificar as alterações feitas pelo Ministério da Saúde</w:t>
      </w:r>
      <w:r w:rsidR="007C6F41" w:rsidRPr="007B3AD4">
        <w:rPr>
          <w:rFonts w:ascii="Calibri" w:eastAsia="Calibri" w:hAnsi="Calibri" w:cs="Calibri"/>
        </w:rPr>
        <w:t xml:space="preserve"> que dizem respeito ás </w:t>
      </w:r>
      <w:r w:rsidR="001A4AD4" w:rsidRPr="007B3AD4">
        <w:rPr>
          <w:rFonts w:ascii="Calibri" w:eastAsia="Calibri" w:hAnsi="Calibri" w:cs="Calibri"/>
        </w:rPr>
        <w:t xml:space="preserve">novas portarias, desativação e alteração de valores. </w:t>
      </w:r>
    </w:p>
    <w:p w14:paraId="7E182B79" w14:textId="4472A7B4" w:rsidR="00B6648B" w:rsidRDefault="007C6F41" w:rsidP="007B3AD4">
      <w:pPr>
        <w:pStyle w:val="PargrafodaLista"/>
        <w:spacing w:line="360" w:lineRule="auto"/>
        <w:ind w:left="1418"/>
        <w:jc w:val="both"/>
        <w:rPr>
          <w:rFonts w:ascii="Calibri" w:eastAsia="Calibri" w:hAnsi="Calibri" w:cs="Calibri"/>
        </w:rPr>
      </w:pPr>
      <w:r>
        <w:rPr>
          <w:rFonts w:ascii="Calibri" w:eastAsia="Calibri" w:hAnsi="Calibri" w:cs="Calibri"/>
        </w:rPr>
        <w:t>Se apresentar inconsistência: é</w:t>
      </w:r>
      <w:r w:rsidR="001A4AD4">
        <w:rPr>
          <w:rFonts w:ascii="Calibri" w:eastAsia="Calibri" w:hAnsi="Calibri" w:cs="Calibri"/>
        </w:rPr>
        <w:t xml:space="preserve"> um teste que </w:t>
      </w:r>
      <w:r w:rsidR="00B6648B">
        <w:rPr>
          <w:rFonts w:ascii="Calibri" w:eastAsia="Calibri" w:hAnsi="Calibri" w:cs="Calibri"/>
        </w:rPr>
        <w:t>se espera</w:t>
      </w:r>
      <w:r w:rsidR="001A4AD4">
        <w:rPr>
          <w:rFonts w:ascii="Calibri" w:eastAsia="Calibri" w:hAnsi="Calibri" w:cs="Calibri"/>
        </w:rPr>
        <w:t xml:space="preserve"> que apresente alterações, tendo em vista da dinamicidade de lançamento de recursos pelo Ministério da Saúde. </w:t>
      </w:r>
      <w:r w:rsidR="00B6648B">
        <w:rPr>
          <w:rFonts w:ascii="Calibri" w:eastAsia="Calibri" w:hAnsi="Calibri" w:cs="Calibri"/>
        </w:rPr>
        <w:t xml:space="preserve">As alterações visam adequar o Banco PPI a realidade do SISMAC, sendo necessário cadastrar as portarias novas, alterar valores e desativar portarias por meio do </w:t>
      </w:r>
      <w:proofErr w:type="spellStart"/>
      <w:r w:rsidR="00B6648B">
        <w:rPr>
          <w:rFonts w:ascii="Calibri" w:eastAsia="Calibri" w:hAnsi="Calibri" w:cs="Calibri"/>
        </w:rPr>
        <w:t>SeparaRemanejamento</w:t>
      </w:r>
      <w:proofErr w:type="spellEnd"/>
      <w:r w:rsidR="00B6648B">
        <w:rPr>
          <w:rFonts w:ascii="Calibri" w:eastAsia="Calibri" w:hAnsi="Calibri" w:cs="Calibri"/>
        </w:rPr>
        <w:t>, conforme detalhado no POP específico.</w:t>
      </w:r>
    </w:p>
    <w:p w14:paraId="19C64D76" w14:textId="07081387" w:rsidR="001A4AD4" w:rsidRPr="001A4AD4" w:rsidRDefault="00B6648B" w:rsidP="007B3AD4">
      <w:pPr>
        <w:pStyle w:val="PargrafodaLista"/>
        <w:spacing w:line="360" w:lineRule="auto"/>
        <w:ind w:left="1418"/>
        <w:jc w:val="both"/>
        <w:rPr>
          <w:rFonts w:ascii="Calibri" w:eastAsia="Calibri" w:hAnsi="Calibri" w:cs="Calibri"/>
        </w:rPr>
      </w:pPr>
      <w:r>
        <w:rPr>
          <w:rFonts w:ascii="Calibri" w:eastAsia="Calibri" w:hAnsi="Calibri" w:cs="Calibri"/>
        </w:rPr>
        <w:t xml:space="preserve">Estão consistentes: </w:t>
      </w:r>
      <w:r w:rsidR="001A4AD4">
        <w:rPr>
          <w:rFonts w:ascii="Calibri" w:eastAsia="Calibri" w:hAnsi="Calibri" w:cs="Calibri"/>
        </w:rPr>
        <w:t>identifica</w:t>
      </w:r>
      <w:r>
        <w:rPr>
          <w:rFonts w:ascii="Calibri" w:eastAsia="Calibri" w:hAnsi="Calibri" w:cs="Calibri"/>
        </w:rPr>
        <w:t>d</w:t>
      </w:r>
      <w:r w:rsidR="001A4AD4">
        <w:rPr>
          <w:rFonts w:ascii="Calibri" w:eastAsia="Calibri" w:hAnsi="Calibri" w:cs="Calibri"/>
        </w:rPr>
        <w:t>a estabilização de lançamentos</w:t>
      </w:r>
      <w:r>
        <w:rPr>
          <w:rFonts w:ascii="Calibri" w:eastAsia="Calibri" w:hAnsi="Calibri" w:cs="Calibri"/>
        </w:rPr>
        <w:t xml:space="preserve"> e teste final alinhado ao SISMAC</w:t>
      </w:r>
      <w:r w:rsidR="001A4AD4">
        <w:rPr>
          <w:rFonts w:ascii="Calibri" w:eastAsia="Calibri" w:hAnsi="Calibri" w:cs="Calibri"/>
        </w:rPr>
        <w:t xml:space="preserve">, captura-se o retrato final de recursos cadastrados para que o </w:t>
      </w:r>
      <w:r>
        <w:rPr>
          <w:rFonts w:ascii="Calibri" w:eastAsia="Calibri" w:hAnsi="Calibri" w:cs="Calibri"/>
        </w:rPr>
        <w:t xml:space="preserve">banco </w:t>
      </w:r>
      <w:r w:rsidR="001A4AD4">
        <w:rPr>
          <w:rFonts w:ascii="Calibri" w:eastAsia="Calibri" w:hAnsi="Calibri" w:cs="Calibri"/>
        </w:rPr>
        <w:t>seja validado</w:t>
      </w:r>
      <w:r>
        <w:rPr>
          <w:rFonts w:ascii="Calibri" w:eastAsia="Calibri" w:hAnsi="Calibri" w:cs="Calibri"/>
        </w:rPr>
        <w:t>.</w:t>
      </w:r>
      <w:r w:rsidR="001A4AD4">
        <w:rPr>
          <w:rFonts w:ascii="Calibri" w:eastAsia="Calibri" w:hAnsi="Calibri" w:cs="Calibri"/>
        </w:rPr>
        <w:t xml:space="preserve"> </w:t>
      </w:r>
    </w:p>
    <w:p w14:paraId="687C2BB2" w14:textId="2D4D95B0" w:rsidR="0089290E" w:rsidRPr="007B3AD4" w:rsidRDefault="0089290E" w:rsidP="007B3AD4">
      <w:pPr>
        <w:pStyle w:val="PargrafodaLista"/>
        <w:numPr>
          <w:ilvl w:val="0"/>
          <w:numId w:val="29"/>
        </w:numPr>
        <w:spacing w:line="360" w:lineRule="auto"/>
        <w:ind w:left="709" w:firstLine="0"/>
        <w:jc w:val="both"/>
        <w:rPr>
          <w:rFonts w:ascii="Calibri" w:eastAsia="Calibri" w:hAnsi="Calibri" w:cs="Calibri"/>
        </w:rPr>
      </w:pPr>
      <w:r w:rsidRPr="0089290E">
        <w:rPr>
          <w:rFonts w:ascii="Calibri" w:eastAsia="Calibri" w:hAnsi="Calibri" w:cs="Calibri"/>
          <w:b/>
        </w:rPr>
        <w:t xml:space="preserve">Teste Final (PPI x Remanejamento </w:t>
      </w:r>
      <w:proofErr w:type="gramStart"/>
      <w:r w:rsidRPr="0089290E">
        <w:rPr>
          <w:rFonts w:ascii="Calibri" w:eastAsia="Calibri" w:hAnsi="Calibri" w:cs="Calibri"/>
          <w:b/>
        </w:rPr>
        <w:t>x</w:t>
      </w:r>
      <w:proofErr w:type="gramEnd"/>
      <w:r w:rsidRPr="0089290E">
        <w:rPr>
          <w:rFonts w:ascii="Calibri" w:eastAsia="Calibri" w:hAnsi="Calibri" w:cs="Calibri"/>
          <w:b/>
        </w:rPr>
        <w:t xml:space="preserve"> Portaria):</w:t>
      </w:r>
      <w:r w:rsidR="00B6648B" w:rsidRPr="007B3AD4">
        <w:rPr>
          <w:rFonts w:ascii="Calibri" w:eastAsia="Calibri" w:hAnsi="Calibri" w:cs="Calibri"/>
          <w:b/>
        </w:rPr>
        <w:t xml:space="preserve"> </w:t>
      </w:r>
      <w:r w:rsidR="00B6648B" w:rsidRPr="007B3AD4">
        <w:rPr>
          <w:rFonts w:ascii="Calibri" w:eastAsia="Calibri" w:hAnsi="Calibri" w:cs="Calibri"/>
        </w:rPr>
        <w:t xml:space="preserve">este teste é considerado o último, pois </w:t>
      </w:r>
      <w:r w:rsidR="00EA426C" w:rsidRPr="007B3AD4">
        <w:rPr>
          <w:rFonts w:ascii="Calibri" w:eastAsia="Calibri" w:hAnsi="Calibri" w:cs="Calibri"/>
        </w:rPr>
        <w:t>abrange a validação do Banco PPI final</w:t>
      </w:r>
      <w:r w:rsidR="007B3AD4" w:rsidRPr="007B3AD4">
        <w:rPr>
          <w:rFonts w:ascii="Calibri" w:eastAsia="Calibri" w:hAnsi="Calibri" w:cs="Calibri"/>
        </w:rPr>
        <w:t>.</w:t>
      </w:r>
      <w:r w:rsidR="00ED3D38">
        <w:rPr>
          <w:rFonts w:ascii="Calibri" w:eastAsia="Calibri" w:hAnsi="Calibri" w:cs="Calibri"/>
        </w:rPr>
        <w:t xml:space="preserve"> Compara </w:t>
      </w:r>
      <w:proofErr w:type="spellStart"/>
      <w:r w:rsidR="00ED3D38">
        <w:rPr>
          <w:rFonts w:ascii="Calibri" w:eastAsia="Calibri" w:hAnsi="Calibri" w:cs="Calibri"/>
        </w:rPr>
        <w:t>tbPpiOficial</w:t>
      </w:r>
      <w:proofErr w:type="spellEnd"/>
      <w:r w:rsidR="00ED3D38">
        <w:rPr>
          <w:rFonts w:ascii="Calibri" w:eastAsia="Calibri" w:hAnsi="Calibri" w:cs="Calibri"/>
        </w:rPr>
        <w:t xml:space="preserve"> com </w:t>
      </w:r>
      <w:proofErr w:type="spellStart"/>
      <w:r w:rsidR="00ED3D38">
        <w:rPr>
          <w:rFonts w:ascii="Calibri" w:eastAsia="Calibri" w:hAnsi="Calibri" w:cs="Calibri"/>
        </w:rPr>
        <w:t>txRemanejamento</w:t>
      </w:r>
      <w:proofErr w:type="spellEnd"/>
      <w:r w:rsidR="00ED3D38">
        <w:rPr>
          <w:rFonts w:ascii="Calibri" w:eastAsia="Calibri" w:hAnsi="Calibri" w:cs="Calibri"/>
        </w:rPr>
        <w:t xml:space="preserve"> e </w:t>
      </w:r>
      <w:proofErr w:type="spellStart"/>
      <w:r w:rsidR="00ED3D38">
        <w:rPr>
          <w:rFonts w:ascii="Calibri" w:eastAsia="Calibri" w:hAnsi="Calibri" w:cs="Calibri"/>
        </w:rPr>
        <w:t>txRemanejamento</w:t>
      </w:r>
      <w:proofErr w:type="spellEnd"/>
      <w:r w:rsidR="00ED3D38">
        <w:rPr>
          <w:rFonts w:ascii="Calibri" w:eastAsia="Calibri" w:hAnsi="Calibri" w:cs="Calibri"/>
        </w:rPr>
        <w:t xml:space="preserve"> com a </w:t>
      </w:r>
      <w:proofErr w:type="spellStart"/>
      <w:r w:rsidR="00ED3D38">
        <w:rPr>
          <w:rFonts w:ascii="Calibri" w:eastAsia="Calibri" w:hAnsi="Calibri" w:cs="Calibri"/>
        </w:rPr>
        <w:t>tbDocumento</w:t>
      </w:r>
      <w:proofErr w:type="spellEnd"/>
      <w:r w:rsidR="00ED3D38">
        <w:rPr>
          <w:rFonts w:ascii="Calibri" w:eastAsia="Calibri" w:hAnsi="Calibri" w:cs="Calibri"/>
        </w:rPr>
        <w:t>.</w:t>
      </w:r>
    </w:p>
    <w:p w14:paraId="5FE8BABA" w14:textId="63815F30" w:rsidR="007B3AD4" w:rsidRDefault="007B3AD4" w:rsidP="007B3AD4">
      <w:pPr>
        <w:pStyle w:val="PargrafodaLista"/>
        <w:spacing w:line="360" w:lineRule="auto"/>
        <w:ind w:left="1429"/>
        <w:jc w:val="both"/>
        <w:rPr>
          <w:rFonts w:ascii="Calibri" w:eastAsia="Calibri" w:hAnsi="Calibri" w:cs="Calibri"/>
        </w:rPr>
      </w:pPr>
      <w:r>
        <w:rPr>
          <w:rFonts w:ascii="Calibri" w:eastAsia="Calibri" w:hAnsi="Calibri" w:cs="Calibri"/>
        </w:rPr>
        <w:t xml:space="preserve">Se apresentar inconsistências: a inconsistência será a diferença entre valor total da PPI com </w:t>
      </w:r>
      <w:r w:rsidR="00ED3D38">
        <w:rPr>
          <w:rFonts w:ascii="Calibri" w:eastAsia="Calibri" w:hAnsi="Calibri" w:cs="Calibri"/>
        </w:rPr>
        <w:t>valor total do Remanejamento.</w:t>
      </w:r>
    </w:p>
    <w:p w14:paraId="752DAF51" w14:textId="635AD2E2" w:rsidR="00ED3D38" w:rsidRPr="007B3AD4" w:rsidRDefault="00ED3D38" w:rsidP="007B3AD4">
      <w:pPr>
        <w:pStyle w:val="PargrafodaLista"/>
        <w:spacing w:line="360" w:lineRule="auto"/>
        <w:ind w:left="1429"/>
        <w:jc w:val="both"/>
        <w:rPr>
          <w:rFonts w:ascii="Calibri" w:eastAsia="Calibri" w:hAnsi="Calibri" w:cs="Calibri"/>
        </w:rPr>
      </w:pPr>
      <w:r>
        <w:rPr>
          <w:rFonts w:ascii="Calibri" w:eastAsia="Calibri" w:hAnsi="Calibri" w:cs="Calibri"/>
        </w:rPr>
        <w:t>Estão consistentes: banco validado.</w:t>
      </w:r>
    </w:p>
    <w:p w14:paraId="29CE9938" w14:textId="4AEAC2EB" w:rsidR="009D2B56" w:rsidRPr="009D2B56" w:rsidRDefault="009948F8" w:rsidP="00434C5B">
      <w:pPr>
        <w:numPr>
          <w:ilvl w:val="0"/>
          <w:numId w:val="28"/>
        </w:numPr>
        <w:spacing w:line="360" w:lineRule="auto"/>
        <w:ind w:left="0" w:firstLine="0"/>
        <w:jc w:val="both"/>
        <w:rPr>
          <w:sz w:val="24"/>
          <w:szCs w:val="24"/>
        </w:rPr>
      </w:pPr>
      <w:r>
        <w:rPr>
          <w:rFonts w:ascii="Calibri" w:eastAsia="Calibri" w:hAnsi="Calibri" w:cs="Calibri"/>
        </w:rPr>
        <w:t>Preenche</w:t>
      </w:r>
      <w:r w:rsidR="009D2B56">
        <w:rPr>
          <w:rFonts w:ascii="Calibri" w:eastAsia="Calibri" w:hAnsi="Calibri" w:cs="Calibri"/>
        </w:rPr>
        <w:t>r</w:t>
      </w:r>
      <w:r>
        <w:rPr>
          <w:rFonts w:ascii="Calibri" w:eastAsia="Calibri" w:hAnsi="Calibri" w:cs="Calibri"/>
        </w:rPr>
        <w:t xml:space="preserve"> a</w:t>
      </w:r>
      <w:r w:rsidR="009D2B56">
        <w:rPr>
          <w:rFonts w:ascii="Calibri" w:eastAsia="Calibri" w:hAnsi="Calibri" w:cs="Calibri"/>
        </w:rPr>
        <w:t xml:space="preserve"> tabela</w:t>
      </w:r>
      <w:r>
        <w:rPr>
          <w:rFonts w:ascii="Calibri" w:eastAsia="Calibri" w:hAnsi="Calibri" w:cs="Calibri"/>
        </w:rPr>
        <w:t xml:space="preserve"> </w:t>
      </w:r>
      <w:proofErr w:type="spellStart"/>
      <w:r>
        <w:rPr>
          <w:rFonts w:ascii="Calibri" w:eastAsia="Calibri" w:hAnsi="Calibri" w:cs="Calibri"/>
        </w:rPr>
        <w:t>txRemanejamento</w:t>
      </w:r>
      <w:proofErr w:type="spellEnd"/>
      <w:r>
        <w:rPr>
          <w:rFonts w:ascii="Calibri" w:eastAsia="Calibri" w:hAnsi="Calibri" w:cs="Calibri"/>
        </w:rPr>
        <w:t xml:space="preserve"> (automático pelo programa). Este preenchimento tem como referência a PPI do mês anterior e compara com a atual</w:t>
      </w:r>
      <w:r w:rsidR="009D2B56">
        <w:rPr>
          <w:rFonts w:ascii="Calibri" w:eastAsia="Calibri" w:hAnsi="Calibri" w:cs="Calibri"/>
        </w:rPr>
        <w:t>,</w:t>
      </w:r>
      <w:r>
        <w:rPr>
          <w:rFonts w:ascii="Calibri" w:eastAsia="Calibri" w:hAnsi="Calibri" w:cs="Calibri"/>
        </w:rPr>
        <w:t xml:space="preserve"> </w:t>
      </w:r>
      <w:r w:rsidR="009D2B56">
        <w:rPr>
          <w:rFonts w:ascii="Calibri" w:eastAsia="Calibri" w:hAnsi="Calibri" w:cs="Calibri"/>
        </w:rPr>
        <w:t>identificando</w:t>
      </w:r>
      <w:r>
        <w:rPr>
          <w:rFonts w:ascii="Calibri" w:eastAsia="Calibri" w:hAnsi="Calibri" w:cs="Calibri"/>
        </w:rPr>
        <w:t xml:space="preserve"> as principais mudanças. É um Histórico da PPI</w:t>
      </w:r>
      <w:r w:rsidR="009D2B56">
        <w:rPr>
          <w:rFonts w:ascii="Calibri" w:eastAsia="Calibri" w:hAnsi="Calibri" w:cs="Calibri"/>
        </w:rPr>
        <w:t xml:space="preserve"> e um espelho da RMN preenchida previamente.</w:t>
      </w:r>
    </w:p>
    <w:p w14:paraId="70B543B3" w14:textId="4A1C77CF" w:rsidR="009D2B56" w:rsidRPr="009D2B56" w:rsidRDefault="009948F8" w:rsidP="00434C5B">
      <w:pPr>
        <w:numPr>
          <w:ilvl w:val="0"/>
          <w:numId w:val="28"/>
        </w:numPr>
        <w:spacing w:line="360" w:lineRule="auto"/>
        <w:ind w:left="0" w:firstLine="0"/>
        <w:jc w:val="both"/>
        <w:rPr>
          <w:sz w:val="24"/>
          <w:szCs w:val="24"/>
        </w:rPr>
      </w:pPr>
      <w:r>
        <w:rPr>
          <w:rFonts w:ascii="Calibri" w:eastAsia="Calibri" w:hAnsi="Calibri" w:cs="Calibri"/>
        </w:rPr>
        <w:t>Testa</w:t>
      </w:r>
      <w:r w:rsidR="009D2B56">
        <w:rPr>
          <w:rFonts w:ascii="Calibri" w:eastAsia="Calibri" w:hAnsi="Calibri" w:cs="Calibri"/>
        </w:rPr>
        <w:t>r</w:t>
      </w:r>
      <w:r>
        <w:rPr>
          <w:rFonts w:ascii="Calibri" w:eastAsia="Calibri" w:hAnsi="Calibri" w:cs="Calibri"/>
        </w:rPr>
        <w:t xml:space="preserve"> a consistência da </w:t>
      </w:r>
      <w:proofErr w:type="spellStart"/>
      <w:r>
        <w:rPr>
          <w:rFonts w:ascii="Calibri" w:eastAsia="Calibri" w:hAnsi="Calibri" w:cs="Calibri"/>
        </w:rPr>
        <w:t>txRemanejamento</w:t>
      </w:r>
      <w:proofErr w:type="spellEnd"/>
      <w:r>
        <w:rPr>
          <w:rFonts w:ascii="Calibri" w:eastAsia="Calibri" w:hAnsi="Calibri" w:cs="Calibri"/>
        </w:rPr>
        <w:t xml:space="preserve"> com a </w:t>
      </w:r>
      <w:proofErr w:type="spellStart"/>
      <w:r>
        <w:rPr>
          <w:rFonts w:ascii="Calibri" w:eastAsia="Calibri" w:hAnsi="Calibri" w:cs="Calibri"/>
        </w:rPr>
        <w:t>tbRemanejamento</w:t>
      </w:r>
      <w:proofErr w:type="spellEnd"/>
      <w:r>
        <w:rPr>
          <w:rFonts w:ascii="Calibri" w:eastAsia="Calibri" w:hAnsi="Calibri" w:cs="Calibri"/>
        </w:rPr>
        <w:t xml:space="preserve"> e </w:t>
      </w:r>
      <w:proofErr w:type="spellStart"/>
      <w:r>
        <w:rPr>
          <w:rFonts w:ascii="Calibri" w:eastAsia="Calibri" w:hAnsi="Calibri" w:cs="Calibri"/>
        </w:rPr>
        <w:t>tbDocumento</w:t>
      </w:r>
      <w:proofErr w:type="spellEnd"/>
      <w:r w:rsidR="009D2B56">
        <w:rPr>
          <w:rFonts w:ascii="Calibri" w:eastAsia="Calibri" w:hAnsi="Calibri" w:cs="Calibri"/>
        </w:rPr>
        <w:t>.</w:t>
      </w:r>
    </w:p>
    <w:p w14:paraId="57B57A59" w14:textId="17297C4F" w:rsidR="009D2B56" w:rsidRPr="009D2B56" w:rsidRDefault="009948F8" w:rsidP="00434C5B">
      <w:pPr>
        <w:numPr>
          <w:ilvl w:val="0"/>
          <w:numId w:val="28"/>
        </w:numPr>
        <w:spacing w:line="360" w:lineRule="auto"/>
        <w:ind w:left="0" w:firstLine="0"/>
        <w:jc w:val="both"/>
        <w:rPr>
          <w:sz w:val="24"/>
          <w:szCs w:val="24"/>
        </w:rPr>
      </w:pPr>
      <w:r>
        <w:rPr>
          <w:rFonts w:ascii="Calibri" w:eastAsia="Calibri" w:hAnsi="Calibri" w:cs="Calibri"/>
        </w:rPr>
        <w:t>Gera</w:t>
      </w:r>
      <w:r w:rsidR="009D2B56">
        <w:rPr>
          <w:rFonts w:ascii="Calibri" w:eastAsia="Calibri" w:hAnsi="Calibri" w:cs="Calibri"/>
        </w:rPr>
        <w:t>r</w:t>
      </w:r>
      <w:r>
        <w:rPr>
          <w:rFonts w:ascii="Calibri" w:eastAsia="Calibri" w:hAnsi="Calibri" w:cs="Calibri"/>
        </w:rPr>
        <w:t xml:space="preserve"> a </w:t>
      </w:r>
      <w:r w:rsidR="009D2B56">
        <w:rPr>
          <w:rFonts w:ascii="Calibri" w:eastAsia="Calibri" w:hAnsi="Calibri" w:cs="Calibri"/>
        </w:rPr>
        <w:t xml:space="preserve">tabela </w:t>
      </w:r>
      <w:proofErr w:type="spellStart"/>
      <w:r>
        <w:rPr>
          <w:rFonts w:ascii="Calibri" w:eastAsia="Calibri" w:hAnsi="Calibri" w:cs="Calibri"/>
        </w:rPr>
        <w:t>tbPpiOficial</w:t>
      </w:r>
      <w:proofErr w:type="spellEnd"/>
      <w:r>
        <w:rPr>
          <w:rFonts w:ascii="Calibri" w:eastAsia="Calibri" w:hAnsi="Calibri" w:cs="Calibri"/>
        </w:rPr>
        <w:t xml:space="preserve"> e</w:t>
      </w:r>
      <w:r w:rsidR="009D2B56">
        <w:rPr>
          <w:rFonts w:ascii="Calibri" w:eastAsia="Calibri" w:hAnsi="Calibri" w:cs="Calibri"/>
        </w:rPr>
        <w:t>,</w:t>
      </w:r>
      <w:r>
        <w:rPr>
          <w:rFonts w:ascii="Calibri" w:eastAsia="Calibri" w:hAnsi="Calibri" w:cs="Calibri"/>
        </w:rPr>
        <w:t xml:space="preserve"> a partir dela</w:t>
      </w:r>
      <w:r w:rsidR="009D2B56">
        <w:rPr>
          <w:rFonts w:ascii="Calibri" w:eastAsia="Calibri" w:hAnsi="Calibri" w:cs="Calibri"/>
        </w:rPr>
        <w:t>,</w:t>
      </w:r>
      <w:r>
        <w:rPr>
          <w:rFonts w:ascii="Calibri" w:eastAsia="Calibri" w:hAnsi="Calibri" w:cs="Calibri"/>
        </w:rPr>
        <w:t xml:space="preserve"> </w:t>
      </w:r>
      <w:r w:rsidR="009D2B56">
        <w:rPr>
          <w:rFonts w:ascii="Calibri" w:eastAsia="Calibri" w:hAnsi="Calibri" w:cs="Calibri"/>
        </w:rPr>
        <w:t>executar as</w:t>
      </w:r>
      <w:r>
        <w:rPr>
          <w:rFonts w:ascii="Calibri" w:eastAsia="Calibri" w:hAnsi="Calibri" w:cs="Calibri"/>
        </w:rPr>
        <w:t xml:space="preserve"> consultas qu</w:t>
      </w:r>
      <w:r w:rsidR="009D2B56">
        <w:rPr>
          <w:rFonts w:ascii="Calibri" w:eastAsia="Calibri" w:hAnsi="Calibri" w:cs="Calibri"/>
        </w:rPr>
        <w:t>e darão origem às planilhas para c</w:t>
      </w:r>
      <w:r>
        <w:rPr>
          <w:rFonts w:ascii="Calibri" w:eastAsia="Calibri" w:hAnsi="Calibri" w:cs="Calibri"/>
        </w:rPr>
        <w:t xml:space="preserve">onferência manual </w:t>
      </w:r>
      <w:r w:rsidR="009D2B56">
        <w:rPr>
          <w:rFonts w:ascii="Calibri" w:eastAsia="Calibri" w:hAnsi="Calibri" w:cs="Calibri"/>
        </w:rPr>
        <w:t xml:space="preserve">do Fechamento de Teto. </w:t>
      </w:r>
    </w:p>
    <w:p w14:paraId="22E8B381" w14:textId="0E6200FF" w:rsidR="00935D9F" w:rsidRPr="00D353DE" w:rsidRDefault="009D2B56" w:rsidP="00434C5B">
      <w:pPr>
        <w:spacing w:line="360" w:lineRule="auto"/>
        <w:ind w:firstLine="720"/>
        <w:jc w:val="both"/>
        <w:rPr>
          <w:sz w:val="24"/>
          <w:szCs w:val="24"/>
        </w:rPr>
      </w:pPr>
      <w:r>
        <w:rPr>
          <w:rFonts w:ascii="Calibri" w:eastAsia="Calibri" w:hAnsi="Calibri" w:cs="Calibri"/>
        </w:rPr>
        <w:t xml:space="preserve">O conferente, pessoa que não deve estar envolvido diretamente na execução do processo, </w:t>
      </w:r>
      <w:r w:rsidR="00D353DE">
        <w:rPr>
          <w:rFonts w:ascii="Calibri" w:eastAsia="Calibri" w:hAnsi="Calibri" w:cs="Calibri"/>
        </w:rPr>
        <w:t>confere</w:t>
      </w:r>
      <w:r w:rsidR="009948F8">
        <w:rPr>
          <w:rFonts w:ascii="Calibri" w:eastAsia="Calibri" w:hAnsi="Calibri" w:cs="Calibri"/>
        </w:rPr>
        <w:t xml:space="preserve"> </w:t>
      </w:r>
      <w:r>
        <w:rPr>
          <w:rFonts w:ascii="Calibri" w:eastAsia="Calibri" w:hAnsi="Calibri" w:cs="Calibri"/>
        </w:rPr>
        <w:t xml:space="preserve">a inserção de </w:t>
      </w:r>
      <w:r w:rsidR="00D353DE">
        <w:rPr>
          <w:rFonts w:ascii="Calibri" w:eastAsia="Calibri" w:hAnsi="Calibri" w:cs="Calibri"/>
        </w:rPr>
        <w:t xml:space="preserve">documentos e anexos </w:t>
      </w:r>
      <w:r>
        <w:rPr>
          <w:rFonts w:ascii="Calibri" w:eastAsia="Calibri" w:hAnsi="Calibri" w:cs="Calibri"/>
        </w:rPr>
        <w:t xml:space="preserve">no processo, bem como a consistência dos remanejamentos. </w:t>
      </w:r>
      <w:r w:rsidR="009948F8">
        <w:rPr>
          <w:rFonts w:ascii="Calibri" w:eastAsia="Calibri" w:hAnsi="Calibri" w:cs="Calibri"/>
        </w:rPr>
        <w:t xml:space="preserve">Se forem detectadas inconsistências, retorna para o executor para que sejam identificados os erros e corrigidos, geralmente de forma manual no RMN </w:t>
      </w:r>
      <w:r w:rsidR="00D353DE">
        <w:rPr>
          <w:rFonts w:ascii="Calibri" w:eastAsia="Calibri" w:hAnsi="Calibri" w:cs="Calibri"/>
        </w:rPr>
        <w:t>e</w:t>
      </w:r>
      <w:r w:rsidR="009948F8">
        <w:rPr>
          <w:rFonts w:ascii="Calibri" w:eastAsia="Calibri" w:hAnsi="Calibri" w:cs="Calibri"/>
        </w:rPr>
        <w:t xml:space="preserve"> MNUT.</w:t>
      </w:r>
    </w:p>
    <w:p w14:paraId="543B1F73" w14:textId="3BCD688A" w:rsidR="00935D9F" w:rsidRDefault="009948F8" w:rsidP="00434C5B">
      <w:pPr>
        <w:numPr>
          <w:ilvl w:val="0"/>
          <w:numId w:val="28"/>
        </w:numPr>
        <w:spacing w:line="360" w:lineRule="auto"/>
        <w:ind w:left="0" w:firstLine="0"/>
        <w:jc w:val="both"/>
        <w:rPr>
          <w:sz w:val="24"/>
          <w:szCs w:val="24"/>
        </w:rPr>
      </w:pPr>
      <w:r>
        <w:rPr>
          <w:rFonts w:ascii="Calibri" w:eastAsia="Calibri" w:hAnsi="Calibri" w:cs="Calibri"/>
        </w:rPr>
        <w:t>Gera</w:t>
      </w:r>
      <w:r w:rsidR="00D353DE">
        <w:rPr>
          <w:rFonts w:ascii="Calibri" w:eastAsia="Calibri" w:hAnsi="Calibri" w:cs="Calibri"/>
        </w:rPr>
        <w:t xml:space="preserve">r a partir da </w:t>
      </w:r>
      <w:proofErr w:type="spellStart"/>
      <w:r w:rsidR="00D353DE">
        <w:rPr>
          <w:rFonts w:ascii="Calibri" w:eastAsia="Calibri" w:hAnsi="Calibri" w:cs="Calibri"/>
        </w:rPr>
        <w:t>tbPpiOficial</w:t>
      </w:r>
      <w:proofErr w:type="spellEnd"/>
      <w:r w:rsidR="00D353DE">
        <w:rPr>
          <w:rFonts w:ascii="Calibri" w:eastAsia="Calibri" w:hAnsi="Calibri" w:cs="Calibri"/>
        </w:rPr>
        <w:t xml:space="preserve">, </w:t>
      </w:r>
      <w:r>
        <w:rPr>
          <w:rFonts w:ascii="Calibri" w:eastAsia="Calibri" w:hAnsi="Calibri" w:cs="Calibri"/>
        </w:rPr>
        <w:t>após toda</w:t>
      </w:r>
      <w:r w:rsidR="00D353DE">
        <w:rPr>
          <w:rFonts w:ascii="Calibri" w:eastAsia="Calibri" w:hAnsi="Calibri" w:cs="Calibri"/>
        </w:rPr>
        <w:t xml:space="preserve"> a resolução de inconsistências</w:t>
      </w:r>
      <w:r>
        <w:rPr>
          <w:rFonts w:ascii="Calibri" w:eastAsia="Calibri" w:hAnsi="Calibri" w:cs="Calibri"/>
        </w:rPr>
        <w:t>:</w:t>
      </w:r>
    </w:p>
    <w:p w14:paraId="7B325278" w14:textId="42030E1B" w:rsidR="00935D9F" w:rsidRDefault="009948F8" w:rsidP="00434C5B">
      <w:pPr>
        <w:spacing w:line="360" w:lineRule="auto"/>
        <w:jc w:val="both"/>
        <w:rPr>
          <w:b/>
          <w:i/>
          <w:sz w:val="24"/>
          <w:szCs w:val="24"/>
        </w:rPr>
      </w:pPr>
      <w:r>
        <w:rPr>
          <w:rFonts w:ascii="Calibri" w:eastAsia="Calibri" w:hAnsi="Calibri" w:cs="Calibri"/>
        </w:rPr>
        <w:t>- SISPPI: arquivo que alimenta o SISMAC (Quadros do teto)</w:t>
      </w:r>
      <w:r w:rsidR="00D353DE">
        <w:rPr>
          <w:rFonts w:ascii="Calibri" w:eastAsia="Calibri" w:hAnsi="Calibri" w:cs="Calibri"/>
        </w:rPr>
        <w:t>.</w:t>
      </w:r>
    </w:p>
    <w:p w14:paraId="5492C1AD" w14:textId="24F3BBB4" w:rsidR="00935D9F" w:rsidRDefault="00D353DE" w:rsidP="00434C5B">
      <w:pPr>
        <w:spacing w:line="360" w:lineRule="auto"/>
        <w:jc w:val="both"/>
        <w:rPr>
          <w:b/>
          <w:i/>
          <w:sz w:val="24"/>
          <w:szCs w:val="24"/>
        </w:rPr>
      </w:pPr>
      <w:r>
        <w:rPr>
          <w:rFonts w:ascii="Calibri" w:eastAsia="Calibri" w:hAnsi="Calibri" w:cs="Calibri"/>
        </w:rPr>
        <w:lastRenderedPageBreak/>
        <w:t>- Teto Processamento</w:t>
      </w:r>
      <w:r w:rsidR="009948F8">
        <w:rPr>
          <w:rFonts w:ascii="Calibri" w:eastAsia="Calibri" w:hAnsi="Calibri" w:cs="Calibri"/>
        </w:rPr>
        <w:t>: arquivo que alimenta o batimento de processamento da DIS</w:t>
      </w:r>
      <w:r>
        <w:rPr>
          <w:rFonts w:ascii="Calibri" w:eastAsia="Calibri" w:hAnsi="Calibri" w:cs="Calibri"/>
        </w:rPr>
        <w:t>.</w:t>
      </w:r>
    </w:p>
    <w:p w14:paraId="1D1CDBE6" w14:textId="72E7A22A" w:rsidR="00935D9F" w:rsidRDefault="009948F8" w:rsidP="00434C5B">
      <w:pPr>
        <w:spacing w:line="360" w:lineRule="auto"/>
        <w:jc w:val="both"/>
        <w:rPr>
          <w:b/>
          <w:i/>
          <w:sz w:val="24"/>
          <w:szCs w:val="24"/>
        </w:rPr>
      </w:pPr>
      <w:r>
        <w:rPr>
          <w:rFonts w:ascii="Calibri" w:eastAsia="Calibri" w:hAnsi="Calibri" w:cs="Calibri"/>
        </w:rPr>
        <w:t>- Belo Horizonte: arquivo exportado para o processamento de Belo Horizonte</w:t>
      </w:r>
      <w:r w:rsidR="00434C5B">
        <w:rPr>
          <w:rFonts w:ascii="Calibri" w:eastAsia="Calibri" w:hAnsi="Calibri" w:cs="Calibri"/>
        </w:rPr>
        <w:t>.</w:t>
      </w:r>
      <w:r>
        <w:rPr>
          <w:rFonts w:ascii="Calibri" w:eastAsia="Calibri" w:hAnsi="Calibri" w:cs="Calibri"/>
        </w:rPr>
        <w:t xml:space="preserve"> </w:t>
      </w:r>
    </w:p>
    <w:p w14:paraId="772CB60E" w14:textId="1F059BA4" w:rsidR="00935D9F" w:rsidRDefault="009948F8" w:rsidP="00434C5B">
      <w:pPr>
        <w:spacing w:line="360" w:lineRule="auto"/>
        <w:jc w:val="both"/>
        <w:rPr>
          <w:b/>
          <w:i/>
          <w:sz w:val="24"/>
          <w:szCs w:val="24"/>
        </w:rPr>
      </w:pPr>
      <w:r>
        <w:rPr>
          <w:rFonts w:ascii="Calibri" w:eastAsia="Calibri" w:hAnsi="Calibri" w:cs="Calibri"/>
        </w:rPr>
        <w:t>- Site PP</w:t>
      </w:r>
      <w:r w:rsidR="00434C5B">
        <w:rPr>
          <w:rFonts w:ascii="Calibri" w:eastAsia="Calibri" w:hAnsi="Calibri" w:cs="Calibri"/>
        </w:rPr>
        <w:t>I: tabelas em .</w:t>
      </w:r>
      <w:proofErr w:type="spellStart"/>
      <w:r w:rsidR="00434C5B">
        <w:rPr>
          <w:rFonts w:ascii="Calibri" w:eastAsia="Calibri" w:hAnsi="Calibri" w:cs="Calibri"/>
        </w:rPr>
        <w:t>csv</w:t>
      </w:r>
      <w:proofErr w:type="spellEnd"/>
      <w:r w:rsidR="00434C5B">
        <w:rPr>
          <w:rFonts w:ascii="Calibri" w:eastAsia="Calibri" w:hAnsi="Calibri" w:cs="Calibri"/>
        </w:rPr>
        <w:t xml:space="preserve"> para alimentação do site PPI.</w:t>
      </w:r>
    </w:p>
    <w:p w14:paraId="213162E2" w14:textId="25F84FBF" w:rsidR="00935D9F" w:rsidRPr="00434C5B" w:rsidRDefault="009948F8" w:rsidP="00434C5B">
      <w:pPr>
        <w:spacing w:line="360" w:lineRule="auto"/>
        <w:rPr>
          <w:b/>
          <w:i/>
          <w:sz w:val="24"/>
          <w:szCs w:val="24"/>
        </w:rPr>
      </w:pPr>
      <w:bookmarkStart w:id="1" w:name="_gjdgxs" w:colFirst="0" w:colLast="0"/>
      <w:bookmarkEnd w:id="1"/>
      <w:r>
        <w:rPr>
          <w:rFonts w:ascii="Calibri" w:eastAsia="Calibri" w:hAnsi="Calibri" w:cs="Calibri"/>
        </w:rPr>
        <w:t>- Anexo</w:t>
      </w:r>
      <w:r w:rsidR="00434C5B">
        <w:rPr>
          <w:rFonts w:ascii="Calibri" w:eastAsia="Calibri" w:hAnsi="Calibri" w:cs="Calibri"/>
        </w:rPr>
        <w:t>:</w:t>
      </w:r>
      <w:r>
        <w:rPr>
          <w:rFonts w:ascii="Calibri" w:eastAsia="Calibri" w:hAnsi="Calibri" w:cs="Calibri"/>
        </w:rPr>
        <w:t xml:space="preserve"> </w:t>
      </w:r>
      <w:r w:rsidR="00434C5B">
        <w:rPr>
          <w:rFonts w:ascii="Calibri" w:eastAsia="Calibri" w:hAnsi="Calibri" w:cs="Calibri"/>
        </w:rPr>
        <w:t>relatório de fechamento de teto.</w:t>
      </w:r>
    </w:p>
    <w:p w14:paraId="7EAB3A8F" w14:textId="3484E697" w:rsidR="00935D9F" w:rsidRDefault="009948F8" w:rsidP="00434C5B">
      <w:pPr>
        <w:numPr>
          <w:ilvl w:val="0"/>
          <w:numId w:val="28"/>
        </w:numPr>
        <w:spacing w:line="360" w:lineRule="auto"/>
        <w:ind w:left="0" w:firstLine="0"/>
        <w:jc w:val="both"/>
        <w:rPr>
          <w:sz w:val="24"/>
          <w:szCs w:val="24"/>
        </w:rPr>
      </w:pPr>
      <w:r>
        <w:rPr>
          <w:rFonts w:ascii="Calibri" w:eastAsia="Calibri" w:hAnsi="Calibri" w:cs="Calibri"/>
        </w:rPr>
        <w:t xml:space="preserve">A partir </w:t>
      </w:r>
      <w:r w:rsidR="00A841C0">
        <w:rPr>
          <w:rFonts w:ascii="Calibri" w:eastAsia="Calibri" w:hAnsi="Calibri" w:cs="Calibri"/>
        </w:rPr>
        <w:t>da tabela</w:t>
      </w:r>
      <w:r w:rsidR="00434C5B">
        <w:rPr>
          <w:rFonts w:ascii="Calibri" w:eastAsia="Calibri" w:hAnsi="Calibri" w:cs="Calibri"/>
        </w:rPr>
        <w:t xml:space="preserve"> </w:t>
      </w:r>
      <w:proofErr w:type="spellStart"/>
      <w:r>
        <w:rPr>
          <w:rFonts w:ascii="Calibri" w:eastAsia="Calibri" w:hAnsi="Calibri" w:cs="Calibri"/>
        </w:rPr>
        <w:t>txRemanejamento</w:t>
      </w:r>
      <w:proofErr w:type="spellEnd"/>
      <w:r w:rsidR="00434C5B">
        <w:rPr>
          <w:rFonts w:ascii="Calibri" w:eastAsia="Calibri" w:hAnsi="Calibri" w:cs="Calibri"/>
        </w:rPr>
        <w:t>:</w:t>
      </w:r>
    </w:p>
    <w:p w14:paraId="09F28493" w14:textId="0FA11481" w:rsidR="00935D9F" w:rsidRDefault="00A841C0" w:rsidP="00434C5B">
      <w:pPr>
        <w:numPr>
          <w:ilvl w:val="0"/>
          <w:numId w:val="12"/>
        </w:numPr>
        <w:spacing w:line="360" w:lineRule="auto"/>
        <w:ind w:left="709" w:firstLine="0"/>
        <w:jc w:val="both"/>
        <w:rPr>
          <w:sz w:val="24"/>
          <w:szCs w:val="24"/>
        </w:rPr>
      </w:pPr>
      <w:r>
        <w:rPr>
          <w:rFonts w:ascii="Calibri" w:eastAsia="Calibri" w:hAnsi="Calibri" w:cs="Calibri"/>
        </w:rPr>
        <w:t>Testa</w:t>
      </w:r>
      <w:r w:rsidR="009948F8">
        <w:rPr>
          <w:rFonts w:ascii="Calibri" w:eastAsia="Calibri" w:hAnsi="Calibri" w:cs="Calibri"/>
        </w:rPr>
        <w:t xml:space="preserve"> com a tabela importada do SISMAC </w:t>
      </w:r>
      <w:r w:rsidR="00686FA1">
        <w:rPr>
          <w:rFonts w:ascii="Calibri" w:eastAsia="Calibri" w:hAnsi="Calibri" w:cs="Calibri"/>
        </w:rPr>
        <w:t>PTSM</w:t>
      </w:r>
      <w:r w:rsidR="009948F8">
        <w:rPr>
          <w:rFonts w:ascii="Calibri" w:eastAsia="Calibri" w:hAnsi="Calibri" w:cs="Calibri"/>
        </w:rPr>
        <w:t>[</w:t>
      </w:r>
      <w:proofErr w:type="spellStart"/>
      <w:r w:rsidR="009948F8">
        <w:rPr>
          <w:rFonts w:ascii="Calibri" w:eastAsia="Calibri" w:hAnsi="Calibri" w:cs="Calibri"/>
        </w:rPr>
        <w:t>aamm</w:t>
      </w:r>
      <w:proofErr w:type="spellEnd"/>
      <w:r w:rsidR="009948F8">
        <w:rPr>
          <w:rFonts w:ascii="Calibri" w:eastAsia="Calibri" w:hAnsi="Calibri" w:cs="Calibri"/>
        </w:rPr>
        <w:t xml:space="preserve">] com os </w:t>
      </w:r>
      <w:r w:rsidR="00686FA1">
        <w:rPr>
          <w:rFonts w:ascii="Calibri" w:eastAsia="Calibri" w:hAnsi="Calibri" w:cs="Calibri"/>
        </w:rPr>
        <w:t>remanejamentos.</w:t>
      </w:r>
    </w:p>
    <w:p w14:paraId="37D4C25C" w14:textId="64A02146" w:rsidR="00935D9F" w:rsidRDefault="009948F8" w:rsidP="00434C5B">
      <w:pPr>
        <w:numPr>
          <w:ilvl w:val="0"/>
          <w:numId w:val="12"/>
        </w:numPr>
        <w:spacing w:line="360" w:lineRule="auto"/>
        <w:ind w:left="709" w:firstLine="0"/>
        <w:jc w:val="both"/>
        <w:rPr>
          <w:b/>
          <w:i/>
          <w:sz w:val="24"/>
          <w:szCs w:val="24"/>
        </w:rPr>
      </w:pPr>
      <w:r>
        <w:rPr>
          <w:rFonts w:ascii="Calibri" w:eastAsia="Calibri" w:hAnsi="Calibri" w:cs="Calibri"/>
        </w:rPr>
        <w:t>Gera o arquivo para alimentação do site da PRODEMGE</w:t>
      </w:r>
      <w:r w:rsidR="00686FA1">
        <w:rPr>
          <w:rFonts w:ascii="Calibri" w:eastAsia="Calibri" w:hAnsi="Calibri" w:cs="Calibri"/>
        </w:rPr>
        <w:t>.</w:t>
      </w:r>
    </w:p>
    <w:p w14:paraId="0F50841C" w14:textId="0CEB648D" w:rsidR="00935D9F" w:rsidRPr="00686FA1" w:rsidRDefault="009948F8" w:rsidP="00434C5B">
      <w:pPr>
        <w:numPr>
          <w:ilvl w:val="0"/>
          <w:numId w:val="12"/>
        </w:numPr>
        <w:spacing w:line="360" w:lineRule="auto"/>
        <w:ind w:left="709" w:firstLine="0"/>
        <w:jc w:val="both"/>
        <w:rPr>
          <w:b/>
          <w:i/>
          <w:sz w:val="24"/>
          <w:szCs w:val="24"/>
        </w:rPr>
      </w:pPr>
      <w:r>
        <w:rPr>
          <w:rFonts w:ascii="Calibri" w:eastAsia="Calibri" w:hAnsi="Calibri" w:cs="Calibri"/>
        </w:rPr>
        <w:t>Gera todas as tabelas do banco da PPI da competência atual</w:t>
      </w:r>
      <w:r w:rsidR="00686FA1">
        <w:rPr>
          <w:rFonts w:ascii="Calibri" w:eastAsia="Calibri" w:hAnsi="Calibri" w:cs="Calibri"/>
        </w:rPr>
        <w:t>.</w:t>
      </w:r>
    </w:p>
    <w:p w14:paraId="67513732" w14:textId="705AA04D" w:rsidR="00935D9F" w:rsidRPr="00771D1D" w:rsidRDefault="00686FA1" w:rsidP="00771D1D">
      <w:pPr>
        <w:numPr>
          <w:ilvl w:val="0"/>
          <w:numId w:val="28"/>
        </w:numPr>
        <w:spacing w:line="360" w:lineRule="auto"/>
        <w:ind w:left="0" w:firstLine="0"/>
        <w:jc w:val="both"/>
        <w:rPr>
          <w:sz w:val="24"/>
          <w:szCs w:val="24"/>
        </w:rPr>
      </w:pPr>
      <w:r>
        <w:rPr>
          <w:rFonts w:ascii="Calibri" w:eastAsia="Calibri" w:hAnsi="Calibri" w:cs="Calibri"/>
        </w:rPr>
        <w:t xml:space="preserve">A partir da </w:t>
      </w:r>
      <w:proofErr w:type="spellStart"/>
      <w:r>
        <w:rPr>
          <w:rFonts w:ascii="Calibri" w:eastAsia="Calibri" w:hAnsi="Calibri" w:cs="Calibri"/>
        </w:rPr>
        <w:t>tbPpiOficial</w:t>
      </w:r>
      <w:proofErr w:type="spellEnd"/>
      <w:r>
        <w:rPr>
          <w:rFonts w:ascii="Calibri" w:eastAsia="Calibri" w:hAnsi="Calibri" w:cs="Calibri"/>
        </w:rPr>
        <w:t xml:space="preserve"> </w:t>
      </w:r>
      <w:r w:rsidR="00771D1D">
        <w:rPr>
          <w:rFonts w:ascii="Calibri" w:eastAsia="Calibri" w:hAnsi="Calibri" w:cs="Calibri"/>
        </w:rPr>
        <w:t>associada a</w:t>
      </w:r>
      <w:r>
        <w:rPr>
          <w:rFonts w:ascii="Calibri" w:eastAsia="Calibri" w:hAnsi="Calibri" w:cs="Calibri"/>
        </w:rPr>
        <w:t xml:space="preserve"> </w:t>
      </w:r>
      <w:proofErr w:type="spellStart"/>
      <w:r>
        <w:rPr>
          <w:rFonts w:ascii="Calibri" w:eastAsia="Calibri" w:hAnsi="Calibri" w:cs="Calibri"/>
        </w:rPr>
        <w:t>tx</w:t>
      </w:r>
      <w:r w:rsidR="009948F8">
        <w:rPr>
          <w:rFonts w:ascii="Calibri" w:eastAsia="Calibri" w:hAnsi="Calibri" w:cs="Calibri"/>
        </w:rPr>
        <w:t>R</w:t>
      </w:r>
      <w:r w:rsidR="00771D1D">
        <w:rPr>
          <w:rFonts w:ascii="Calibri" w:eastAsia="Calibri" w:hAnsi="Calibri" w:cs="Calibri"/>
        </w:rPr>
        <w:t>emanejamento</w:t>
      </w:r>
      <w:proofErr w:type="spellEnd"/>
      <w:r w:rsidR="00771D1D">
        <w:rPr>
          <w:sz w:val="24"/>
          <w:szCs w:val="24"/>
        </w:rPr>
        <w:t xml:space="preserve">, </w:t>
      </w:r>
      <w:r w:rsidR="00771D1D" w:rsidRPr="00771D1D">
        <w:rPr>
          <w:rFonts w:ascii="Calibri" w:eastAsia="Calibri" w:hAnsi="Calibri" w:cs="Calibri"/>
        </w:rPr>
        <w:t>t</w:t>
      </w:r>
      <w:r w:rsidR="009948F8" w:rsidRPr="00771D1D">
        <w:rPr>
          <w:rFonts w:ascii="Calibri" w:eastAsia="Calibri" w:hAnsi="Calibri" w:cs="Calibri"/>
        </w:rPr>
        <w:t xml:space="preserve">esta a consistência da </w:t>
      </w:r>
      <w:proofErr w:type="spellStart"/>
      <w:r w:rsidR="009948F8" w:rsidRPr="00771D1D">
        <w:rPr>
          <w:rFonts w:ascii="Calibri" w:eastAsia="Calibri" w:hAnsi="Calibri" w:cs="Calibri"/>
        </w:rPr>
        <w:t>tbPpiOficial</w:t>
      </w:r>
      <w:proofErr w:type="spellEnd"/>
      <w:r w:rsidR="009948F8" w:rsidRPr="00771D1D">
        <w:rPr>
          <w:rFonts w:ascii="Calibri" w:eastAsia="Calibri" w:hAnsi="Calibri" w:cs="Calibri"/>
        </w:rPr>
        <w:t xml:space="preserve"> com a </w:t>
      </w:r>
      <w:proofErr w:type="spellStart"/>
      <w:r w:rsidR="009948F8" w:rsidRPr="00771D1D">
        <w:rPr>
          <w:rFonts w:ascii="Calibri" w:eastAsia="Calibri" w:hAnsi="Calibri" w:cs="Calibri"/>
        </w:rPr>
        <w:t>tbProgramacaoPrestador</w:t>
      </w:r>
      <w:proofErr w:type="spellEnd"/>
      <w:r w:rsidR="009948F8" w:rsidRPr="00771D1D">
        <w:rPr>
          <w:rFonts w:ascii="Calibri" w:eastAsia="Calibri" w:hAnsi="Calibri" w:cs="Calibri"/>
        </w:rPr>
        <w:t xml:space="preserve"> e a </w:t>
      </w:r>
      <w:proofErr w:type="spellStart"/>
      <w:r w:rsidR="009948F8" w:rsidRPr="00771D1D">
        <w:rPr>
          <w:rFonts w:ascii="Calibri" w:eastAsia="Calibri" w:hAnsi="Calibri" w:cs="Calibri"/>
        </w:rPr>
        <w:t>txRemanejamento</w:t>
      </w:r>
      <w:proofErr w:type="spellEnd"/>
      <w:r w:rsidR="009948F8" w:rsidRPr="00771D1D">
        <w:rPr>
          <w:rFonts w:ascii="Calibri" w:eastAsia="Calibri" w:hAnsi="Calibri" w:cs="Calibri"/>
        </w:rPr>
        <w:t>.</w:t>
      </w:r>
    </w:p>
    <w:p w14:paraId="31BF74DF" w14:textId="245C36C5" w:rsidR="00935D9F" w:rsidRDefault="009948F8" w:rsidP="00686FA1">
      <w:pPr>
        <w:numPr>
          <w:ilvl w:val="0"/>
          <w:numId w:val="28"/>
        </w:numPr>
        <w:spacing w:line="360" w:lineRule="auto"/>
        <w:ind w:left="0" w:firstLine="0"/>
        <w:jc w:val="both"/>
        <w:rPr>
          <w:sz w:val="24"/>
          <w:szCs w:val="24"/>
        </w:rPr>
      </w:pPr>
      <w:r>
        <w:rPr>
          <w:rFonts w:ascii="Calibri" w:eastAsia="Calibri" w:hAnsi="Calibri" w:cs="Calibri"/>
        </w:rPr>
        <w:t xml:space="preserve">No </w:t>
      </w:r>
      <w:r w:rsidR="00771D1D">
        <w:rPr>
          <w:rFonts w:ascii="Calibri" w:eastAsia="Calibri" w:hAnsi="Calibri" w:cs="Calibri"/>
        </w:rPr>
        <w:t>Banco PPI</w:t>
      </w:r>
      <w:r>
        <w:rPr>
          <w:rFonts w:ascii="Calibri" w:eastAsia="Calibri" w:hAnsi="Calibri" w:cs="Calibri"/>
        </w:rPr>
        <w:t xml:space="preserve">: </w:t>
      </w:r>
      <w:r w:rsidR="00771D1D">
        <w:rPr>
          <w:rFonts w:ascii="Calibri" w:eastAsia="Calibri" w:hAnsi="Calibri" w:cs="Calibri"/>
        </w:rPr>
        <w:t xml:space="preserve">o usuário </w:t>
      </w:r>
      <w:r>
        <w:rPr>
          <w:rFonts w:ascii="Calibri" w:eastAsia="Calibri" w:hAnsi="Calibri" w:cs="Calibri"/>
        </w:rPr>
        <w:t xml:space="preserve">preenche a </w:t>
      </w:r>
      <w:proofErr w:type="spellStart"/>
      <w:r>
        <w:rPr>
          <w:rFonts w:ascii="Calibri" w:eastAsia="Calibri" w:hAnsi="Calibri" w:cs="Calibri"/>
        </w:rPr>
        <w:t>tbContratualizado</w:t>
      </w:r>
      <w:proofErr w:type="spellEnd"/>
      <w:r>
        <w:rPr>
          <w:rFonts w:ascii="Calibri" w:eastAsia="Calibri" w:hAnsi="Calibri" w:cs="Calibri"/>
        </w:rPr>
        <w:t xml:space="preserve"> </w:t>
      </w:r>
      <w:r w:rsidR="00771D1D">
        <w:rPr>
          <w:rFonts w:ascii="Calibri" w:eastAsia="Calibri" w:hAnsi="Calibri" w:cs="Calibri"/>
        </w:rPr>
        <w:t xml:space="preserve">para que o programa processe </w:t>
      </w:r>
      <w:r>
        <w:rPr>
          <w:rFonts w:ascii="Calibri" w:eastAsia="Calibri" w:hAnsi="Calibri" w:cs="Calibri"/>
        </w:rPr>
        <w:t xml:space="preserve">as seguintes tabelas: </w:t>
      </w:r>
    </w:p>
    <w:p w14:paraId="18F36495" w14:textId="3CB0F7E2" w:rsidR="00935D9F" w:rsidRDefault="009948F8" w:rsidP="00686FA1">
      <w:pPr>
        <w:numPr>
          <w:ilvl w:val="0"/>
          <w:numId w:val="9"/>
        </w:numPr>
        <w:spacing w:line="360" w:lineRule="auto"/>
        <w:ind w:left="0" w:firstLine="0"/>
        <w:jc w:val="both"/>
        <w:rPr>
          <w:sz w:val="24"/>
          <w:szCs w:val="24"/>
        </w:rPr>
      </w:pPr>
      <w:r>
        <w:rPr>
          <w:rFonts w:ascii="Calibri" w:eastAsia="Calibri" w:hAnsi="Calibri" w:cs="Calibri"/>
        </w:rPr>
        <w:t>TETO[</w:t>
      </w:r>
      <w:proofErr w:type="spellStart"/>
      <w:r>
        <w:rPr>
          <w:rFonts w:ascii="Calibri" w:eastAsia="Calibri" w:hAnsi="Calibri" w:cs="Calibri"/>
        </w:rPr>
        <w:t>aamm</w:t>
      </w:r>
      <w:proofErr w:type="spellEnd"/>
      <w:r>
        <w:rPr>
          <w:rFonts w:ascii="Calibri" w:eastAsia="Calibri" w:hAnsi="Calibri" w:cs="Calibri"/>
        </w:rPr>
        <w:t>]:</w:t>
      </w:r>
      <w:r w:rsidR="00771D1D">
        <w:rPr>
          <w:rFonts w:ascii="Calibri" w:eastAsia="Calibri" w:hAnsi="Calibri" w:cs="Calibri"/>
        </w:rPr>
        <w:t xml:space="preserve"> </w:t>
      </w:r>
      <w:r>
        <w:rPr>
          <w:rFonts w:ascii="Calibri" w:eastAsia="Calibri" w:hAnsi="Calibri" w:cs="Calibri"/>
        </w:rPr>
        <w:t>PPI com todos os municípios MG, da competência atual, com tetos e a sua distribuição financeira caracterizando o sistema de informação (ambulatorial/hospitalar), gestão, a complexidade</w:t>
      </w:r>
      <w:r w:rsidR="00771D1D">
        <w:rPr>
          <w:rFonts w:ascii="Calibri" w:eastAsia="Calibri" w:hAnsi="Calibri" w:cs="Calibri"/>
        </w:rPr>
        <w:t xml:space="preserve"> </w:t>
      </w:r>
      <w:r>
        <w:rPr>
          <w:rFonts w:ascii="Calibri" w:eastAsia="Calibri" w:hAnsi="Calibri" w:cs="Calibri"/>
        </w:rPr>
        <w:t xml:space="preserve">(média/alta), municípios de atendimento com separação entre a população de origem própria e referenciada. </w:t>
      </w:r>
    </w:p>
    <w:p w14:paraId="6CACAAA4" w14:textId="4672F699" w:rsidR="00935D9F" w:rsidRPr="00771D1D" w:rsidRDefault="009948F8" w:rsidP="00686FA1">
      <w:pPr>
        <w:numPr>
          <w:ilvl w:val="0"/>
          <w:numId w:val="9"/>
        </w:numPr>
        <w:spacing w:line="360" w:lineRule="auto"/>
        <w:ind w:left="0" w:firstLine="0"/>
        <w:jc w:val="both"/>
        <w:rPr>
          <w:sz w:val="24"/>
          <w:szCs w:val="24"/>
        </w:rPr>
      </w:pPr>
      <w:r>
        <w:rPr>
          <w:rFonts w:ascii="Calibri" w:eastAsia="Calibri" w:hAnsi="Calibri" w:cs="Calibri"/>
        </w:rPr>
        <w:t>TTDT[</w:t>
      </w:r>
      <w:proofErr w:type="spellStart"/>
      <w:r>
        <w:rPr>
          <w:rFonts w:ascii="Calibri" w:eastAsia="Calibri" w:hAnsi="Calibri" w:cs="Calibri"/>
        </w:rPr>
        <w:t>aamm</w:t>
      </w:r>
      <w:proofErr w:type="spellEnd"/>
      <w:r>
        <w:rPr>
          <w:rFonts w:ascii="Calibri" w:eastAsia="Calibri" w:hAnsi="Calibri" w:cs="Calibri"/>
        </w:rPr>
        <w:t>]:</w:t>
      </w:r>
      <w:r w:rsidR="00771D1D">
        <w:rPr>
          <w:rFonts w:ascii="Calibri" w:eastAsia="Calibri" w:hAnsi="Calibri" w:cs="Calibri"/>
        </w:rPr>
        <w:t xml:space="preserve"> </w:t>
      </w:r>
      <w:r>
        <w:rPr>
          <w:rFonts w:ascii="Calibri" w:eastAsia="Calibri" w:hAnsi="Calibri" w:cs="Calibri"/>
        </w:rPr>
        <w:t>Detalhado do TETO por forma de organização</w:t>
      </w:r>
      <w:r w:rsidR="00771D1D">
        <w:rPr>
          <w:rFonts w:ascii="Calibri" w:eastAsia="Calibri" w:hAnsi="Calibri" w:cs="Calibri"/>
        </w:rPr>
        <w:t>.</w:t>
      </w:r>
    </w:p>
    <w:p w14:paraId="371B3929" w14:textId="2F302B3D" w:rsidR="00935D9F" w:rsidRDefault="009948F8" w:rsidP="007D3F0B">
      <w:pPr>
        <w:spacing w:line="360" w:lineRule="auto"/>
        <w:ind w:firstLine="720"/>
        <w:jc w:val="both"/>
        <w:rPr>
          <w:rFonts w:ascii="Calibri" w:eastAsia="Calibri" w:hAnsi="Calibri" w:cs="Calibri"/>
        </w:rPr>
      </w:pPr>
      <w:r>
        <w:rPr>
          <w:rFonts w:ascii="Calibri" w:eastAsia="Calibri" w:hAnsi="Calibri" w:cs="Calibri"/>
        </w:rPr>
        <w:t xml:space="preserve">Este processo acontece após a Diretoria de </w:t>
      </w:r>
      <w:proofErr w:type="spellStart"/>
      <w:r>
        <w:rPr>
          <w:rFonts w:ascii="Calibri" w:eastAsia="Calibri" w:hAnsi="Calibri" w:cs="Calibri"/>
        </w:rPr>
        <w:t>Contratualização</w:t>
      </w:r>
      <w:proofErr w:type="spellEnd"/>
      <w:r>
        <w:rPr>
          <w:rFonts w:ascii="Calibri" w:eastAsia="Calibri" w:hAnsi="Calibri" w:cs="Calibri"/>
        </w:rPr>
        <w:t xml:space="preserve"> encaminhar a planilha com os pagamentos Ambulatorial e Hospitalar realizados para os hospitais com contrato vigente. São desconsiderados os valores de incentivos e de alta complexidade. Como acontece uma competência após o fechamento do banco atual, é a última tabela a ser preenchida.</w:t>
      </w:r>
    </w:p>
    <w:p w14:paraId="472C4E83" w14:textId="16022FB1" w:rsidR="00935D9F" w:rsidRDefault="00935D9F">
      <w:pPr>
        <w:rPr>
          <w:rFonts w:ascii="Calibri" w:eastAsia="Calibri" w:hAnsi="Calibri" w:cs="Calibri"/>
        </w:rPr>
      </w:pPr>
    </w:p>
    <w:p w14:paraId="09CCE18B" w14:textId="15923B5C" w:rsidR="00935D9F" w:rsidRPr="004E32BC" w:rsidRDefault="009948F8">
      <w:pPr>
        <w:spacing w:after="200" w:line="360" w:lineRule="auto"/>
        <w:jc w:val="both"/>
        <w:rPr>
          <w:rFonts w:ascii="Calibri" w:eastAsia="Calibri" w:hAnsi="Calibri" w:cs="Calibri"/>
          <w:b/>
          <w:u w:val="single"/>
        </w:rPr>
      </w:pPr>
      <w:r w:rsidRPr="004E32BC">
        <w:rPr>
          <w:rFonts w:ascii="Calibri" w:eastAsia="Calibri" w:hAnsi="Calibri" w:cs="Calibri"/>
          <w:b/>
          <w:u w:val="single"/>
        </w:rPr>
        <w:t>Complemento: Distribuição Financeira no Banco</w:t>
      </w:r>
    </w:p>
    <w:p w14:paraId="13F53ED5" w14:textId="4EFBEC68" w:rsidR="00935D9F" w:rsidRDefault="009948F8">
      <w:pPr>
        <w:ind w:firstLine="720"/>
        <w:jc w:val="both"/>
        <w:rPr>
          <w:rFonts w:ascii="Calibri" w:eastAsia="Calibri" w:hAnsi="Calibri" w:cs="Calibri"/>
        </w:rPr>
      </w:pPr>
      <w:r>
        <w:rPr>
          <w:rFonts w:ascii="Calibri" w:eastAsia="Calibri" w:hAnsi="Calibri" w:cs="Calibri"/>
        </w:rPr>
        <w:t xml:space="preserve">Na </w:t>
      </w:r>
      <w:r w:rsidR="004E32BC">
        <w:rPr>
          <w:rFonts w:ascii="Calibri" w:eastAsia="Calibri" w:hAnsi="Calibri" w:cs="Calibri"/>
        </w:rPr>
        <w:t xml:space="preserve">tabela </w:t>
      </w:r>
      <w:proofErr w:type="spellStart"/>
      <w:r>
        <w:rPr>
          <w:rFonts w:ascii="Calibri" w:eastAsia="Calibri" w:hAnsi="Calibri" w:cs="Calibri"/>
        </w:rPr>
        <w:t>tbDistribuicaoFinanceira</w:t>
      </w:r>
      <w:proofErr w:type="spellEnd"/>
      <w:r>
        <w:rPr>
          <w:rFonts w:ascii="Calibri" w:eastAsia="Calibri" w:hAnsi="Calibri" w:cs="Calibri"/>
        </w:rPr>
        <w:t xml:space="preserve"> é preenchida a distribuição financeira dos recursos aportados na PPI/MG. </w:t>
      </w:r>
      <w:r w:rsidR="004E32BC">
        <w:rPr>
          <w:rFonts w:ascii="Calibri" w:eastAsia="Calibri" w:hAnsi="Calibri" w:cs="Calibri"/>
        </w:rPr>
        <w:t>Contém</w:t>
      </w:r>
      <w:r>
        <w:rPr>
          <w:rFonts w:ascii="Calibri" w:eastAsia="Calibri" w:hAnsi="Calibri" w:cs="Calibri"/>
        </w:rPr>
        <w:t xml:space="preserve"> todas as portarias e Deliberações CIB/SUS-MG com a classificação abaixo:</w:t>
      </w:r>
    </w:p>
    <w:p w14:paraId="31A929F9" w14:textId="77777777" w:rsidR="00797790" w:rsidRDefault="00797790">
      <w:pPr>
        <w:ind w:firstLine="720"/>
        <w:jc w:val="both"/>
        <w:rPr>
          <w:rFonts w:ascii="Calibri" w:eastAsia="Calibri" w:hAnsi="Calibri" w:cs="Calibri"/>
        </w:rPr>
      </w:pPr>
    </w:p>
    <w:tbl>
      <w:tblPr>
        <w:tblStyle w:val="Tabelacomgrade"/>
        <w:tblW w:w="0" w:type="auto"/>
        <w:jc w:val="center"/>
        <w:tblLook w:val="04A0" w:firstRow="1" w:lastRow="0" w:firstColumn="1" w:lastColumn="0" w:noHBand="0" w:noVBand="1"/>
      </w:tblPr>
      <w:tblGrid>
        <w:gridCol w:w="988"/>
        <w:gridCol w:w="3827"/>
        <w:gridCol w:w="1701"/>
      </w:tblGrid>
      <w:tr w:rsidR="004E32BC" w14:paraId="2CF4A87E" w14:textId="77777777" w:rsidTr="00797790">
        <w:trPr>
          <w:jc w:val="center"/>
        </w:trPr>
        <w:tc>
          <w:tcPr>
            <w:tcW w:w="988" w:type="dxa"/>
          </w:tcPr>
          <w:p w14:paraId="08584902" w14:textId="3498CDDC" w:rsidR="004E32BC" w:rsidRDefault="00797790">
            <w:pPr>
              <w:spacing w:after="200"/>
              <w:rPr>
                <w:rFonts w:ascii="Calibri" w:eastAsia="Calibri" w:hAnsi="Calibri" w:cs="Calibri"/>
              </w:rPr>
            </w:pPr>
            <w:r>
              <w:rPr>
                <w:rFonts w:ascii="Calibri" w:eastAsia="Calibri" w:hAnsi="Calibri" w:cs="Calibri"/>
              </w:rPr>
              <w:t>1</w:t>
            </w:r>
          </w:p>
        </w:tc>
        <w:tc>
          <w:tcPr>
            <w:tcW w:w="3827" w:type="dxa"/>
          </w:tcPr>
          <w:p w14:paraId="3DF577A4" w14:textId="1B78043E" w:rsidR="004E32BC" w:rsidRDefault="004E32BC">
            <w:pPr>
              <w:spacing w:after="200"/>
              <w:rPr>
                <w:rFonts w:ascii="Calibri" w:eastAsia="Calibri" w:hAnsi="Calibri" w:cs="Calibri"/>
              </w:rPr>
            </w:pPr>
            <w:r>
              <w:rPr>
                <w:rFonts w:ascii="Calibri" w:eastAsia="Calibri" w:hAnsi="Calibri" w:cs="Calibri"/>
              </w:rPr>
              <w:t>PAB</w:t>
            </w:r>
          </w:p>
        </w:tc>
        <w:tc>
          <w:tcPr>
            <w:tcW w:w="1701" w:type="dxa"/>
          </w:tcPr>
          <w:p w14:paraId="0CFBA4F9" w14:textId="72E1FBC2" w:rsidR="004E32BC" w:rsidRDefault="00797790">
            <w:pPr>
              <w:spacing w:after="200"/>
              <w:rPr>
                <w:rFonts w:ascii="Calibri" w:eastAsia="Calibri" w:hAnsi="Calibri" w:cs="Calibri"/>
              </w:rPr>
            </w:pPr>
            <w:r>
              <w:rPr>
                <w:rFonts w:ascii="Calibri" w:eastAsia="Calibri" w:hAnsi="Calibri" w:cs="Calibri"/>
              </w:rPr>
              <w:t>PAB</w:t>
            </w:r>
          </w:p>
        </w:tc>
      </w:tr>
      <w:tr w:rsidR="004E32BC" w14:paraId="535F6E71" w14:textId="77777777" w:rsidTr="00797790">
        <w:trPr>
          <w:jc w:val="center"/>
        </w:trPr>
        <w:tc>
          <w:tcPr>
            <w:tcW w:w="988" w:type="dxa"/>
          </w:tcPr>
          <w:p w14:paraId="40F0C0EA" w14:textId="18C383E9" w:rsidR="004E32BC" w:rsidRDefault="00797790">
            <w:pPr>
              <w:spacing w:after="200"/>
              <w:rPr>
                <w:rFonts w:ascii="Calibri" w:eastAsia="Calibri" w:hAnsi="Calibri" w:cs="Calibri"/>
              </w:rPr>
            </w:pPr>
            <w:r>
              <w:rPr>
                <w:rFonts w:ascii="Calibri" w:eastAsia="Calibri" w:hAnsi="Calibri" w:cs="Calibri"/>
              </w:rPr>
              <w:t>2</w:t>
            </w:r>
          </w:p>
        </w:tc>
        <w:tc>
          <w:tcPr>
            <w:tcW w:w="3827" w:type="dxa"/>
          </w:tcPr>
          <w:p w14:paraId="6F25B45C" w14:textId="5FD158E5" w:rsidR="004E32BC" w:rsidRDefault="004E32BC">
            <w:pPr>
              <w:spacing w:after="200"/>
              <w:rPr>
                <w:rFonts w:ascii="Calibri" w:eastAsia="Calibri" w:hAnsi="Calibri" w:cs="Calibri"/>
              </w:rPr>
            </w:pPr>
            <w:r>
              <w:rPr>
                <w:rFonts w:ascii="Calibri" w:eastAsia="Calibri" w:hAnsi="Calibri" w:cs="Calibri"/>
              </w:rPr>
              <w:t>Ambulatorial Média Complexidade</w:t>
            </w:r>
          </w:p>
        </w:tc>
        <w:tc>
          <w:tcPr>
            <w:tcW w:w="1701" w:type="dxa"/>
          </w:tcPr>
          <w:p w14:paraId="14852815" w14:textId="7BCAADFB" w:rsidR="004E32BC" w:rsidRDefault="00797790">
            <w:pPr>
              <w:spacing w:after="200"/>
              <w:rPr>
                <w:rFonts w:ascii="Calibri" w:eastAsia="Calibri" w:hAnsi="Calibri" w:cs="Calibri"/>
              </w:rPr>
            </w:pPr>
            <w:r>
              <w:rPr>
                <w:rFonts w:ascii="Calibri" w:eastAsia="Calibri" w:hAnsi="Calibri" w:cs="Calibri"/>
              </w:rPr>
              <w:t>VALSIA_M</w:t>
            </w:r>
          </w:p>
        </w:tc>
      </w:tr>
      <w:tr w:rsidR="004E32BC" w14:paraId="65FA326C" w14:textId="77777777" w:rsidTr="00797790">
        <w:trPr>
          <w:jc w:val="center"/>
        </w:trPr>
        <w:tc>
          <w:tcPr>
            <w:tcW w:w="988" w:type="dxa"/>
          </w:tcPr>
          <w:p w14:paraId="0F1CC377" w14:textId="0F8C4004" w:rsidR="004E32BC" w:rsidRDefault="00797790">
            <w:pPr>
              <w:spacing w:after="200"/>
              <w:rPr>
                <w:rFonts w:ascii="Calibri" w:eastAsia="Calibri" w:hAnsi="Calibri" w:cs="Calibri"/>
              </w:rPr>
            </w:pPr>
            <w:r>
              <w:rPr>
                <w:rFonts w:ascii="Calibri" w:eastAsia="Calibri" w:hAnsi="Calibri" w:cs="Calibri"/>
              </w:rPr>
              <w:t>3</w:t>
            </w:r>
          </w:p>
        </w:tc>
        <w:tc>
          <w:tcPr>
            <w:tcW w:w="3827" w:type="dxa"/>
          </w:tcPr>
          <w:p w14:paraId="5D835A9C" w14:textId="040CDB24" w:rsidR="004E32BC" w:rsidRDefault="004E32BC">
            <w:pPr>
              <w:spacing w:after="200"/>
              <w:rPr>
                <w:rFonts w:ascii="Calibri" w:eastAsia="Calibri" w:hAnsi="Calibri" w:cs="Calibri"/>
              </w:rPr>
            </w:pPr>
            <w:r>
              <w:rPr>
                <w:rFonts w:ascii="Calibri" w:eastAsia="Calibri" w:hAnsi="Calibri" w:cs="Calibri"/>
              </w:rPr>
              <w:t>Hospitalar Média Complexidade</w:t>
            </w:r>
          </w:p>
        </w:tc>
        <w:tc>
          <w:tcPr>
            <w:tcW w:w="1701" w:type="dxa"/>
          </w:tcPr>
          <w:p w14:paraId="1337FD39" w14:textId="5FAE83C0" w:rsidR="004E32BC" w:rsidRDefault="00797790">
            <w:pPr>
              <w:spacing w:after="200"/>
              <w:rPr>
                <w:rFonts w:ascii="Calibri" w:eastAsia="Calibri" w:hAnsi="Calibri" w:cs="Calibri"/>
              </w:rPr>
            </w:pPr>
            <w:r>
              <w:rPr>
                <w:rFonts w:ascii="Calibri" w:eastAsia="Calibri" w:hAnsi="Calibri" w:cs="Calibri"/>
              </w:rPr>
              <w:t>VALSIH_M</w:t>
            </w:r>
          </w:p>
        </w:tc>
      </w:tr>
      <w:tr w:rsidR="004E32BC" w14:paraId="4EF0666B" w14:textId="77777777" w:rsidTr="00797790">
        <w:trPr>
          <w:jc w:val="center"/>
        </w:trPr>
        <w:tc>
          <w:tcPr>
            <w:tcW w:w="988" w:type="dxa"/>
          </w:tcPr>
          <w:p w14:paraId="4A6D3459" w14:textId="78165F31" w:rsidR="004E32BC" w:rsidRDefault="00797790">
            <w:pPr>
              <w:spacing w:after="200"/>
              <w:rPr>
                <w:rFonts w:ascii="Calibri" w:eastAsia="Calibri" w:hAnsi="Calibri" w:cs="Calibri"/>
              </w:rPr>
            </w:pPr>
            <w:r>
              <w:rPr>
                <w:rFonts w:ascii="Calibri" w:eastAsia="Calibri" w:hAnsi="Calibri" w:cs="Calibri"/>
              </w:rPr>
              <w:lastRenderedPageBreak/>
              <w:t>4</w:t>
            </w:r>
          </w:p>
        </w:tc>
        <w:tc>
          <w:tcPr>
            <w:tcW w:w="3827" w:type="dxa"/>
          </w:tcPr>
          <w:p w14:paraId="5A7E0F60" w14:textId="165A2A37" w:rsidR="004E32BC" w:rsidRDefault="004E32BC">
            <w:pPr>
              <w:spacing w:after="200"/>
              <w:rPr>
                <w:rFonts w:ascii="Calibri" w:eastAsia="Calibri" w:hAnsi="Calibri" w:cs="Calibri"/>
              </w:rPr>
            </w:pPr>
            <w:r>
              <w:rPr>
                <w:rFonts w:ascii="Calibri" w:eastAsia="Calibri" w:hAnsi="Calibri" w:cs="Calibri"/>
              </w:rPr>
              <w:t>Ambulatorial de Alta Complexidade</w:t>
            </w:r>
          </w:p>
        </w:tc>
        <w:tc>
          <w:tcPr>
            <w:tcW w:w="1701" w:type="dxa"/>
          </w:tcPr>
          <w:p w14:paraId="3120B5EF" w14:textId="163B1ADF" w:rsidR="004E32BC" w:rsidRDefault="00797790">
            <w:pPr>
              <w:spacing w:after="200"/>
              <w:rPr>
                <w:rFonts w:ascii="Calibri" w:eastAsia="Calibri" w:hAnsi="Calibri" w:cs="Calibri"/>
              </w:rPr>
            </w:pPr>
            <w:r>
              <w:rPr>
                <w:rFonts w:ascii="Calibri" w:eastAsia="Calibri" w:hAnsi="Calibri" w:cs="Calibri"/>
              </w:rPr>
              <w:t>VALSIA_A</w:t>
            </w:r>
          </w:p>
        </w:tc>
      </w:tr>
      <w:tr w:rsidR="004E32BC" w14:paraId="38359687" w14:textId="77777777" w:rsidTr="00797790">
        <w:trPr>
          <w:jc w:val="center"/>
        </w:trPr>
        <w:tc>
          <w:tcPr>
            <w:tcW w:w="988" w:type="dxa"/>
          </w:tcPr>
          <w:p w14:paraId="7795F37B" w14:textId="2720E490" w:rsidR="004E32BC" w:rsidRDefault="00797790">
            <w:pPr>
              <w:spacing w:after="200"/>
              <w:rPr>
                <w:rFonts w:ascii="Calibri" w:eastAsia="Calibri" w:hAnsi="Calibri" w:cs="Calibri"/>
              </w:rPr>
            </w:pPr>
            <w:r>
              <w:rPr>
                <w:rFonts w:ascii="Calibri" w:eastAsia="Calibri" w:hAnsi="Calibri" w:cs="Calibri"/>
              </w:rPr>
              <w:t>5</w:t>
            </w:r>
          </w:p>
        </w:tc>
        <w:tc>
          <w:tcPr>
            <w:tcW w:w="3827" w:type="dxa"/>
          </w:tcPr>
          <w:p w14:paraId="4EAAA301" w14:textId="2928B9FE" w:rsidR="004E32BC" w:rsidRDefault="004E32BC">
            <w:pPr>
              <w:spacing w:after="200"/>
              <w:rPr>
                <w:rFonts w:ascii="Calibri" w:eastAsia="Calibri" w:hAnsi="Calibri" w:cs="Calibri"/>
              </w:rPr>
            </w:pPr>
            <w:r>
              <w:rPr>
                <w:rFonts w:ascii="Calibri" w:eastAsia="Calibri" w:hAnsi="Calibri" w:cs="Calibri"/>
              </w:rPr>
              <w:t>Hospitalar de Alta Complexidade</w:t>
            </w:r>
          </w:p>
        </w:tc>
        <w:tc>
          <w:tcPr>
            <w:tcW w:w="1701" w:type="dxa"/>
          </w:tcPr>
          <w:p w14:paraId="033C37CE" w14:textId="4B464EC4" w:rsidR="004E32BC" w:rsidRDefault="00797790">
            <w:pPr>
              <w:spacing w:after="200"/>
              <w:rPr>
                <w:rFonts w:ascii="Calibri" w:eastAsia="Calibri" w:hAnsi="Calibri" w:cs="Calibri"/>
              </w:rPr>
            </w:pPr>
            <w:r>
              <w:rPr>
                <w:rFonts w:ascii="Calibri" w:eastAsia="Calibri" w:hAnsi="Calibri" w:cs="Calibri"/>
              </w:rPr>
              <w:t>VALSIH_A</w:t>
            </w:r>
          </w:p>
        </w:tc>
      </w:tr>
      <w:tr w:rsidR="004E32BC" w14:paraId="4FA333C6" w14:textId="77777777" w:rsidTr="00797790">
        <w:trPr>
          <w:jc w:val="center"/>
        </w:trPr>
        <w:tc>
          <w:tcPr>
            <w:tcW w:w="988" w:type="dxa"/>
          </w:tcPr>
          <w:p w14:paraId="7ADC97D4" w14:textId="3FFE06B2" w:rsidR="004E32BC" w:rsidRDefault="00797790">
            <w:pPr>
              <w:spacing w:after="200"/>
              <w:rPr>
                <w:rFonts w:ascii="Calibri" w:eastAsia="Calibri" w:hAnsi="Calibri" w:cs="Calibri"/>
              </w:rPr>
            </w:pPr>
            <w:r>
              <w:rPr>
                <w:rFonts w:ascii="Calibri" w:eastAsia="Calibri" w:hAnsi="Calibri" w:cs="Calibri"/>
              </w:rPr>
              <w:t>6</w:t>
            </w:r>
          </w:p>
        </w:tc>
        <w:tc>
          <w:tcPr>
            <w:tcW w:w="3827" w:type="dxa"/>
          </w:tcPr>
          <w:p w14:paraId="7BB9883D" w14:textId="3623F9C8" w:rsidR="004E32BC" w:rsidRDefault="004E32BC">
            <w:pPr>
              <w:spacing w:after="200"/>
              <w:rPr>
                <w:rFonts w:ascii="Calibri" w:eastAsia="Calibri" w:hAnsi="Calibri" w:cs="Calibri"/>
              </w:rPr>
            </w:pPr>
            <w:r>
              <w:rPr>
                <w:rFonts w:ascii="Calibri" w:eastAsia="Calibri" w:hAnsi="Calibri" w:cs="Calibri"/>
              </w:rPr>
              <w:t>Incentivos</w:t>
            </w:r>
          </w:p>
        </w:tc>
        <w:tc>
          <w:tcPr>
            <w:tcW w:w="1701" w:type="dxa"/>
          </w:tcPr>
          <w:p w14:paraId="17AC7F7A" w14:textId="1E0FAB48" w:rsidR="004E32BC" w:rsidRDefault="00797790">
            <w:pPr>
              <w:spacing w:after="200"/>
              <w:rPr>
                <w:rFonts w:ascii="Calibri" w:eastAsia="Calibri" w:hAnsi="Calibri" w:cs="Calibri"/>
              </w:rPr>
            </w:pPr>
            <w:r>
              <w:rPr>
                <w:rFonts w:ascii="Calibri" w:eastAsia="Calibri" w:hAnsi="Calibri" w:cs="Calibri"/>
              </w:rPr>
              <w:t>INCENTIVO</w:t>
            </w:r>
          </w:p>
        </w:tc>
      </w:tr>
      <w:tr w:rsidR="004E32BC" w14:paraId="65501690" w14:textId="77777777" w:rsidTr="00797790">
        <w:trPr>
          <w:jc w:val="center"/>
        </w:trPr>
        <w:tc>
          <w:tcPr>
            <w:tcW w:w="988" w:type="dxa"/>
          </w:tcPr>
          <w:p w14:paraId="43062592" w14:textId="20456698" w:rsidR="004E32BC" w:rsidRDefault="00797790">
            <w:pPr>
              <w:spacing w:after="200"/>
              <w:rPr>
                <w:rFonts w:ascii="Calibri" w:eastAsia="Calibri" w:hAnsi="Calibri" w:cs="Calibri"/>
              </w:rPr>
            </w:pPr>
            <w:r>
              <w:rPr>
                <w:rFonts w:ascii="Calibri" w:eastAsia="Calibri" w:hAnsi="Calibri" w:cs="Calibri"/>
              </w:rPr>
              <w:t>7</w:t>
            </w:r>
          </w:p>
        </w:tc>
        <w:tc>
          <w:tcPr>
            <w:tcW w:w="3827" w:type="dxa"/>
          </w:tcPr>
          <w:p w14:paraId="5DDC286E" w14:textId="4F7B62F0" w:rsidR="004E32BC" w:rsidRDefault="004E32BC">
            <w:pPr>
              <w:spacing w:after="200"/>
              <w:rPr>
                <w:rFonts w:ascii="Calibri" w:eastAsia="Calibri" w:hAnsi="Calibri" w:cs="Calibri"/>
              </w:rPr>
            </w:pPr>
            <w:proofErr w:type="spellStart"/>
            <w:r>
              <w:rPr>
                <w:rFonts w:ascii="Calibri" w:eastAsia="Calibri" w:hAnsi="Calibri" w:cs="Calibri"/>
              </w:rPr>
              <w:t>Macroalocado</w:t>
            </w:r>
            <w:proofErr w:type="spellEnd"/>
          </w:p>
        </w:tc>
        <w:tc>
          <w:tcPr>
            <w:tcW w:w="1701" w:type="dxa"/>
          </w:tcPr>
          <w:p w14:paraId="6207EE5B" w14:textId="20788A8A" w:rsidR="004E32BC" w:rsidRDefault="00797790">
            <w:pPr>
              <w:spacing w:after="200"/>
              <w:rPr>
                <w:rFonts w:ascii="Calibri" w:eastAsia="Calibri" w:hAnsi="Calibri" w:cs="Calibri"/>
              </w:rPr>
            </w:pPr>
            <w:r>
              <w:rPr>
                <w:rFonts w:ascii="Calibri" w:eastAsia="Calibri" w:hAnsi="Calibri" w:cs="Calibri"/>
              </w:rPr>
              <w:t>MACROALOC</w:t>
            </w:r>
          </w:p>
        </w:tc>
      </w:tr>
      <w:tr w:rsidR="004E32BC" w14:paraId="34249A1D" w14:textId="77777777" w:rsidTr="00797790">
        <w:trPr>
          <w:jc w:val="center"/>
        </w:trPr>
        <w:tc>
          <w:tcPr>
            <w:tcW w:w="988" w:type="dxa"/>
          </w:tcPr>
          <w:p w14:paraId="4C7E75AB" w14:textId="598FB6B5" w:rsidR="004E32BC" w:rsidRDefault="00797790">
            <w:pPr>
              <w:spacing w:after="200"/>
              <w:rPr>
                <w:rFonts w:ascii="Calibri" w:eastAsia="Calibri" w:hAnsi="Calibri" w:cs="Calibri"/>
              </w:rPr>
            </w:pPr>
            <w:r>
              <w:rPr>
                <w:rFonts w:ascii="Calibri" w:eastAsia="Calibri" w:hAnsi="Calibri" w:cs="Calibri"/>
              </w:rPr>
              <w:t>8</w:t>
            </w:r>
          </w:p>
        </w:tc>
        <w:tc>
          <w:tcPr>
            <w:tcW w:w="3827" w:type="dxa"/>
          </w:tcPr>
          <w:p w14:paraId="2A74F56B" w14:textId="5F9AAC1D" w:rsidR="004E32BC" w:rsidRDefault="004E32BC">
            <w:pPr>
              <w:spacing w:after="200"/>
              <w:rPr>
                <w:rFonts w:ascii="Calibri" w:eastAsia="Calibri" w:hAnsi="Calibri" w:cs="Calibri"/>
              </w:rPr>
            </w:pPr>
            <w:r>
              <w:rPr>
                <w:rFonts w:ascii="Calibri" w:eastAsia="Calibri" w:hAnsi="Calibri" w:cs="Calibri"/>
              </w:rPr>
              <w:t>Reserva Técnica</w:t>
            </w:r>
          </w:p>
        </w:tc>
        <w:tc>
          <w:tcPr>
            <w:tcW w:w="1701" w:type="dxa"/>
          </w:tcPr>
          <w:p w14:paraId="63F7CA9B" w14:textId="5AB4AB76" w:rsidR="004E32BC" w:rsidRDefault="00797790">
            <w:pPr>
              <w:spacing w:after="200"/>
              <w:rPr>
                <w:rFonts w:ascii="Calibri" w:eastAsia="Calibri" w:hAnsi="Calibri" w:cs="Calibri"/>
              </w:rPr>
            </w:pPr>
            <w:r>
              <w:rPr>
                <w:rFonts w:ascii="Calibri" w:eastAsia="Calibri" w:hAnsi="Calibri" w:cs="Calibri"/>
              </w:rPr>
              <w:t>RESERVATEC</w:t>
            </w:r>
          </w:p>
        </w:tc>
      </w:tr>
      <w:tr w:rsidR="004E32BC" w14:paraId="0594A707" w14:textId="77777777" w:rsidTr="00797790">
        <w:trPr>
          <w:jc w:val="center"/>
        </w:trPr>
        <w:tc>
          <w:tcPr>
            <w:tcW w:w="988" w:type="dxa"/>
          </w:tcPr>
          <w:p w14:paraId="4AB6A53D" w14:textId="33E6A6C2" w:rsidR="004E32BC" w:rsidRDefault="00797790">
            <w:pPr>
              <w:spacing w:after="200"/>
              <w:rPr>
                <w:rFonts w:ascii="Calibri" w:eastAsia="Calibri" w:hAnsi="Calibri" w:cs="Calibri"/>
              </w:rPr>
            </w:pPr>
            <w:r>
              <w:rPr>
                <w:rFonts w:ascii="Calibri" w:eastAsia="Calibri" w:hAnsi="Calibri" w:cs="Calibri"/>
              </w:rPr>
              <w:t>9</w:t>
            </w:r>
          </w:p>
        </w:tc>
        <w:tc>
          <w:tcPr>
            <w:tcW w:w="3827" w:type="dxa"/>
          </w:tcPr>
          <w:p w14:paraId="5BEDFEA8" w14:textId="6947AC78" w:rsidR="004E32BC" w:rsidRDefault="004E32BC">
            <w:pPr>
              <w:spacing w:after="200"/>
              <w:rPr>
                <w:rFonts w:ascii="Calibri" w:eastAsia="Calibri" w:hAnsi="Calibri" w:cs="Calibri"/>
              </w:rPr>
            </w:pPr>
            <w:r>
              <w:rPr>
                <w:rFonts w:ascii="Calibri" w:eastAsia="Calibri" w:hAnsi="Calibri" w:cs="Calibri"/>
              </w:rPr>
              <w:t>FAEC</w:t>
            </w:r>
          </w:p>
        </w:tc>
        <w:tc>
          <w:tcPr>
            <w:tcW w:w="1701" w:type="dxa"/>
          </w:tcPr>
          <w:p w14:paraId="544F69A4" w14:textId="7DE4C5D2" w:rsidR="004E32BC" w:rsidRDefault="00797790">
            <w:pPr>
              <w:spacing w:after="200"/>
              <w:rPr>
                <w:rFonts w:ascii="Calibri" w:eastAsia="Calibri" w:hAnsi="Calibri" w:cs="Calibri"/>
              </w:rPr>
            </w:pPr>
            <w:r>
              <w:rPr>
                <w:rFonts w:ascii="Calibri" w:eastAsia="Calibri" w:hAnsi="Calibri" w:cs="Calibri"/>
              </w:rPr>
              <w:t>FAEC</w:t>
            </w:r>
          </w:p>
        </w:tc>
      </w:tr>
      <w:tr w:rsidR="004E32BC" w14:paraId="1DD9A7A1" w14:textId="77777777" w:rsidTr="00797790">
        <w:trPr>
          <w:jc w:val="center"/>
        </w:trPr>
        <w:tc>
          <w:tcPr>
            <w:tcW w:w="988" w:type="dxa"/>
          </w:tcPr>
          <w:p w14:paraId="46EE0590" w14:textId="4414D729" w:rsidR="004E32BC" w:rsidRDefault="00797790">
            <w:pPr>
              <w:spacing w:after="200"/>
              <w:rPr>
                <w:rFonts w:ascii="Calibri" w:eastAsia="Calibri" w:hAnsi="Calibri" w:cs="Calibri"/>
              </w:rPr>
            </w:pPr>
            <w:r>
              <w:rPr>
                <w:rFonts w:ascii="Calibri" w:eastAsia="Calibri" w:hAnsi="Calibri" w:cs="Calibri"/>
              </w:rPr>
              <w:t>10</w:t>
            </w:r>
          </w:p>
        </w:tc>
        <w:tc>
          <w:tcPr>
            <w:tcW w:w="3827" w:type="dxa"/>
          </w:tcPr>
          <w:p w14:paraId="34584E23" w14:textId="2F0D9DAF" w:rsidR="004E32BC" w:rsidRDefault="004E32BC">
            <w:pPr>
              <w:spacing w:after="200"/>
              <w:rPr>
                <w:rFonts w:ascii="Calibri" w:eastAsia="Calibri" w:hAnsi="Calibri" w:cs="Calibri"/>
              </w:rPr>
            </w:pPr>
            <w:r>
              <w:rPr>
                <w:rFonts w:ascii="Calibri" w:eastAsia="Calibri" w:hAnsi="Calibri" w:cs="Calibri"/>
              </w:rPr>
              <w:t>Ass</w:t>
            </w:r>
            <w:r w:rsidR="00797790">
              <w:rPr>
                <w:rFonts w:ascii="Calibri" w:eastAsia="Calibri" w:hAnsi="Calibri" w:cs="Calibri"/>
              </w:rPr>
              <w:t>istência Farmacêutica</w:t>
            </w:r>
          </w:p>
        </w:tc>
        <w:tc>
          <w:tcPr>
            <w:tcW w:w="1701" w:type="dxa"/>
          </w:tcPr>
          <w:p w14:paraId="3ABA72FA" w14:textId="60EC5A7E" w:rsidR="004E32BC" w:rsidRDefault="00797790">
            <w:pPr>
              <w:spacing w:after="200"/>
              <w:rPr>
                <w:rFonts w:ascii="Calibri" w:eastAsia="Calibri" w:hAnsi="Calibri" w:cs="Calibri"/>
              </w:rPr>
            </w:pPr>
            <w:r>
              <w:rPr>
                <w:rFonts w:ascii="Calibri" w:eastAsia="Calibri" w:hAnsi="Calibri" w:cs="Calibri"/>
              </w:rPr>
              <w:t>ASS_FARM</w:t>
            </w:r>
          </w:p>
        </w:tc>
      </w:tr>
      <w:tr w:rsidR="00797790" w14:paraId="786B10AA" w14:textId="77777777" w:rsidTr="00797790">
        <w:trPr>
          <w:jc w:val="center"/>
        </w:trPr>
        <w:tc>
          <w:tcPr>
            <w:tcW w:w="988" w:type="dxa"/>
          </w:tcPr>
          <w:p w14:paraId="6E4A3967" w14:textId="79A7A1B8" w:rsidR="00797790" w:rsidRDefault="00797790">
            <w:pPr>
              <w:spacing w:after="200"/>
              <w:rPr>
                <w:rFonts w:ascii="Calibri" w:eastAsia="Calibri" w:hAnsi="Calibri" w:cs="Calibri"/>
              </w:rPr>
            </w:pPr>
            <w:r>
              <w:rPr>
                <w:rFonts w:ascii="Calibri" w:eastAsia="Calibri" w:hAnsi="Calibri" w:cs="Calibri"/>
              </w:rPr>
              <w:t>11</w:t>
            </w:r>
          </w:p>
        </w:tc>
        <w:tc>
          <w:tcPr>
            <w:tcW w:w="3827" w:type="dxa"/>
          </w:tcPr>
          <w:p w14:paraId="30890BE5" w14:textId="60FC10C6" w:rsidR="00797790" w:rsidRDefault="00797790">
            <w:pPr>
              <w:spacing w:after="200"/>
              <w:rPr>
                <w:rFonts w:ascii="Calibri" w:eastAsia="Calibri" w:hAnsi="Calibri" w:cs="Calibri"/>
              </w:rPr>
            </w:pPr>
            <w:r>
              <w:rPr>
                <w:rFonts w:ascii="Calibri" w:eastAsia="Calibri" w:hAnsi="Calibri" w:cs="Calibri"/>
              </w:rPr>
              <w:t>Incentivos MAC</w:t>
            </w:r>
          </w:p>
        </w:tc>
        <w:tc>
          <w:tcPr>
            <w:tcW w:w="1701" w:type="dxa"/>
          </w:tcPr>
          <w:p w14:paraId="149A2430" w14:textId="3E8E84BB" w:rsidR="00797790" w:rsidRDefault="00797790">
            <w:pPr>
              <w:spacing w:after="200"/>
              <w:rPr>
                <w:rFonts w:ascii="Calibri" w:eastAsia="Calibri" w:hAnsi="Calibri" w:cs="Calibri"/>
              </w:rPr>
            </w:pPr>
            <w:r>
              <w:rPr>
                <w:rFonts w:ascii="Calibri" w:eastAsia="Calibri" w:hAnsi="Calibri" w:cs="Calibri"/>
              </w:rPr>
              <w:t>INC_MAC</w:t>
            </w:r>
          </w:p>
        </w:tc>
      </w:tr>
      <w:tr w:rsidR="00797790" w14:paraId="1B939159" w14:textId="77777777" w:rsidTr="00797790">
        <w:trPr>
          <w:jc w:val="center"/>
        </w:trPr>
        <w:tc>
          <w:tcPr>
            <w:tcW w:w="988" w:type="dxa"/>
          </w:tcPr>
          <w:p w14:paraId="391DB255" w14:textId="7A367687" w:rsidR="00797790" w:rsidRDefault="00797790">
            <w:pPr>
              <w:spacing w:after="200"/>
              <w:rPr>
                <w:rFonts w:ascii="Calibri" w:eastAsia="Calibri" w:hAnsi="Calibri" w:cs="Calibri"/>
              </w:rPr>
            </w:pPr>
            <w:r>
              <w:rPr>
                <w:rFonts w:ascii="Calibri" w:eastAsia="Calibri" w:hAnsi="Calibri" w:cs="Calibri"/>
              </w:rPr>
              <w:t>12</w:t>
            </w:r>
          </w:p>
        </w:tc>
        <w:tc>
          <w:tcPr>
            <w:tcW w:w="3827" w:type="dxa"/>
          </w:tcPr>
          <w:p w14:paraId="434F296A" w14:textId="7EE52208" w:rsidR="00797790" w:rsidRDefault="00797790">
            <w:pPr>
              <w:spacing w:after="200"/>
              <w:rPr>
                <w:rFonts w:ascii="Calibri" w:eastAsia="Calibri" w:hAnsi="Calibri" w:cs="Calibri"/>
              </w:rPr>
            </w:pPr>
            <w:r>
              <w:rPr>
                <w:rFonts w:ascii="Calibri" w:eastAsia="Calibri" w:hAnsi="Calibri" w:cs="Calibri"/>
              </w:rPr>
              <w:t>Vigilância em Saúde</w:t>
            </w:r>
          </w:p>
        </w:tc>
        <w:tc>
          <w:tcPr>
            <w:tcW w:w="1701" w:type="dxa"/>
          </w:tcPr>
          <w:p w14:paraId="4EF4ACBC" w14:textId="27D93B95" w:rsidR="00797790" w:rsidRDefault="00797790">
            <w:pPr>
              <w:spacing w:after="200"/>
              <w:rPr>
                <w:rFonts w:ascii="Calibri" w:eastAsia="Calibri" w:hAnsi="Calibri" w:cs="Calibri"/>
              </w:rPr>
            </w:pPr>
            <w:r>
              <w:rPr>
                <w:rFonts w:ascii="Calibri" w:eastAsia="Calibri" w:hAnsi="Calibri" w:cs="Calibri"/>
              </w:rPr>
              <w:t>VIG_SAUDE</w:t>
            </w:r>
          </w:p>
        </w:tc>
      </w:tr>
      <w:tr w:rsidR="00797790" w14:paraId="104735D2" w14:textId="77777777" w:rsidTr="00797790">
        <w:trPr>
          <w:jc w:val="center"/>
        </w:trPr>
        <w:tc>
          <w:tcPr>
            <w:tcW w:w="988" w:type="dxa"/>
          </w:tcPr>
          <w:p w14:paraId="5042B30A" w14:textId="6F07BD55" w:rsidR="00797790" w:rsidRDefault="00797790">
            <w:pPr>
              <w:spacing w:after="200"/>
              <w:rPr>
                <w:rFonts w:ascii="Calibri" w:eastAsia="Calibri" w:hAnsi="Calibri" w:cs="Calibri"/>
              </w:rPr>
            </w:pPr>
            <w:r>
              <w:rPr>
                <w:rFonts w:ascii="Calibri" w:eastAsia="Calibri" w:hAnsi="Calibri" w:cs="Calibri"/>
              </w:rPr>
              <w:t>13</w:t>
            </w:r>
          </w:p>
        </w:tc>
        <w:tc>
          <w:tcPr>
            <w:tcW w:w="3827" w:type="dxa"/>
          </w:tcPr>
          <w:p w14:paraId="29DB6292" w14:textId="688C965C" w:rsidR="00797790" w:rsidRDefault="00797790">
            <w:pPr>
              <w:spacing w:after="200"/>
              <w:rPr>
                <w:rFonts w:ascii="Calibri" w:eastAsia="Calibri" w:hAnsi="Calibri" w:cs="Calibri"/>
              </w:rPr>
            </w:pPr>
            <w:r>
              <w:rPr>
                <w:rFonts w:ascii="Calibri" w:eastAsia="Calibri" w:hAnsi="Calibri" w:cs="Calibri"/>
              </w:rPr>
              <w:t>Termo de Cessão de Crédito</w:t>
            </w:r>
          </w:p>
        </w:tc>
        <w:tc>
          <w:tcPr>
            <w:tcW w:w="1701" w:type="dxa"/>
          </w:tcPr>
          <w:p w14:paraId="60615002" w14:textId="450DAD14" w:rsidR="00797790" w:rsidRDefault="00797790">
            <w:pPr>
              <w:spacing w:after="200"/>
              <w:rPr>
                <w:rFonts w:ascii="Calibri" w:eastAsia="Calibri" w:hAnsi="Calibri" w:cs="Calibri"/>
              </w:rPr>
            </w:pPr>
            <w:r>
              <w:rPr>
                <w:rFonts w:ascii="Calibri" w:eastAsia="Calibri" w:hAnsi="Calibri" w:cs="Calibri"/>
              </w:rPr>
              <w:t>CESS_CRED</w:t>
            </w:r>
          </w:p>
        </w:tc>
      </w:tr>
    </w:tbl>
    <w:p w14:paraId="20A168B9" w14:textId="28941D49" w:rsidR="00935D9F" w:rsidRDefault="00935D9F">
      <w:pPr>
        <w:rPr>
          <w:rFonts w:ascii="Calibri" w:eastAsia="Calibri" w:hAnsi="Calibri" w:cs="Calibri"/>
        </w:rPr>
      </w:pPr>
    </w:p>
    <w:p w14:paraId="0C3BF9D1" w14:textId="7751BB77" w:rsidR="00EB792A" w:rsidRDefault="009948F8" w:rsidP="0048640A">
      <w:pPr>
        <w:spacing w:line="360" w:lineRule="auto"/>
        <w:ind w:firstLine="720"/>
        <w:jc w:val="both"/>
        <w:rPr>
          <w:rFonts w:ascii="Calibri" w:eastAsia="Calibri" w:hAnsi="Calibri" w:cs="Calibri"/>
        </w:rPr>
      </w:pPr>
      <w:r>
        <w:rPr>
          <w:rFonts w:ascii="Calibri" w:eastAsia="Calibri" w:hAnsi="Calibri" w:cs="Calibri"/>
        </w:rPr>
        <w:t>Esta distribuição financeira é importante porque</w:t>
      </w:r>
      <w:r w:rsidR="0048640A">
        <w:rPr>
          <w:rFonts w:ascii="Calibri" w:eastAsia="Calibri" w:hAnsi="Calibri" w:cs="Calibri"/>
        </w:rPr>
        <w:t>,</w:t>
      </w:r>
      <w:r>
        <w:rPr>
          <w:rFonts w:ascii="Calibri" w:eastAsia="Calibri" w:hAnsi="Calibri" w:cs="Calibri"/>
        </w:rPr>
        <w:t xml:space="preserve"> além de compor o banco da PPI/MG, ela serve de subsídio para</w:t>
      </w:r>
      <w:r w:rsidR="0048640A">
        <w:rPr>
          <w:rFonts w:ascii="Calibri" w:eastAsia="Calibri" w:hAnsi="Calibri" w:cs="Calibri"/>
        </w:rPr>
        <w:t xml:space="preserve"> a confecção dos arquivos </w:t>
      </w:r>
      <w:r>
        <w:rPr>
          <w:rFonts w:ascii="Calibri" w:eastAsia="Calibri" w:hAnsi="Calibri" w:cs="Calibri"/>
        </w:rPr>
        <w:t>enviado</w:t>
      </w:r>
      <w:r w:rsidR="0048640A">
        <w:rPr>
          <w:rFonts w:ascii="Calibri" w:eastAsia="Calibri" w:hAnsi="Calibri" w:cs="Calibri"/>
        </w:rPr>
        <w:t>s a</w:t>
      </w:r>
      <w:r>
        <w:rPr>
          <w:rFonts w:ascii="Calibri" w:eastAsia="Calibri" w:hAnsi="Calibri" w:cs="Calibri"/>
        </w:rPr>
        <w:t xml:space="preserve"> D</w:t>
      </w:r>
      <w:r w:rsidR="0048640A">
        <w:rPr>
          <w:rFonts w:ascii="Calibri" w:eastAsia="Calibri" w:hAnsi="Calibri" w:cs="Calibri"/>
        </w:rPr>
        <w:t>iretoria de Programação e Monitoramento de Recursos</w:t>
      </w:r>
      <w:r>
        <w:rPr>
          <w:rFonts w:ascii="Calibri" w:eastAsia="Calibri" w:hAnsi="Calibri" w:cs="Calibri"/>
        </w:rPr>
        <w:t xml:space="preserve"> para </w:t>
      </w:r>
      <w:r w:rsidR="0048640A">
        <w:rPr>
          <w:rFonts w:ascii="Calibri" w:eastAsia="Calibri" w:hAnsi="Calibri" w:cs="Calibri"/>
        </w:rPr>
        <w:t xml:space="preserve">que possam </w:t>
      </w:r>
      <w:r>
        <w:rPr>
          <w:rFonts w:ascii="Calibri" w:eastAsia="Calibri" w:hAnsi="Calibri" w:cs="Calibri"/>
        </w:rPr>
        <w:t xml:space="preserve">efetuar o repasse para os prestadores sob a gestão do Estado. O arquivo enviado para pagamento pela </w:t>
      </w:r>
      <w:r w:rsidR="0048640A">
        <w:rPr>
          <w:rFonts w:ascii="Calibri" w:eastAsia="Calibri" w:hAnsi="Calibri" w:cs="Calibri"/>
        </w:rPr>
        <w:t>DPMR</w:t>
      </w:r>
      <w:r>
        <w:rPr>
          <w:rFonts w:ascii="Calibri" w:eastAsia="Calibri" w:hAnsi="Calibri" w:cs="Calibri"/>
        </w:rPr>
        <w:t xml:space="preserve"> também possui informações que são fornecidas pela diretoria de Contratos. Estas informaçõ</w:t>
      </w:r>
      <w:r w:rsidR="0048640A">
        <w:rPr>
          <w:rFonts w:ascii="Calibri" w:eastAsia="Calibri" w:hAnsi="Calibri" w:cs="Calibri"/>
        </w:rPr>
        <w:t xml:space="preserve">es são consolidadas pela DPPI </w:t>
      </w:r>
      <w:r>
        <w:rPr>
          <w:rFonts w:ascii="Calibri" w:eastAsia="Calibri" w:hAnsi="Calibri" w:cs="Calibri"/>
        </w:rPr>
        <w:t>mensalmente.</w:t>
      </w:r>
    </w:p>
    <w:p w14:paraId="1591BF31" w14:textId="77777777" w:rsidR="0048640A" w:rsidRPr="0048640A" w:rsidRDefault="0048640A" w:rsidP="0048640A">
      <w:pPr>
        <w:spacing w:line="360" w:lineRule="auto"/>
        <w:ind w:firstLine="720"/>
        <w:jc w:val="both"/>
        <w:rPr>
          <w:rFonts w:ascii="Calibri" w:eastAsia="Calibri" w:hAnsi="Calibri" w:cs="Calibri"/>
        </w:rPr>
      </w:pPr>
    </w:p>
    <w:p w14:paraId="696C25B1" w14:textId="40CE2050" w:rsidR="00935D9F" w:rsidRPr="0048640A" w:rsidRDefault="009948F8">
      <w:pPr>
        <w:spacing w:after="200" w:line="360" w:lineRule="auto"/>
        <w:jc w:val="both"/>
        <w:rPr>
          <w:rFonts w:ascii="Calibri" w:eastAsia="Calibri" w:hAnsi="Calibri" w:cs="Calibri"/>
          <w:b/>
          <w:u w:val="single"/>
        </w:rPr>
      </w:pPr>
      <w:r w:rsidRPr="0048640A">
        <w:rPr>
          <w:rFonts w:ascii="Calibri" w:eastAsia="Calibri" w:hAnsi="Calibri" w:cs="Calibri"/>
          <w:b/>
          <w:u w:val="single"/>
        </w:rPr>
        <w:t>Complemento: Teto Mac Retroalimentação (Ministério Da Saúde, Estado de Minas Gerais e Municípios)</w:t>
      </w:r>
    </w:p>
    <w:p w14:paraId="2DAD6DD1" w14:textId="53DBD13A" w:rsidR="004653F1" w:rsidRDefault="009948F8" w:rsidP="00F066AF">
      <w:pPr>
        <w:spacing w:line="360" w:lineRule="auto"/>
        <w:ind w:firstLine="720"/>
        <w:jc w:val="both"/>
        <w:rPr>
          <w:rFonts w:ascii="Calibri" w:eastAsia="Calibri" w:hAnsi="Calibri" w:cs="Calibri"/>
        </w:rPr>
      </w:pPr>
      <w:r>
        <w:rPr>
          <w:rFonts w:ascii="Calibri" w:eastAsia="Calibri" w:hAnsi="Calibri" w:cs="Calibri"/>
        </w:rPr>
        <w:t xml:space="preserve">A </w:t>
      </w:r>
      <w:r w:rsidR="00B7445A">
        <w:rPr>
          <w:rFonts w:ascii="Calibri" w:eastAsia="Calibri" w:hAnsi="Calibri" w:cs="Calibri"/>
        </w:rPr>
        <w:t xml:space="preserve">partir da publicação de portarias ministeriais no SISMAC, </w:t>
      </w:r>
      <w:r w:rsidR="009925F0">
        <w:rPr>
          <w:rFonts w:ascii="Calibri" w:eastAsia="Calibri" w:hAnsi="Calibri" w:cs="Calibri"/>
        </w:rPr>
        <w:t>a DPPI juntamente com as áreas técnicas elabora</w:t>
      </w:r>
      <w:r w:rsidR="004653F1">
        <w:rPr>
          <w:rFonts w:ascii="Calibri" w:eastAsia="Calibri" w:hAnsi="Calibri" w:cs="Calibri"/>
        </w:rPr>
        <w:t xml:space="preserve"> estudos técnicos visando a programação efetiva dos recursos federais. Caso o estudo exija uma complexidade maior, a Diretoria elabora Deliberações e Notas Técnicas com alocação prévia para que os recursos entrem para o teto do município ou no teto do Estado, porém dentro das Formas de Organização. </w:t>
      </w:r>
    </w:p>
    <w:p w14:paraId="28728B5F" w14:textId="77777777" w:rsidR="004A7F50" w:rsidRDefault="004A7F50" w:rsidP="00F066AF">
      <w:pPr>
        <w:spacing w:line="360" w:lineRule="auto"/>
        <w:ind w:firstLine="720"/>
        <w:jc w:val="both"/>
        <w:rPr>
          <w:rFonts w:ascii="Calibri" w:eastAsia="Calibri" w:hAnsi="Calibri" w:cs="Calibri"/>
        </w:rPr>
      </w:pPr>
    </w:p>
    <w:p w14:paraId="5E28C028" w14:textId="6746C82F" w:rsidR="00B7445A" w:rsidRDefault="004653F1" w:rsidP="00F066AF">
      <w:pPr>
        <w:spacing w:line="360" w:lineRule="auto"/>
        <w:ind w:firstLine="720"/>
        <w:jc w:val="both"/>
        <w:rPr>
          <w:rFonts w:ascii="Calibri" w:eastAsia="Calibri" w:hAnsi="Calibri" w:cs="Calibri"/>
        </w:rPr>
      </w:pPr>
      <w:r>
        <w:rPr>
          <w:rFonts w:ascii="Calibri" w:eastAsia="Calibri" w:hAnsi="Calibri" w:cs="Calibri"/>
        </w:rPr>
        <w:t xml:space="preserve">Caso não seja possível em nenhum dos casos citados, o recurso é programado no </w:t>
      </w:r>
      <w:proofErr w:type="spellStart"/>
      <w:r>
        <w:rPr>
          <w:rFonts w:ascii="Calibri" w:eastAsia="Calibri" w:hAnsi="Calibri" w:cs="Calibri"/>
        </w:rPr>
        <w:t>Macroalocado</w:t>
      </w:r>
      <w:proofErr w:type="spellEnd"/>
      <w:r>
        <w:rPr>
          <w:rFonts w:ascii="Calibri" w:eastAsia="Calibri" w:hAnsi="Calibri" w:cs="Calibri"/>
        </w:rPr>
        <w:t xml:space="preserve"> enquanto aguarda definição:</w:t>
      </w:r>
    </w:p>
    <w:p w14:paraId="0B7DA55D" w14:textId="31955070" w:rsidR="00935D9F" w:rsidRDefault="00935D9F" w:rsidP="004653F1">
      <w:pPr>
        <w:spacing w:line="360" w:lineRule="auto"/>
        <w:jc w:val="both"/>
        <w:rPr>
          <w:rFonts w:ascii="Calibri" w:eastAsia="Calibri" w:hAnsi="Calibri" w:cs="Calibri"/>
        </w:rPr>
      </w:pPr>
    </w:p>
    <w:p w14:paraId="7BD2D8DB" w14:textId="75A2CBA9" w:rsidR="004653F1" w:rsidRPr="004653F1" w:rsidRDefault="004653F1" w:rsidP="004653F1">
      <w:pPr>
        <w:pStyle w:val="PargrafodaLista"/>
        <w:spacing w:line="360" w:lineRule="auto"/>
        <w:ind w:left="426"/>
        <w:jc w:val="both"/>
        <w:rPr>
          <w:sz w:val="24"/>
          <w:szCs w:val="24"/>
        </w:rPr>
      </w:pPr>
      <w:r>
        <w:rPr>
          <w:rFonts w:ascii="Calibri" w:eastAsia="Calibri" w:hAnsi="Calibri" w:cs="Calibri"/>
        </w:rPr>
        <w:lastRenderedPageBreak/>
        <w:t>-</w:t>
      </w:r>
      <w:r>
        <w:rPr>
          <w:rFonts w:ascii="Calibri" w:eastAsia="Calibri" w:hAnsi="Calibri" w:cs="Calibri"/>
        </w:rPr>
        <w:tab/>
      </w:r>
      <w:r w:rsidR="009948F8" w:rsidRPr="004653F1">
        <w:rPr>
          <w:rFonts w:ascii="Calibri" w:eastAsia="Calibri" w:hAnsi="Calibri" w:cs="Calibri"/>
        </w:rPr>
        <w:t>Subgrupo 0990 e 0991: subgrupos onde as portarias que não pos</w:t>
      </w:r>
      <w:r>
        <w:rPr>
          <w:rFonts w:ascii="Calibri" w:eastAsia="Calibri" w:hAnsi="Calibri" w:cs="Calibri"/>
        </w:rPr>
        <w:t xml:space="preserve">suem nenhuma classificação </w:t>
      </w:r>
      <w:r w:rsidR="009948F8" w:rsidRPr="004653F1">
        <w:rPr>
          <w:rFonts w:ascii="Calibri" w:eastAsia="Calibri" w:hAnsi="Calibri" w:cs="Calibri"/>
        </w:rPr>
        <w:t>ficam alocadas até que sejam programadas através de Deliberação ou Nota técnica;</w:t>
      </w:r>
    </w:p>
    <w:p w14:paraId="31B40E14" w14:textId="77777777" w:rsidR="00495E3F" w:rsidRDefault="004653F1" w:rsidP="00495E3F">
      <w:pPr>
        <w:pStyle w:val="PargrafodaLista"/>
        <w:spacing w:after="200" w:line="360" w:lineRule="auto"/>
        <w:ind w:left="426"/>
        <w:jc w:val="both"/>
        <w:rPr>
          <w:rFonts w:ascii="Calibri" w:eastAsia="Calibri" w:hAnsi="Calibri" w:cs="Calibri"/>
        </w:rPr>
      </w:pPr>
      <w:r>
        <w:rPr>
          <w:rFonts w:ascii="Calibri" w:eastAsia="Calibri" w:hAnsi="Calibri" w:cs="Calibri"/>
        </w:rPr>
        <w:t>-</w:t>
      </w:r>
      <w:r>
        <w:rPr>
          <w:rFonts w:ascii="Calibri" w:eastAsia="Calibri" w:hAnsi="Calibri" w:cs="Calibri"/>
        </w:rPr>
        <w:tab/>
      </w:r>
      <w:r w:rsidR="009948F8" w:rsidRPr="004653F1">
        <w:rPr>
          <w:rFonts w:ascii="Calibri" w:eastAsia="Calibri" w:hAnsi="Calibri" w:cs="Calibri"/>
        </w:rPr>
        <w:t xml:space="preserve">Subgrupos de Futuras Programações: são formas de organização criadas para facilitar a </w:t>
      </w:r>
      <w:r w:rsidR="00503E9F">
        <w:rPr>
          <w:rFonts w:ascii="Calibri" w:eastAsia="Calibri" w:hAnsi="Calibri" w:cs="Calibri"/>
        </w:rPr>
        <w:t xml:space="preserve">distribuição de recursos </w:t>
      </w:r>
      <w:r w:rsidR="00495E3F">
        <w:rPr>
          <w:rFonts w:ascii="Calibri" w:eastAsia="Calibri" w:hAnsi="Calibri" w:cs="Calibri"/>
        </w:rPr>
        <w:t>que</w:t>
      </w:r>
      <w:r w:rsidR="00503E9F">
        <w:rPr>
          <w:rFonts w:ascii="Calibri" w:eastAsia="Calibri" w:hAnsi="Calibri" w:cs="Calibri"/>
        </w:rPr>
        <w:t xml:space="preserve"> ainda não possu</w:t>
      </w:r>
      <w:r w:rsidR="00495E3F">
        <w:rPr>
          <w:rFonts w:ascii="Calibri" w:eastAsia="Calibri" w:hAnsi="Calibri" w:cs="Calibri"/>
        </w:rPr>
        <w:t>em</w:t>
      </w:r>
      <w:r w:rsidR="00503E9F">
        <w:rPr>
          <w:rFonts w:ascii="Calibri" w:eastAsia="Calibri" w:hAnsi="Calibri" w:cs="Calibri"/>
        </w:rPr>
        <w:t xml:space="preserve"> definição da área técnica</w:t>
      </w:r>
      <w:r w:rsidR="009948F8" w:rsidRPr="004653F1">
        <w:rPr>
          <w:rFonts w:ascii="Calibri" w:eastAsia="Calibri" w:hAnsi="Calibri" w:cs="Calibri"/>
        </w:rPr>
        <w:t>. Atualmente as áreas específicas que temos na PPI são: 090612- UTI, 090627- Oncologia, 090629- SIHMC, 090630- Card</w:t>
      </w:r>
      <w:r w:rsidR="00503E9F">
        <w:rPr>
          <w:rFonts w:ascii="Calibri" w:eastAsia="Calibri" w:hAnsi="Calibri" w:cs="Calibri"/>
        </w:rPr>
        <w:t xml:space="preserve">iologia, 090632- Oftalmologia, </w:t>
      </w:r>
      <w:r w:rsidR="009948F8" w:rsidRPr="004653F1">
        <w:rPr>
          <w:rFonts w:ascii="Calibri" w:eastAsia="Calibri" w:hAnsi="Calibri" w:cs="Calibri"/>
        </w:rPr>
        <w:t xml:space="preserve">090633- </w:t>
      </w:r>
      <w:proofErr w:type="spellStart"/>
      <w:r w:rsidR="009948F8" w:rsidRPr="004653F1">
        <w:rPr>
          <w:rFonts w:ascii="Calibri" w:eastAsia="Calibri" w:hAnsi="Calibri" w:cs="Calibri"/>
        </w:rPr>
        <w:t>Traumato</w:t>
      </w:r>
      <w:proofErr w:type="spellEnd"/>
      <w:r w:rsidR="009948F8" w:rsidRPr="004653F1">
        <w:rPr>
          <w:rFonts w:ascii="Calibri" w:eastAsia="Calibri" w:hAnsi="Calibri" w:cs="Calibri"/>
        </w:rPr>
        <w:t xml:space="preserve">-ortopedia, 090634- Saúde auditiva, 090635-Doenças Raras, 090636- Saúde Mental, 090638- Neurocirurgia. </w:t>
      </w:r>
      <w:r w:rsidR="00495E3F" w:rsidRPr="004653F1">
        <w:rPr>
          <w:rFonts w:ascii="Calibri" w:eastAsia="Calibri" w:hAnsi="Calibri" w:cs="Calibri"/>
        </w:rPr>
        <w:t>Estas formas de organização têm</w:t>
      </w:r>
      <w:r w:rsidR="009948F8" w:rsidRPr="004653F1">
        <w:rPr>
          <w:rFonts w:ascii="Calibri" w:eastAsia="Calibri" w:hAnsi="Calibri" w:cs="Calibri"/>
        </w:rPr>
        <w:t xml:space="preserve"> seu recurso </w:t>
      </w:r>
      <w:proofErr w:type="spellStart"/>
      <w:r w:rsidR="009948F8" w:rsidRPr="004653F1">
        <w:rPr>
          <w:rFonts w:ascii="Calibri" w:eastAsia="Calibri" w:hAnsi="Calibri" w:cs="Calibri"/>
        </w:rPr>
        <w:t>macroalocado</w:t>
      </w:r>
      <w:proofErr w:type="spellEnd"/>
      <w:r w:rsidR="009948F8" w:rsidRPr="004653F1">
        <w:rPr>
          <w:rFonts w:ascii="Calibri" w:eastAsia="Calibri" w:hAnsi="Calibri" w:cs="Calibri"/>
        </w:rPr>
        <w:t xml:space="preserve"> até que seja programado pela área técnica especifica (SUBPAS).</w:t>
      </w:r>
    </w:p>
    <w:p w14:paraId="2AC6CA43" w14:textId="77777777" w:rsidR="00081947" w:rsidRDefault="00495E3F" w:rsidP="00081947">
      <w:pPr>
        <w:pStyle w:val="PargrafodaLista"/>
        <w:spacing w:after="200" w:line="360" w:lineRule="auto"/>
        <w:ind w:left="426"/>
        <w:jc w:val="both"/>
        <w:rPr>
          <w:rFonts w:ascii="Calibri" w:eastAsia="Calibri" w:hAnsi="Calibri" w:cs="Calibri"/>
        </w:rPr>
      </w:pPr>
      <w:r>
        <w:rPr>
          <w:rFonts w:ascii="Calibri" w:eastAsia="Calibri" w:hAnsi="Calibri" w:cs="Calibri"/>
        </w:rPr>
        <w:t>-</w:t>
      </w:r>
      <w:r>
        <w:rPr>
          <w:rFonts w:ascii="Calibri" w:eastAsia="Calibri" w:hAnsi="Calibri" w:cs="Calibri"/>
        </w:rPr>
        <w:tab/>
      </w:r>
      <w:proofErr w:type="spellStart"/>
      <w:proofErr w:type="gramStart"/>
      <w:r w:rsidR="009948F8" w:rsidRPr="00495E3F">
        <w:rPr>
          <w:rFonts w:ascii="Calibri" w:eastAsia="Calibri" w:hAnsi="Calibri" w:cs="Calibri"/>
        </w:rPr>
        <w:t>Co-financiamento</w:t>
      </w:r>
      <w:proofErr w:type="spellEnd"/>
      <w:proofErr w:type="gramEnd"/>
      <w:r w:rsidR="009948F8" w:rsidRPr="00495E3F">
        <w:rPr>
          <w:rFonts w:ascii="Calibri" w:eastAsia="Calibri" w:hAnsi="Calibri" w:cs="Calibri"/>
        </w:rPr>
        <w:t xml:space="preserve"> (</w:t>
      </w:r>
      <w:r w:rsidR="00627C59">
        <w:rPr>
          <w:rFonts w:ascii="Calibri" w:eastAsia="Calibri" w:hAnsi="Calibri" w:cs="Calibri"/>
        </w:rPr>
        <w:t xml:space="preserve">FOG </w:t>
      </w:r>
      <w:r w:rsidR="009948F8" w:rsidRPr="00495E3F">
        <w:rPr>
          <w:rFonts w:ascii="Calibri" w:eastAsia="Calibri" w:hAnsi="Calibri" w:cs="Calibri"/>
        </w:rPr>
        <w:t>090639):</w:t>
      </w:r>
      <w:r w:rsidR="009948F8">
        <w:rPr>
          <w:rFonts w:ascii="Calibri" w:eastAsia="Calibri" w:hAnsi="Calibri" w:cs="Calibri"/>
        </w:rPr>
        <w:t xml:space="preserve"> portarias publicadas somente com o município de atendimento sem descrever como será sua alocação. A única indicação</w:t>
      </w:r>
      <w:r>
        <w:rPr>
          <w:rFonts w:ascii="Calibri" w:eastAsia="Calibri" w:hAnsi="Calibri" w:cs="Calibri"/>
        </w:rPr>
        <w:t>,</w:t>
      </w:r>
      <w:r w:rsidR="009948F8">
        <w:rPr>
          <w:rFonts w:ascii="Calibri" w:eastAsia="Calibri" w:hAnsi="Calibri" w:cs="Calibri"/>
        </w:rPr>
        <w:t xml:space="preserve"> além do município</w:t>
      </w:r>
      <w:r>
        <w:rPr>
          <w:rFonts w:ascii="Calibri" w:eastAsia="Calibri" w:hAnsi="Calibri" w:cs="Calibri"/>
        </w:rPr>
        <w:t>,</w:t>
      </w:r>
      <w:r w:rsidR="009948F8">
        <w:rPr>
          <w:rFonts w:ascii="Calibri" w:eastAsia="Calibri" w:hAnsi="Calibri" w:cs="Calibri"/>
        </w:rPr>
        <w:t xml:space="preserve"> é </w:t>
      </w:r>
      <w:r w:rsidR="00627C59">
        <w:rPr>
          <w:rFonts w:ascii="Calibri" w:eastAsia="Calibri" w:hAnsi="Calibri" w:cs="Calibri"/>
        </w:rPr>
        <w:t>que está dentro d</w:t>
      </w:r>
      <w:r w:rsidR="009948F8">
        <w:rPr>
          <w:rFonts w:ascii="Calibri" w:eastAsia="Calibri" w:hAnsi="Calibri" w:cs="Calibri"/>
        </w:rPr>
        <w:t>o teto de média e alta complexidade. Esta definição é necessária para que seja considerada para efeitos de produção. Ou seja, por exemplo, no batimento da produção dos recursos sob a gestão estadual</w:t>
      </w:r>
      <w:r>
        <w:rPr>
          <w:rFonts w:ascii="Calibri" w:eastAsia="Calibri" w:hAnsi="Calibri" w:cs="Calibri"/>
        </w:rPr>
        <w:t>,</w:t>
      </w:r>
      <w:r w:rsidR="009948F8">
        <w:rPr>
          <w:rFonts w:ascii="Calibri" w:eastAsia="Calibri" w:hAnsi="Calibri" w:cs="Calibri"/>
        </w:rPr>
        <w:t xml:space="preserve"> os recursos destas portarias são considerados para o pagamento da produção.  </w:t>
      </w:r>
    </w:p>
    <w:p w14:paraId="1D910409" w14:textId="1E707BF0" w:rsidR="00081947" w:rsidRDefault="00081947" w:rsidP="00081947">
      <w:pPr>
        <w:pStyle w:val="PargrafodaLista"/>
        <w:spacing w:after="200" w:line="360" w:lineRule="auto"/>
        <w:ind w:left="426"/>
        <w:jc w:val="both"/>
        <w:rPr>
          <w:rFonts w:ascii="Calibri" w:eastAsia="Calibri" w:hAnsi="Calibri" w:cs="Calibri"/>
        </w:rPr>
      </w:pPr>
      <w:r>
        <w:rPr>
          <w:rFonts w:ascii="Calibri" w:eastAsia="Calibri" w:hAnsi="Calibri" w:cs="Calibri"/>
        </w:rPr>
        <w:t>-</w:t>
      </w:r>
      <w:r>
        <w:rPr>
          <w:rFonts w:ascii="Calibri" w:eastAsia="Calibri" w:hAnsi="Calibri" w:cs="Calibri"/>
        </w:rPr>
        <w:tab/>
      </w:r>
      <w:proofErr w:type="spellStart"/>
      <w:proofErr w:type="gramStart"/>
      <w:r>
        <w:rPr>
          <w:rFonts w:ascii="Calibri" w:eastAsia="Calibri" w:hAnsi="Calibri" w:cs="Calibri"/>
        </w:rPr>
        <w:t>Co-financiamento</w:t>
      </w:r>
      <w:proofErr w:type="spellEnd"/>
      <w:proofErr w:type="gramEnd"/>
      <w:r>
        <w:rPr>
          <w:rFonts w:ascii="Calibri" w:eastAsia="Calibri" w:hAnsi="Calibri" w:cs="Calibri"/>
        </w:rPr>
        <w:t xml:space="preserve"> de Incentivo H</w:t>
      </w:r>
      <w:r w:rsidR="009948F8" w:rsidRPr="00081947">
        <w:rPr>
          <w:rFonts w:ascii="Calibri" w:eastAsia="Calibri" w:hAnsi="Calibri" w:cs="Calibri"/>
        </w:rPr>
        <w:t>ospitalar (</w:t>
      </w:r>
      <w:r w:rsidR="00627C59" w:rsidRPr="00081947">
        <w:rPr>
          <w:rFonts w:ascii="Calibri" w:eastAsia="Calibri" w:hAnsi="Calibri" w:cs="Calibri"/>
        </w:rPr>
        <w:t xml:space="preserve">FOG </w:t>
      </w:r>
      <w:r w:rsidR="009948F8" w:rsidRPr="00081947">
        <w:rPr>
          <w:rFonts w:ascii="Calibri" w:eastAsia="Calibri" w:hAnsi="Calibri" w:cs="Calibri"/>
        </w:rPr>
        <w:t xml:space="preserve">090580): </w:t>
      </w:r>
      <w:r w:rsidR="009948F8">
        <w:rPr>
          <w:rFonts w:ascii="Calibri" w:eastAsia="Calibri" w:hAnsi="Calibri" w:cs="Calibri"/>
        </w:rPr>
        <w:t xml:space="preserve">são portarias que tem como característica alocação do recurso </w:t>
      </w:r>
      <w:r>
        <w:rPr>
          <w:rFonts w:ascii="Calibri" w:eastAsia="Calibri" w:hAnsi="Calibri" w:cs="Calibri"/>
        </w:rPr>
        <w:t>para um determinado prestador (menciona CNES e IBGE) sem discriminar</w:t>
      </w:r>
      <w:r w:rsidR="009948F8">
        <w:rPr>
          <w:rFonts w:ascii="Calibri" w:eastAsia="Calibri" w:hAnsi="Calibri" w:cs="Calibri"/>
        </w:rPr>
        <w:t xml:space="preserve"> a rede, especialidade ou procedimento relacionado. Ne</w:t>
      </w:r>
      <w:r>
        <w:rPr>
          <w:rFonts w:ascii="Calibri" w:eastAsia="Calibri" w:hAnsi="Calibri" w:cs="Calibri"/>
        </w:rPr>
        <w:t xml:space="preserve">sta portaria pode </w:t>
      </w:r>
      <w:r w:rsidR="009948F8">
        <w:rPr>
          <w:rFonts w:ascii="Calibri" w:eastAsia="Calibri" w:hAnsi="Calibri" w:cs="Calibri"/>
        </w:rPr>
        <w:t xml:space="preserve">ou não </w:t>
      </w:r>
      <w:r>
        <w:rPr>
          <w:rFonts w:ascii="Calibri" w:eastAsia="Calibri" w:hAnsi="Calibri" w:cs="Calibri"/>
        </w:rPr>
        <w:t xml:space="preserve">mencionar que se trata </w:t>
      </w:r>
      <w:r w:rsidR="009948F8">
        <w:rPr>
          <w:rFonts w:ascii="Calibri" w:eastAsia="Calibri" w:hAnsi="Calibri" w:cs="Calibri"/>
        </w:rPr>
        <w:t xml:space="preserve">de custeio. </w:t>
      </w:r>
    </w:p>
    <w:p w14:paraId="0C558086" w14:textId="5B45A23A" w:rsidR="00935D9F" w:rsidRPr="00081947" w:rsidRDefault="00081947" w:rsidP="00081947">
      <w:pPr>
        <w:pStyle w:val="PargrafodaLista"/>
        <w:spacing w:after="200" w:line="360" w:lineRule="auto"/>
        <w:ind w:left="426"/>
        <w:jc w:val="both"/>
        <w:rPr>
          <w:rFonts w:ascii="Calibri" w:eastAsia="Calibri" w:hAnsi="Calibri" w:cs="Calibri"/>
        </w:rPr>
      </w:pPr>
      <w:r>
        <w:rPr>
          <w:rFonts w:ascii="Calibri" w:eastAsia="Calibri" w:hAnsi="Calibri" w:cs="Calibri"/>
        </w:rPr>
        <w:t>-</w:t>
      </w:r>
      <w:r>
        <w:rPr>
          <w:rFonts w:ascii="Calibri" w:eastAsia="Calibri" w:hAnsi="Calibri" w:cs="Calibri"/>
        </w:rPr>
        <w:tab/>
      </w:r>
      <w:proofErr w:type="spellStart"/>
      <w:proofErr w:type="gramStart"/>
      <w:r>
        <w:rPr>
          <w:rFonts w:ascii="Calibri" w:eastAsia="Calibri" w:hAnsi="Calibri" w:cs="Calibri"/>
        </w:rPr>
        <w:t>Co-financiamento</w:t>
      </w:r>
      <w:proofErr w:type="spellEnd"/>
      <w:proofErr w:type="gramEnd"/>
      <w:r>
        <w:rPr>
          <w:rFonts w:ascii="Calibri" w:eastAsia="Calibri" w:hAnsi="Calibri" w:cs="Calibri"/>
        </w:rPr>
        <w:t xml:space="preserve"> de Incentivo A</w:t>
      </w:r>
      <w:r w:rsidR="009948F8" w:rsidRPr="00081947">
        <w:rPr>
          <w:rFonts w:ascii="Calibri" w:eastAsia="Calibri" w:hAnsi="Calibri" w:cs="Calibri"/>
        </w:rPr>
        <w:t>mbulatorial (</w:t>
      </w:r>
      <w:r w:rsidR="00627C59" w:rsidRPr="00081947">
        <w:rPr>
          <w:rFonts w:ascii="Calibri" w:eastAsia="Calibri" w:hAnsi="Calibri" w:cs="Calibri"/>
        </w:rPr>
        <w:t xml:space="preserve">FOG </w:t>
      </w:r>
      <w:r w:rsidR="009948F8" w:rsidRPr="00081947">
        <w:rPr>
          <w:rFonts w:ascii="Calibri" w:eastAsia="Calibri" w:hAnsi="Calibri" w:cs="Calibri"/>
        </w:rPr>
        <w:t>090527):</w:t>
      </w:r>
      <w:r w:rsidR="009948F8">
        <w:rPr>
          <w:rFonts w:ascii="Calibri" w:eastAsia="Calibri" w:hAnsi="Calibri" w:cs="Calibri"/>
        </w:rPr>
        <w:t xml:space="preserve"> são portarias que tem como </w:t>
      </w:r>
      <w:r>
        <w:rPr>
          <w:rFonts w:ascii="Calibri" w:eastAsia="Calibri" w:hAnsi="Calibri" w:cs="Calibri"/>
        </w:rPr>
        <w:t xml:space="preserve">principal </w:t>
      </w:r>
      <w:r w:rsidR="009948F8">
        <w:rPr>
          <w:rFonts w:ascii="Calibri" w:eastAsia="Calibri" w:hAnsi="Calibri" w:cs="Calibri"/>
        </w:rPr>
        <w:t>característica</w:t>
      </w:r>
      <w:r>
        <w:rPr>
          <w:rFonts w:ascii="Calibri" w:eastAsia="Calibri" w:hAnsi="Calibri" w:cs="Calibri"/>
        </w:rPr>
        <w:t xml:space="preserve"> a </w:t>
      </w:r>
      <w:r w:rsidR="009948F8">
        <w:rPr>
          <w:rFonts w:ascii="Calibri" w:eastAsia="Calibri" w:hAnsi="Calibri" w:cs="Calibri"/>
        </w:rPr>
        <w:t>alocação do recurso em um determinado prestador ou em um determinado município</w:t>
      </w:r>
      <w:r>
        <w:rPr>
          <w:rFonts w:ascii="Calibri" w:eastAsia="Calibri" w:hAnsi="Calibri" w:cs="Calibri"/>
        </w:rPr>
        <w:t>,</w:t>
      </w:r>
      <w:r w:rsidR="009948F8">
        <w:rPr>
          <w:rFonts w:ascii="Calibri" w:eastAsia="Calibri" w:hAnsi="Calibri" w:cs="Calibri"/>
        </w:rPr>
        <w:t xml:space="preserve"> discriminando que é de custeio específico para procedimentos ambulatoriais. </w:t>
      </w:r>
    </w:p>
    <w:p w14:paraId="0208F981" w14:textId="56901CDE" w:rsidR="00856A36" w:rsidRDefault="009948F8" w:rsidP="00F066AF">
      <w:pPr>
        <w:spacing w:after="200" w:line="360" w:lineRule="auto"/>
        <w:ind w:firstLine="720"/>
        <w:jc w:val="both"/>
        <w:rPr>
          <w:rFonts w:ascii="Calibri" w:eastAsia="Calibri" w:hAnsi="Calibri" w:cs="Calibri"/>
        </w:rPr>
      </w:pPr>
      <w:r>
        <w:rPr>
          <w:rFonts w:ascii="Calibri" w:eastAsia="Calibri" w:hAnsi="Calibri" w:cs="Calibri"/>
        </w:rPr>
        <w:t>A</w:t>
      </w:r>
      <w:r w:rsidR="00856A36">
        <w:rPr>
          <w:rFonts w:ascii="Calibri" w:eastAsia="Calibri" w:hAnsi="Calibri" w:cs="Calibri"/>
        </w:rPr>
        <w:t>pós análise das P</w:t>
      </w:r>
      <w:r>
        <w:rPr>
          <w:rFonts w:ascii="Calibri" w:eastAsia="Calibri" w:hAnsi="Calibri" w:cs="Calibri"/>
        </w:rPr>
        <w:t xml:space="preserve">ortarias, elas são adicionadas ao </w:t>
      </w:r>
      <w:r w:rsidR="00081947">
        <w:rPr>
          <w:rFonts w:ascii="Calibri" w:eastAsia="Calibri" w:hAnsi="Calibri" w:cs="Calibri"/>
        </w:rPr>
        <w:t>Banco PPI</w:t>
      </w:r>
      <w:r>
        <w:rPr>
          <w:rFonts w:ascii="Calibri" w:eastAsia="Calibri" w:hAnsi="Calibri" w:cs="Calibri"/>
        </w:rPr>
        <w:t xml:space="preserve"> comp</w:t>
      </w:r>
      <w:r w:rsidR="00386904">
        <w:rPr>
          <w:rFonts w:ascii="Calibri" w:eastAsia="Calibri" w:hAnsi="Calibri" w:cs="Calibri"/>
        </w:rPr>
        <w:t>ondo</w:t>
      </w:r>
      <w:r>
        <w:rPr>
          <w:rFonts w:ascii="Calibri" w:eastAsia="Calibri" w:hAnsi="Calibri" w:cs="Calibri"/>
        </w:rPr>
        <w:t xml:space="preserve"> o teto do Estado e Municípios. O mesmo acontece com </w:t>
      </w:r>
      <w:r w:rsidR="00386904">
        <w:rPr>
          <w:rFonts w:ascii="Calibri" w:eastAsia="Calibri" w:hAnsi="Calibri" w:cs="Calibri"/>
        </w:rPr>
        <w:t xml:space="preserve">Remanejamentos, </w:t>
      </w:r>
      <w:proofErr w:type="spellStart"/>
      <w:r>
        <w:rPr>
          <w:rFonts w:ascii="Calibri" w:eastAsia="Calibri" w:hAnsi="Calibri" w:cs="Calibri"/>
        </w:rPr>
        <w:t>Deliberaçãoes</w:t>
      </w:r>
      <w:proofErr w:type="spellEnd"/>
      <w:r>
        <w:rPr>
          <w:rFonts w:ascii="Calibri" w:eastAsia="Calibri" w:hAnsi="Calibri" w:cs="Calibri"/>
        </w:rPr>
        <w:t xml:space="preserve"> CIB-SUS e Notas técnicas que impactam no teto MAC. Após a verificação de todas as inconsistências</w:t>
      </w:r>
      <w:r w:rsidR="00856A36">
        <w:rPr>
          <w:rFonts w:ascii="Calibri" w:eastAsia="Calibri" w:hAnsi="Calibri" w:cs="Calibri"/>
        </w:rPr>
        <w:t>,</w:t>
      </w:r>
      <w:r>
        <w:rPr>
          <w:rFonts w:ascii="Calibri" w:eastAsia="Calibri" w:hAnsi="Calibri" w:cs="Calibri"/>
        </w:rPr>
        <w:t xml:space="preserve"> o </w:t>
      </w:r>
      <w:r w:rsidR="00856A36">
        <w:rPr>
          <w:rFonts w:ascii="Calibri" w:eastAsia="Calibri" w:hAnsi="Calibri" w:cs="Calibri"/>
        </w:rPr>
        <w:t xml:space="preserve">remanejamento final (“Teto PPI”) é lançado no SISMAC, obtendo o número de protocolo que será citado na Deliberação CIB-SUS Teto MG. </w:t>
      </w:r>
    </w:p>
    <w:p w14:paraId="47304A41" w14:textId="4A6D2C03" w:rsidR="00935D9F" w:rsidRDefault="00856A36" w:rsidP="00F066AF">
      <w:pPr>
        <w:spacing w:after="200" w:line="360" w:lineRule="auto"/>
        <w:ind w:firstLine="720"/>
        <w:jc w:val="both"/>
        <w:rPr>
          <w:rFonts w:ascii="Calibri" w:eastAsia="Calibri" w:hAnsi="Calibri" w:cs="Calibri"/>
        </w:rPr>
      </w:pPr>
      <w:r>
        <w:rPr>
          <w:rFonts w:ascii="Calibri" w:eastAsia="Calibri" w:hAnsi="Calibri" w:cs="Calibri"/>
        </w:rPr>
        <w:lastRenderedPageBreak/>
        <w:t xml:space="preserve">Após a sua publicação, seu extrato é anexado ao processo de remanejamento e enviado definitivamente para o Ministério da Saúde. Com isto, ao término do processamento a nível federal, o recurso programado é finalmente depositado no fundo dos municípios de gestão plena e no do Estado, para que prossigam com seus devidos pagamentos.  </w:t>
      </w:r>
      <w:r w:rsidR="009948F8">
        <w:rPr>
          <w:rFonts w:ascii="Calibri" w:eastAsia="Calibri" w:hAnsi="Calibri" w:cs="Calibri"/>
        </w:rPr>
        <w:t xml:space="preserve"> </w:t>
      </w:r>
    </w:p>
    <w:p w14:paraId="586B736A" w14:textId="78E91315" w:rsidR="00935D9F" w:rsidRPr="00856A36" w:rsidRDefault="00856A36" w:rsidP="00F066AF">
      <w:pPr>
        <w:spacing w:line="360" w:lineRule="auto"/>
        <w:jc w:val="both"/>
        <w:rPr>
          <w:rFonts w:ascii="Calibri" w:eastAsia="Calibri" w:hAnsi="Calibri" w:cs="Calibri"/>
          <w:b/>
          <w:u w:val="single"/>
        </w:rPr>
      </w:pPr>
      <w:r w:rsidRPr="00856A36">
        <w:rPr>
          <w:rFonts w:ascii="Calibri" w:eastAsia="Calibri" w:hAnsi="Calibri" w:cs="Calibri"/>
          <w:b/>
          <w:u w:val="single"/>
        </w:rPr>
        <w:t>Complemento: Quadros</w:t>
      </w:r>
    </w:p>
    <w:p w14:paraId="48E15A89" w14:textId="0904F208" w:rsidR="00935D9F" w:rsidRDefault="009948F8" w:rsidP="00856A36">
      <w:pPr>
        <w:spacing w:line="360" w:lineRule="auto"/>
        <w:ind w:firstLine="426"/>
        <w:jc w:val="both"/>
        <w:rPr>
          <w:rFonts w:ascii="Calibri" w:eastAsia="Calibri" w:hAnsi="Calibri" w:cs="Calibri"/>
        </w:rPr>
      </w:pPr>
      <w:r>
        <w:rPr>
          <w:rFonts w:ascii="Calibri" w:eastAsia="Calibri" w:hAnsi="Calibri" w:cs="Calibri"/>
        </w:rPr>
        <w:t>-</w:t>
      </w:r>
      <w:r w:rsidR="00856A36">
        <w:rPr>
          <w:rFonts w:ascii="Calibri" w:eastAsia="Calibri" w:hAnsi="Calibri" w:cs="Calibri"/>
        </w:rPr>
        <w:tab/>
        <w:t>Quadro 1:</w:t>
      </w:r>
      <w:r>
        <w:rPr>
          <w:rFonts w:ascii="Calibri" w:eastAsia="Calibri" w:hAnsi="Calibri" w:cs="Calibri"/>
        </w:rPr>
        <w:t xml:space="preserve"> Detalhamento da PPI em todos os m</w:t>
      </w:r>
      <w:r w:rsidR="00856A36">
        <w:rPr>
          <w:rFonts w:ascii="Calibri" w:eastAsia="Calibri" w:hAnsi="Calibri" w:cs="Calibri"/>
        </w:rPr>
        <w:t>unicípios da unidade federativa. S</w:t>
      </w:r>
      <w:r>
        <w:rPr>
          <w:rFonts w:ascii="Calibri" w:eastAsia="Calibri" w:hAnsi="Calibri" w:cs="Calibri"/>
        </w:rPr>
        <w:t xml:space="preserve">ão apresentados valores anuais destinados à assistência ambulatorial e hospitalar da população própria e referenciada. </w:t>
      </w:r>
    </w:p>
    <w:p w14:paraId="085B07EC" w14:textId="019108AF" w:rsidR="00935D9F" w:rsidRDefault="00856A36" w:rsidP="00856A36">
      <w:pPr>
        <w:spacing w:line="360" w:lineRule="auto"/>
        <w:ind w:firstLine="426"/>
        <w:jc w:val="both"/>
        <w:rPr>
          <w:rFonts w:ascii="Calibri" w:eastAsia="Calibri" w:hAnsi="Calibri" w:cs="Calibri"/>
        </w:rPr>
      </w:pPr>
      <w:r>
        <w:rPr>
          <w:rFonts w:ascii="Calibri" w:eastAsia="Calibri" w:hAnsi="Calibri" w:cs="Calibri"/>
          <w:b/>
        </w:rPr>
        <w:t>-</w:t>
      </w:r>
      <w:r>
        <w:rPr>
          <w:rFonts w:ascii="Calibri" w:eastAsia="Calibri" w:hAnsi="Calibri" w:cs="Calibri"/>
          <w:b/>
        </w:rPr>
        <w:tab/>
      </w:r>
      <w:r w:rsidRPr="00856A36">
        <w:rPr>
          <w:rFonts w:ascii="Calibri" w:eastAsia="Calibri" w:hAnsi="Calibri" w:cs="Calibri"/>
        </w:rPr>
        <w:t>Quadro 2:</w:t>
      </w:r>
      <w:r w:rsidR="009948F8">
        <w:rPr>
          <w:rFonts w:ascii="Calibri" w:eastAsia="Calibri" w:hAnsi="Calibri" w:cs="Calibri"/>
        </w:rPr>
        <w:t xml:space="preserve"> Detalhamento de valores programados nas SES e aprovados nas CIB para custeio de áreas específicas que não foram para programação municipal. </w:t>
      </w:r>
      <w:r>
        <w:rPr>
          <w:rFonts w:ascii="Calibri" w:eastAsia="Calibri" w:hAnsi="Calibri" w:cs="Calibri"/>
        </w:rPr>
        <w:t>Atualmente, no quadro 2 da PPI/MG temos</w:t>
      </w:r>
      <w:r w:rsidR="009948F8">
        <w:rPr>
          <w:rFonts w:ascii="Calibri" w:eastAsia="Calibri" w:hAnsi="Calibri" w:cs="Calibri"/>
        </w:rPr>
        <w:t xml:space="preserve">: </w:t>
      </w:r>
      <w:proofErr w:type="spellStart"/>
      <w:r w:rsidR="009948F8">
        <w:rPr>
          <w:rFonts w:ascii="Calibri" w:eastAsia="Calibri" w:hAnsi="Calibri" w:cs="Calibri"/>
        </w:rPr>
        <w:t>Hemo</w:t>
      </w:r>
      <w:r>
        <w:rPr>
          <w:rFonts w:ascii="Calibri" w:eastAsia="Calibri" w:hAnsi="Calibri" w:cs="Calibri"/>
        </w:rPr>
        <w:t>minas</w:t>
      </w:r>
      <w:proofErr w:type="spellEnd"/>
      <w:r>
        <w:rPr>
          <w:rFonts w:ascii="Calibri" w:eastAsia="Calibri" w:hAnsi="Calibri" w:cs="Calibri"/>
        </w:rPr>
        <w:t>, SAMU regional, Bolsa de C</w:t>
      </w:r>
      <w:r w:rsidR="009948F8">
        <w:rPr>
          <w:rFonts w:ascii="Calibri" w:eastAsia="Calibri" w:hAnsi="Calibri" w:cs="Calibri"/>
        </w:rPr>
        <w:t>olostomia, CR (centrais de regulação) e os Ajuste</w:t>
      </w:r>
      <w:r>
        <w:rPr>
          <w:rFonts w:ascii="Calibri" w:eastAsia="Calibri" w:hAnsi="Calibri" w:cs="Calibri"/>
        </w:rPr>
        <w:t>s</w:t>
      </w:r>
      <w:r w:rsidR="009948F8">
        <w:rPr>
          <w:rFonts w:ascii="Calibri" w:eastAsia="Calibri" w:hAnsi="Calibri" w:cs="Calibri"/>
        </w:rPr>
        <w:t xml:space="preserve"> CIB (rubrica necessária para equalizar o teto PPI/MG com o SISMAC)</w:t>
      </w:r>
      <w:r w:rsidR="00B1714E">
        <w:rPr>
          <w:rFonts w:ascii="Calibri" w:eastAsia="Calibri" w:hAnsi="Calibri" w:cs="Calibri"/>
        </w:rPr>
        <w:t>.</w:t>
      </w:r>
    </w:p>
    <w:p w14:paraId="410A8501" w14:textId="1C809BDE" w:rsidR="00935D9F" w:rsidRPr="00B1714E" w:rsidRDefault="00856A36" w:rsidP="00856A36">
      <w:pPr>
        <w:spacing w:line="360" w:lineRule="auto"/>
        <w:ind w:firstLine="426"/>
        <w:jc w:val="both"/>
        <w:rPr>
          <w:rFonts w:ascii="Calibri" w:eastAsia="Calibri" w:hAnsi="Calibri" w:cs="Calibri"/>
          <w:color w:val="FF0000"/>
        </w:rPr>
      </w:pPr>
      <w:r w:rsidRPr="00B1714E">
        <w:rPr>
          <w:rFonts w:ascii="Calibri" w:eastAsia="Calibri" w:hAnsi="Calibri" w:cs="Calibri"/>
          <w:color w:val="FF0000"/>
        </w:rPr>
        <w:t>-</w:t>
      </w:r>
      <w:r w:rsidRPr="00B1714E">
        <w:rPr>
          <w:rFonts w:ascii="Calibri" w:eastAsia="Calibri" w:hAnsi="Calibri" w:cs="Calibri"/>
          <w:color w:val="FF0000"/>
        </w:rPr>
        <w:tab/>
      </w:r>
      <w:r w:rsidR="009948F8" w:rsidRPr="00B1714E">
        <w:rPr>
          <w:rFonts w:ascii="Calibri" w:eastAsia="Calibri" w:hAnsi="Calibri" w:cs="Calibri"/>
          <w:color w:val="FF0000"/>
        </w:rPr>
        <w:t>Q</w:t>
      </w:r>
      <w:r w:rsidR="00B1714E" w:rsidRPr="00B1714E">
        <w:rPr>
          <w:rFonts w:ascii="Calibri" w:eastAsia="Calibri" w:hAnsi="Calibri" w:cs="Calibri"/>
          <w:color w:val="FF0000"/>
        </w:rPr>
        <w:t>uadro</w:t>
      </w:r>
      <w:r w:rsidR="009948F8" w:rsidRPr="00B1714E">
        <w:rPr>
          <w:rFonts w:ascii="Calibri" w:eastAsia="Calibri" w:hAnsi="Calibri" w:cs="Calibri"/>
          <w:color w:val="FF0000"/>
        </w:rPr>
        <w:t xml:space="preserve"> 5- Detalhamento dos valores a serem descontados dos municípios em função de estabelecimentos sob a gestão estadual. São os valores a serem descontados do quadro 1 para transferência direta aos Fundos Estaduais de Saúde</w:t>
      </w:r>
    </w:p>
    <w:p w14:paraId="6CBFAF61" w14:textId="59723FAC" w:rsidR="00935D9F" w:rsidRPr="00B1714E" w:rsidRDefault="00856A36" w:rsidP="00856A36">
      <w:pPr>
        <w:spacing w:line="360" w:lineRule="auto"/>
        <w:ind w:firstLine="426"/>
        <w:jc w:val="both"/>
        <w:rPr>
          <w:rFonts w:ascii="Calibri" w:eastAsia="Calibri" w:hAnsi="Calibri" w:cs="Calibri"/>
          <w:color w:val="FF0000"/>
        </w:rPr>
      </w:pPr>
      <w:r w:rsidRPr="00B1714E">
        <w:rPr>
          <w:rFonts w:ascii="Calibri" w:eastAsia="Calibri" w:hAnsi="Calibri" w:cs="Calibri"/>
          <w:color w:val="FF0000"/>
        </w:rPr>
        <w:t>-</w:t>
      </w:r>
      <w:r w:rsidRPr="00B1714E">
        <w:rPr>
          <w:rFonts w:ascii="Calibri" w:eastAsia="Calibri" w:hAnsi="Calibri" w:cs="Calibri"/>
          <w:color w:val="FF0000"/>
        </w:rPr>
        <w:tab/>
      </w:r>
      <w:r w:rsidR="009948F8" w:rsidRPr="00B1714E">
        <w:rPr>
          <w:rFonts w:ascii="Calibri" w:eastAsia="Calibri" w:hAnsi="Calibri" w:cs="Calibri"/>
          <w:color w:val="FF0000"/>
        </w:rPr>
        <w:t>QUADRO 7- Valores de repasse a Fundo Estadual de Saúde. Quadro 1 – (menos) Quadro 5</w:t>
      </w:r>
    </w:p>
    <w:p w14:paraId="0122587F" w14:textId="5002230E" w:rsidR="00935D9F" w:rsidRPr="00B1714E" w:rsidRDefault="00856A36" w:rsidP="00856A36">
      <w:pPr>
        <w:spacing w:line="360" w:lineRule="auto"/>
        <w:ind w:firstLine="426"/>
        <w:jc w:val="both"/>
        <w:rPr>
          <w:rFonts w:ascii="Calibri" w:eastAsia="Calibri" w:hAnsi="Calibri" w:cs="Calibri"/>
          <w:color w:val="FF0000"/>
        </w:rPr>
      </w:pPr>
      <w:r w:rsidRPr="00B1714E">
        <w:rPr>
          <w:rFonts w:ascii="Calibri" w:eastAsia="Calibri" w:hAnsi="Calibri" w:cs="Calibri"/>
          <w:color w:val="FF0000"/>
        </w:rPr>
        <w:t>-</w:t>
      </w:r>
      <w:r w:rsidRPr="00B1714E">
        <w:rPr>
          <w:rFonts w:ascii="Calibri" w:eastAsia="Calibri" w:hAnsi="Calibri" w:cs="Calibri"/>
          <w:color w:val="FF0000"/>
        </w:rPr>
        <w:tab/>
      </w:r>
      <w:r w:rsidR="009948F8" w:rsidRPr="00B1714E">
        <w:rPr>
          <w:rFonts w:ascii="Calibri" w:eastAsia="Calibri" w:hAnsi="Calibri" w:cs="Calibri"/>
          <w:color w:val="FF0000"/>
        </w:rPr>
        <w:t xml:space="preserve">QUADRO 8 – Valores de repasse ao Fundo Estadual de Saúde. Totalizador da gestão estadual. Quadro 2 </w:t>
      </w:r>
      <w:proofErr w:type="gramStart"/>
      <w:r w:rsidR="009948F8" w:rsidRPr="00B1714E">
        <w:rPr>
          <w:rFonts w:ascii="Calibri" w:eastAsia="Calibri" w:hAnsi="Calibri" w:cs="Calibri"/>
          <w:color w:val="FF0000"/>
        </w:rPr>
        <w:t>+</w:t>
      </w:r>
      <w:proofErr w:type="gramEnd"/>
      <w:r w:rsidR="009948F8" w:rsidRPr="00B1714E">
        <w:rPr>
          <w:rFonts w:ascii="Calibri" w:eastAsia="Calibri" w:hAnsi="Calibri" w:cs="Calibri"/>
          <w:color w:val="FF0000"/>
        </w:rPr>
        <w:t xml:space="preserve"> Quadro 5</w:t>
      </w:r>
    </w:p>
    <w:p w14:paraId="5D887AE0" w14:textId="3881F84F" w:rsidR="00935D9F" w:rsidRPr="00B1714E" w:rsidRDefault="00856A36" w:rsidP="00B1714E">
      <w:pPr>
        <w:spacing w:line="360" w:lineRule="auto"/>
        <w:ind w:firstLine="426"/>
        <w:jc w:val="both"/>
        <w:rPr>
          <w:rFonts w:ascii="Calibri" w:eastAsia="Calibri" w:hAnsi="Calibri" w:cs="Calibri"/>
          <w:color w:val="FF0000"/>
        </w:rPr>
      </w:pPr>
      <w:r w:rsidRPr="00B1714E">
        <w:rPr>
          <w:rFonts w:ascii="Calibri" w:eastAsia="Calibri" w:hAnsi="Calibri" w:cs="Calibri"/>
          <w:color w:val="FF0000"/>
        </w:rPr>
        <w:t>-</w:t>
      </w:r>
      <w:r w:rsidRPr="00B1714E">
        <w:rPr>
          <w:rFonts w:ascii="Calibri" w:eastAsia="Calibri" w:hAnsi="Calibri" w:cs="Calibri"/>
          <w:color w:val="FF0000"/>
        </w:rPr>
        <w:tab/>
      </w:r>
      <w:r w:rsidR="009948F8" w:rsidRPr="00B1714E">
        <w:rPr>
          <w:rFonts w:ascii="Calibri" w:eastAsia="Calibri" w:hAnsi="Calibri" w:cs="Calibri"/>
          <w:color w:val="FF0000"/>
        </w:rPr>
        <w:t xml:space="preserve">QUADRO 9 – Consolidação da programação. Quadro 7 </w:t>
      </w:r>
      <w:proofErr w:type="gramStart"/>
      <w:r w:rsidR="009948F8" w:rsidRPr="00B1714E">
        <w:rPr>
          <w:rFonts w:ascii="Calibri" w:eastAsia="Calibri" w:hAnsi="Calibri" w:cs="Calibri"/>
          <w:color w:val="FF0000"/>
        </w:rPr>
        <w:t>+</w:t>
      </w:r>
      <w:proofErr w:type="gramEnd"/>
      <w:r w:rsidR="009948F8" w:rsidRPr="00B1714E">
        <w:rPr>
          <w:rFonts w:ascii="Calibri" w:eastAsia="Calibri" w:hAnsi="Calibri" w:cs="Calibri"/>
          <w:color w:val="FF0000"/>
        </w:rPr>
        <w:t xml:space="preserve"> Quadro 8</w:t>
      </w:r>
    </w:p>
    <w:p w14:paraId="785FE216" w14:textId="0D6E2B69" w:rsidR="00935D9F" w:rsidRPr="004A7F50" w:rsidRDefault="009948F8" w:rsidP="004A7F50">
      <w:pPr>
        <w:spacing w:line="360" w:lineRule="auto"/>
        <w:ind w:firstLine="720"/>
        <w:jc w:val="both"/>
        <w:rPr>
          <w:rFonts w:ascii="Calibri" w:eastAsia="Calibri" w:hAnsi="Calibri" w:cs="Calibri"/>
        </w:rPr>
      </w:pPr>
      <w:r>
        <w:rPr>
          <w:rFonts w:ascii="Calibri" w:eastAsia="Calibri" w:hAnsi="Calibri" w:cs="Calibri"/>
        </w:rPr>
        <w:t>É importante salientar que estas movimentações têm reflexo nos tetos dos municípios que possuem a gestão de seus prestado</w:t>
      </w:r>
      <w:r w:rsidR="00B1714E">
        <w:rPr>
          <w:rFonts w:ascii="Calibri" w:eastAsia="Calibri" w:hAnsi="Calibri" w:cs="Calibri"/>
        </w:rPr>
        <w:t>res e no E</w:t>
      </w:r>
      <w:r>
        <w:rPr>
          <w:rFonts w:ascii="Calibri" w:eastAsia="Calibri" w:hAnsi="Calibri" w:cs="Calibri"/>
        </w:rPr>
        <w:t xml:space="preserve">stado. Este impacto reflete </w:t>
      </w:r>
      <w:r w:rsidR="00B1714E">
        <w:rPr>
          <w:rFonts w:ascii="Calibri" w:eastAsia="Calibri" w:hAnsi="Calibri" w:cs="Calibri"/>
        </w:rPr>
        <w:t>o remanejamento físico financeiro</w:t>
      </w:r>
      <w:r>
        <w:rPr>
          <w:rFonts w:ascii="Calibri" w:eastAsia="Calibri" w:hAnsi="Calibri" w:cs="Calibri"/>
        </w:rPr>
        <w:t xml:space="preserve"> </w:t>
      </w:r>
      <w:r w:rsidR="00B1714E">
        <w:rPr>
          <w:rFonts w:ascii="Calibri" w:eastAsia="Calibri" w:hAnsi="Calibri" w:cs="Calibri"/>
        </w:rPr>
        <w:t>ocorridos</w:t>
      </w:r>
      <w:r>
        <w:rPr>
          <w:rFonts w:ascii="Calibri" w:eastAsia="Calibri" w:hAnsi="Calibri" w:cs="Calibri"/>
        </w:rPr>
        <w:t xml:space="preserve"> naquela competência</w:t>
      </w:r>
      <w:r w:rsidR="00B1714E">
        <w:rPr>
          <w:rFonts w:ascii="Calibri" w:eastAsia="Calibri" w:hAnsi="Calibri" w:cs="Calibri"/>
        </w:rPr>
        <w:t>,</w:t>
      </w:r>
      <w:r>
        <w:rPr>
          <w:rFonts w:ascii="Calibri" w:eastAsia="Calibri" w:hAnsi="Calibri" w:cs="Calibri"/>
        </w:rPr>
        <w:t xml:space="preserve"> englobando</w:t>
      </w:r>
      <w:r w:rsidR="00B1714E">
        <w:rPr>
          <w:rFonts w:ascii="Calibri" w:eastAsia="Calibri" w:hAnsi="Calibri" w:cs="Calibri"/>
        </w:rPr>
        <w:t>,</w:t>
      </w:r>
      <w:r>
        <w:rPr>
          <w:rFonts w:ascii="Calibri" w:eastAsia="Calibri" w:hAnsi="Calibri" w:cs="Calibri"/>
        </w:rPr>
        <w:t xml:space="preserve"> inclusive</w:t>
      </w:r>
      <w:r w:rsidR="00B1714E">
        <w:rPr>
          <w:rFonts w:ascii="Calibri" w:eastAsia="Calibri" w:hAnsi="Calibri" w:cs="Calibri"/>
        </w:rPr>
        <w:t>,</w:t>
      </w:r>
      <w:r>
        <w:rPr>
          <w:rFonts w:ascii="Calibri" w:eastAsia="Calibri" w:hAnsi="Calibri" w:cs="Calibri"/>
        </w:rPr>
        <w:t xml:space="preserve"> os Encontros de Contas que podem tanto aportar quanto retirar recurso dos municípios de atendimento.</w:t>
      </w:r>
    </w:p>
    <w:p w14:paraId="47CFA35A" w14:textId="447E3B2A" w:rsidR="004A3952" w:rsidRDefault="004A3952">
      <w:pPr>
        <w:jc w:val="center"/>
        <w:rPr>
          <w:b/>
          <w:sz w:val="28"/>
          <w:szCs w:val="28"/>
        </w:rPr>
      </w:pPr>
    </w:p>
    <w:p w14:paraId="05E6A07F" w14:textId="01B0C502" w:rsidR="004A3952" w:rsidRPr="009F0761" w:rsidRDefault="004A3952" w:rsidP="004A3952">
      <w:pPr>
        <w:spacing w:line="360" w:lineRule="auto"/>
        <w:rPr>
          <w:rFonts w:ascii="Calibri" w:eastAsia="Calibri" w:hAnsi="Calibri" w:cs="Calibri"/>
        </w:rPr>
      </w:pPr>
      <w:r>
        <w:rPr>
          <w:rFonts w:ascii="Calibri" w:eastAsia="Calibri" w:hAnsi="Calibri" w:cs="Calibri"/>
          <w:b/>
        </w:rPr>
        <w:t>REFERÊNCIAS:</w:t>
      </w:r>
      <w:r w:rsidR="004A7F50">
        <w:rPr>
          <w:rFonts w:ascii="Calibri" w:eastAsia="Calibri" w:hAnsi="Calibri" w:cs="Calibri"/>
        </w:rPr>
        <w:t xml:space="preserve"> </w:t>
      </w:r>
    </w:p>
    <w:p w14:paraId="6EEF1DBC" w14:textId="1A08F76C" w:rsidR="004A3952" w:rsidRPr="004A7F50" w:rsidRDefault="004A7F50" w:rsidP="004A3952">
      <w:pPr>
        <w:spacing w:line="360" w:lineRule="auto"/>
        <w:rPr>
          <w:rFonts w:ascii="Calibri" w:eastAsia="Calibri" w:hAnsi="Calibri" w:cs="Calibri"/>
          <w:b/>
        </w:rPr>
      </w:pPr>
      <w:r>
        <w:rPr>
          <w:rFonts w:ascii="Calibri" w:eastAsia="Calibri" w:hAnsi="Calibri" w:cs="Calibri"/>
          <w:b/>
        </w:rPr>
        <w:t>REVISÃO:</w:t>
      </w:r>
    </w:p>
    <w:p w14:paraId="6654BABE" w14:textId="77777777" w:rsidR="004A3952" w:rsidRDefault="004A3952" w:rsidP="004A3952">
      <w:pPr>
        <w:spacing w:line="360" w:lineRule="auto"/>
        <w:rPr>
          <w:rFonts w:ascii="Calibri" w:eastAsia="Calibri" w:hAnsi="Calibri" w:cs="Calibri"/>
          <w:b/>
        </w:rPr>
      </w:pPr>
      <w:r>
        <w:rPr>
          <w:rFonts w:ascii="Calibri" w:eastAsia="Calibri" w:hAnsi="Calibri" w:cs="Calibri"/>
          <w:b/>
        </w:rPr>
        <w:t>DATA:</w:t>
      </w:r>
    </w:p>
    <w:p w14:paraId="4A1A6297" w14:textId="77777777" w:rsidR="004A3952" w:rsidRPr="009F0761" w:rsidRDefault="004A3952" w:rsidP="004A3952">
      <w:pPr>
        <w:spacing w:line="360" w:lineRule="auto"/>
        <w:rPr>
          <w:rFonts w:ascii="Calibri" w:eastAsia="Calibri" w:hAnsi="Calibri" w:cs="Calibri"/>
        </w:rPr>
      </w:pPr>
      <w:r>
        <w:rPr>
          <w:rFonts w:ascii="Calibri" w:eastAsia="Calibri" w:hAnsi="Calibri" w:cs="Calibri"/>
          <w:b/>
        </w:rPr>
        <w:t>APROVAÇÃO:</w:t>
      </w:r>
    </w:p>
    <w:p w14:paraId="60B5AF9F" w14:textId="4F4E3217" w:rsidR="004A3952" w:rsidRDefault="004A3952">
      <w:pPr>
        <w:jc w:val="center"/>
        <w:rPr>
          <w:b/>
          <w:sz w:val="28"/>
          <w:szCs w:val="28"/>
        </w:rPr>
      </w:pPr>
    </w:p>
    <w:sectPr w:rsidR="004A3952">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F1CF6" w14:textId="77777777" w:rsidR="00063080" w:rsidRDefault="00063080" w:rsidP="006D5998">
      <w:pPr>
        <w:spacing w:line="240" w:lineRule="auto"/>
      </w:pPr>
      <w:r>
        <w:separator/>
      </w:r>
    </w:p>
  </w:endnote>
  <w:endnote w:type="continuationSeparator" w:id="0">
    <w:p w14:paraId="3CE1FCB7" w14:textId="77777777" w:rsidR="00063080" w:rsidRDefault="00063080" w:rsidP="006D5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472821"/>
      <w:docPartObj>
        <w:docPartGallery w:val="Page Numbers (Bottom of Page)"/>
        <w:docPartUnique/>
      </w:docPartObj>
    </w:sdtPr>
    <w:sdtEndPr/>
    <w:sdtContent>
      <w:p w14:paraId="39C10108" w14:textId="0DFC9FBC" w:rsidR="001A4AD4" w:rsidRDefault="001A4AD4">
        <w:pPr>
          <w:pStyle w:val="Rodap"/>
          <w:jc w:val="right"/>
        </w:pPr>
        <w:r>
          <w:fldChar w:fldCharType="begin"/>
        </w:r>
        <w:r>
          <w:instrText>PAGE   \* MERGEFORMAT</w:instrText>
        </w:r>
        <w:r>
          <w:fldChar w:fldCharType="separate"/>
        </w:r>
        <w:r w:rsidR="009925F0">
          <w:rPr>
            <w:noProof/>
          </w:rPr>
          <w:t>20</w:t>
        </w:r>
        <w:r>
          <w:fldChar w:fldCharType="end"/>
        </w:r>
      </w:p>
    </w:sdtContent>
  </w:sdt>
  <w:p w14:paraId="04962D2F" w14:textId="77777777" w:rsidR="001A4AD4" w:rsidRDefault="001A4A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6E0BC" w14:textId="77777777" w:rsidR="00063080" w:rsidRDefault="00063080" w:rsidP="006D5998">
      <w:pPr>
        <w:spacing w:line="240" w:lineRule="auto"/>
      </w:pPr>
      <w:r>
        <w:separator/>
      </w:r>
    </w:p>
  </w:footnote>
  <w:footnote w:type="continuationSeparator" w:id="0">
    <w:p w14:paraId="7A2581E0" w14:textId="77777777" w:rsidR="00063080" w:rsidRDefault="00063080" w:rsidP="006D59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CACA1" w14:textId="26584867" w:rsidR="001A4AD4" w:rsidRDefault="001A4AD4">
    <w:pPr>
      <w:pStyle w:val="Cabealho"/>
    </w:pPr>
  </w:p>
  <w:tbl>
    <w:tblPr>
      <w:tblStyle w:val="Tabelacomgrade"/>
      <w:tblW w:w="8659" w:type="dxa"/>
      <w:tblInd w:w="-176" w:type="dxa"/>
      <w:tblLayout w:type="fixed"/>
      <w:tblLook w:val="04A0" w:firstRow="1" w:lastRow="0" w:firstColumn="1" w:lastColumn="0" w:noHBand="0" w:noVBand="1"/>
    </w:tblPr>
    <w:tblGrid>
      <w:gridCol w:w="1372"/>
      <w:gridCol w:w="4882"/>
      <w:gridCol w:w="863"/>
      <w:gridCol w:w="1542"/>
    </w:tblGrid>
    <w:tr w:rsidR="001A4AD4" w14:paraId="021ADA18" w14:textId="77777777" w:rsidTr="00A373B0">
      <w:trPr>
        <w:trHeight w:val="397"/>
      </w:trPr>
      <w:tc>
        <w:tcPr>
          <w:tcW w:w="1372" w:type="dxa"/>
          <w:vMerge w:val="restart"/>
        </w:tcPr>
        <w:p w14:paraId="52979486" w14:textId="77777777" w:rsidR="001A4AD4" w:rsidRDefault="001A4AD4" w:rsidP="006D5998">
          <w:pPr>
            <w:pStyle w:val="Cabealho"/>
            <w:jc w:val="center"/>
            <w:rPr>
              <w:rFonts w:cstheme="minorHAnsi"/>
            </w:rPr>
          </w:pPr>
        </w:p>
        <w:p w14:paraId="1C29B212" w14:textId="77777777" w:rsidR="001A4AD4" w:rsidRPr="0035374B" w:rsidRDefault="001A4AD4" w:rsidP="006D5998">
          <w:pPr>
            <w:pStyle w:val="Cabealho"/>
            <w:jc w:val="center"/>
            <w:rPr>
              <w:rFonts w:cstheme="minorHAnsi"/>
              <w:b/>
              <w:sz w:val="24"/>
              <w:szCs w:val="24"/>
            </w:rPr>
          </w:pPr>
          <w:r w:rsidRPr="0035374B">
            <w:rPr>
              <w:rFonts w:cstheme="minorHAnsi"/>
              <w:b/>
              <w:sz w:val="24"/>
              <w:szCs w:val="24"/>
            </w:rPr>
            <w:t>SES-SUBREG-DPPI</w:t>
          </w:r>
        </w:p>
        <w:p w14:paraId="06A12AC5" w14:textId="77777777" w:rsidR="001A4AD4" w:rsidRDefault="001A4AD4" w:rsidP="006D5998">
          <w:pPr>
            <w:pStyle w:val="Cabealho"/>
          </w:pPr>
        </w:p>
      </w:tc>
      <w:tc>
        <w:tcPr>
          <w:tcW w:w="4882" w:type="dxa"/>
          <w:vMerge w:val="restart"/>
        </w:tcPr>
        <w:p w14:paraId="6FF26CF4" w14:textId="77777777" w:rsidR="001A4AD4" w:rsidRPr="0035374B" w:rsidRDefault="001A4AD4" w:rsidP="006D5998">
          <w:pPr>
            <w:pStyle w:val="Cabealho"/>
            <w:jc w:val="center"/>
            <w:rPr>
              <w:rFonts w:cstheme="minorHAnsi"/>
            </w:rPr>
          </w:pPr>
        </w:p>
        <w:p w14:paraId="67C0B0ED" w14:textId="29DE5530" w:rsidR="001A4AD4" w:rsidRDefault="001A4AD4" w:rsidP="006D5998">
          <w:pPr>
            <w:pStyle w:val="Cabealho"/>
            <w:spacing w:line="276" w:lineRule="auto"/>
            <w:jc w:val="center"/>
            <w:rPr>
              <w:rFonts w:cstheme="minorHAnsi"/>
              <w:b/>
            </w:rPr>
          </w:pPr>
          <w:r>
            <w:rPr>
              <w:rFonts w:cstheme="minorHAnsi"/>
              <w:b/>
            </w:rPr>
            <w:t xml:space="preserve">MANUAL DE BOAS PRÁTICAS  </w:t>
          </w:r>
        </w:p>
        <w:p w14:paraId="424ABEFB" w14:textId="59C47A04" w:rsidR="001A4AD4" w:rsidRPr="0035374B" w:rsidRDefault="001A4AD4" w:rsidP="006D5998">
          <w:pPr>
            <w:pStyle w:val="Cabealho"/>
            <w:spacing w:line="276" w:lineRule="auto"/>
            <w:jc w:val="center"/>
            <w:rPr>
              <w:rFonts w:cstheme="minorHAnsi"/>
              <w:b/>
            </w:rPr>
          </w:pPr>
        </w:p>
      </w:tc>
      <w:tc>
        <w:tcPr>
          <w:tcW w:w="863" w:type="dxa"/>
        </w:tcPr>
        <w:p w14:paraId="488D8437" w14:textId="77777777" w:rsidR="001A4AD4" w:rsidRPr="0035374B" w:rsidRDefault="001A4AD4" w:rsidP="006D5998">
          <w:pPr>
            <w:pStyle w:val="Cabealho"/>
            <w:rPr>
              <w:rFonts w:cstheme="minorHAnsi"/>
              <w:b/>
              <w:sz w:val="18"/>
              <w:szCs w:val="18"/>
            </w:rPr>
          </w:pPr>
          <w:r w:rsidRPr="0035374B">
            <w:rPr>
              <w:rFonts w:cstheme="minorHAnsi"/>
              <w:b/>
              <w:sz w:val="18"/>
              <w:szCs w:val="18"/>
            </w:rPr>
            <w:t>Código</w:t>
          </w:r>
        </w:p>
      </w:tc>
      <w:tc>
        <w:tcPr>
          <w:tcW w:w="1542" w:type="dxa"/>
        </w:tcPr>
        <w:p w14:paraId="7816146F" w14:textId="2B66DD7E" w:rsidR="001A4AD4" w:rsidRPr="0035374B" w:rsidRDefault="001A4AD4" w:rsidP="009925F0">
          <w:pPr>
            <w:pStyle w:val="Cabealho"/>
            <w:rPr>
              <w:rFonts w:cstheme="minorHAnsi"/>
              <w:sz w:val="18"/>
              <w:szCs w:val="18"/>
            </w:rPr>
          </w:pPr>
          <w:r w:rsidRPr="0035374B">
            <w:rPr>
              <w:rFonts w:cstheme="minorHAnsi"/>
              <w:sz w:val="18"/>
              <w:szCs w:val="18"/>
            </w:rPr>
            <w:t>POP – DPPI</w:t>
          </w:r>
          <w:r>
            <w:rPr>
              <w:rFonts w:cstheme="minorHAnsi"/>
              <w:sz w:val="18"/>
              <w:szCs w:val="18"/>
            </w:rPr>
            <w:t xml:space="preserve"> 000</w:t>
          </w:r>
        </w:p>
      </w:tc>
    </w:tr>
    <w:tr w:rsidR="001A4AD4" w14:paraId="5B18B50F" w14:textId="77777777" w:rsidTr="00A373B0">
      <w:trPr>
        <w:trHeight w:val="397"/>
      </w:trPr>
      <w:tc>
        <w:tcPr>
          <w:tcW w:w="1372" w:type="dxa"/>
          <w:vMerge/>
        </w:tcPr>
        <w:p w14:paraId="5B2D7042" w14:textId="77777777" w:rsidR="001A4AD4" w:rsidRDefault="001A4AD4" w:rsidP="006D5998">
          <w:pPr>
            <w:pStyle w:val="Cabealho"/>
          </w:pPr>
        </w:p>
      </w:tc>
      <w:tc>
        <w:tcPr>
          <w:tcW w:w="4882" w:type="dxa"/>
          <w:vMerge/>
        </w:tcPr>
        <w:p w14:paraId="79386DE4" w14:textId="77777777" w:rsidR="001A4AD4" w:rsidRPr="0035374B" w:rsidRDefault="001A4AD4" w:rsidP="006D5998">
          <w:pPr>
            <w:pStyle w:val="Cabealho"/>
            <w:jc w:val="center"/>
            <w:rPr>
              <w:rFonts w:cstheme="minorHAnsi"/>
            </w:rPr>
          </w:pPr>
        </w:p>
      </w:tc>
      <w:tc>
        <w:tcPr>
          <w:tcW w:w="863" w:type="dxa"/>
        </w:tcPr>
        <w:p w14:paraId="04DCB37A" w14:textId="5038914D" w:rsidR="001A4AD4" w:rsidRPr="0035374B" w:rsidRDefault="001A4AD4" w:rsidP="006D5998">
          <w:pPr>
            <w:pStyle w:val="Cabealho"/>
            <w:rPr>
              <w:rFonts w:cstheme="minorHAnsi"/>
              <w:b/>
              <w:sz w:val="18"/>
              <w:szCs w:val="18"/>
            </w:rPr>
          </w:pPr>
          <w:r w:rsidRPr="0035374B">
            <w:rPr>
              <w:rFonts w:cstheme="minorHAnsi"/>
              <w:b/>
              <w:sz w:val="18"/>
              <w:szCs w:val="18"/>
            </w:rPr>
            <w:t>Edição</w:t>
          </w:r>
        </w:p>
      </w:tc>
      <w:tc>
        <w:tcPr>
          <w:tcW w:w="1542" w:type="dxa"/>
        </w:tcPr>
        <w:p w14:paraId="21DDF550" w14:textId="582920F3" w:rsidR="001A4AD4" w:rsidRPr="0035374B" w:rsidRDefault="009925F0" w:rsidP="009925F0">
          <w:pPr>
            <w:pStyle w:val="Cabealho"/>
            <w:rPr>
              <w:rFonts w:cstheme="minorHAnsi"/>
              <w:sz w:val="18"/>
              <w:szCs w:val="18"/>
            </w:rPr>
          </w:pPr>
          <w:r>
            <w:rPr>
              <w:rFonts w:cstheme="minorHAnsi"/>
              <w:sz w:val="18"/>
              <w:szCs w:val="18"/>
            </w:rPr>
            <w:t>1ª</w:t>
          </w:r>
        </w:p>
      </w:tc>
    </w:tr>
    <w:tr w:rsidR="001A4AD4" w14:paraId="5D442FDF" w14:textId="77777777" w:rsidTr="00A373B0">
      <w:trPr>
        <w:trHeight w:val="331"/>
      </w:trPr>
      <w:tc>
        <w:tcPr>
          <w:tcW w:w="1372" w:type="dxa"/>
          <w:vMerge/>
        </w:tcPr>
        <w:p w14:paraId="5DE6E6BA" w14:textId="77777777" w:rsidR="001A4AD4" w:rsidRDefault="001A4AD4" w:rsidP="006D5998">
          <w:pPr>
            <w:pStyle w:val="Cabealho"/>
          </w:pPr>
        </w:p>
      </w:tc>
      <w:tc>
        <w:tcPr>
          <w:tcW w:w="4882" w:type="dxa"/>
          <w:vMerge w:val="restart"/>
        </w:tcPr>
        <w:p w14:paraId="7E2E4515" w14:textId="77777777" w:rsidR="001A4AD4" w:rsidRDefault="001A4AD4" w:rsidP="006D5998">
          <w:pPr>
            <w:pStyle w:val="Cabealho"/>
            <w:jc w:val="center"/>
            <w:rPr>
              <w:rFonts w:cstheme="minorHAnsi"/>
              <w:b/>
            </w:rPr>
          </w:pPr>
        </w:p>
        <w:p w14:paraId="365A3A43" w14:textId="77777777" w:rsidR="001A4AD4" w:rsidRDefault="001A4AD4" w:rsidP="006D5998">
          <w:pPr>
            <w:pStyle w:val="Cabealho"/>
            <w:spacing w:line="276" w:lineRule="auto"/>
            <w:jc w:val="center"/>
            <w:rPr>
              <w:rFonts w:cstheme="minorHAnsi"/>
              <w:b/>
            </w:rPr>
          </w:pPr>
          <w:r>
            <w:rPr>
              <w:rFonts w:cstheme="minorHAnsi"/>
              <w:b/>
            </w:rPr>
            <w:t>FECHAMENTO DE TETO MAC</w:t>
          </w:r>
        </w:p>
        <w:p w14:paraId="501D3CD3" w14:textId="3FC2FC6A" w:rsidR="001A4AD4" w:rsidRPr="0035374B" w:rsidRDefault="001A4AD4" w:rsidP="006D5998">
          <w:pPr>
            <w:pStyle w:val="Cabealho"/>
            <w:jc w:val="center"/>
            <w:rPr>
              <w:rFonts w:cstheme="minorHAnsi"/>
              <w:b/>
            </w:rPr>
          </w:pPr>
        </w:p>
      </w:tc>
      <w:tc>
        <w:tcPr>
          <w:tcW w:w="863" w:type="dxa"/>
        </w:tcPr>
        <w:p w14:paraId="0CB350C8" w14:textId="77777777" w:rsidR="001A4AD4" w:rsidRPr="0035374B" w:rsidRDefault="001A4AD4" w:rsidP="006D5998">
          <w:pPr>
            <w:pStyle w:val="Cabealho"/>
            <w:rPr>
              <w:rFonts w:cstheme="minorHAnsi"/>
              <w:b/>
              <w:sz w:val="18"/>
              <w:szCs w:val="18"/>
            </w:rPr>
          </w:pPr>
          <w:r w:rsidRPr="0035374B">
            <w:rPr>
              <w:rFonts w:cstheme="minorHAnsi"/>
              <w:b/>
              <w:sz w:val="18"/>
              <w:szCs w:val="18"/>
            </w:rPr>
            <w:t>Data</w:t>
          </w:r>
        </w:p>
      </w:tc>
      <w:tc>
        <w:tcPr>
          <w:tcW w:w="1542" w:type="dxa"/>
        </w:tcPr>
        <w:p w14:paraId="562ED23C" w14:textId="79AEACA2" w:rsidR="001A4AD4" w:rsidRPr="0035374B" w:rsidRDefault="00391B8B" w:rsidP="009925F0">
          <w:pPr>
            <w:pStyle w:val="Cabealho"/>
            <w:rPr>
              <w:rFonts w:cstheme="minorHAnsi"/>
              <w:sz w:val="18"/>
              <w:szCs w:val="18"/>
            </w:rPr>
          </w:pPr>
          <w:proofErr w:type="spellStart"/>
          <w:r>
            <w:rPr>
              <w:rFonts w:asciiTheme="minorHAnsi" w:hAnsiTheme="minorHAnsi" w:cstheme="minorHAnsi"/>
              <w:sz w:val="18"/>
              <w:szCs w:val="18"/>
            </w:rPr>
            <w:t>xx</w:t>
          </w:r>
          <w:proofErr w:type="spellEnd"/>
          <w:r>
            <w:rPr>
              <w:rFonts w:asciiTheme="minorHAnsi" w:hAnsiTheme="minorHAnsi" w:cstheme="minorHAnsi"/>
              <w:sz w:val="18"/>
              <w:szCs w:val="18"/>
            </w:rPr>
            <w:t>/</w:t>
          </w:r>
          <w:proofErr w:type="spellStart"/>
          <w:r>
            <w:rPr>
              <w:rFonts w:asciiTheme="minorHAnsi" w:hAnsiTheme="minorHAnsi" w:cstheme="minorHAnsi"/>
              <w:sz w:val="18"/>
              <w:szCs w:val="18"/>
            </w:rPr>
            <w:t>xx</w:t>
          </w:r>
          <w:proofErr w:type="spellEnd"/>
          <w:r>
            <w:rPr>
              <w:rFonts w:asciiTheme="minorHAnsi" w:hAnsiTheme="minorHAnsi" w:cstheme="minorHAnsi"/>
              <w:sz w:val="18"/>
              <w:szCs w:val="18"/>
            </w:rPr>
            <w:t>/</w:t>
          </w:r>
          <w:proofErr w:type="spellStart"/>
          <w:r>
            <w:rPr>
              <w:rFonts w:asciiTheme="minorHAnsi" w:hAnsiTheme="minorHAnsi" w:cstheme="minorHAnsi"/>
              <w:sz w:val="18"/>
              <w:szCs w:val="18"/>
            </w:rPr>
            <w:t>xxxx</w:t>
          </w:r>
          <w:proofErr w:type="spellEnd"/>
        </w:p>
      </w:tc>
    </w:tr>
    <w:tr w:rsidR="001A4AD4" w14:paraId="3671324B" w14:textId="77777777" w:rsidTr="00A373B0">
      <w:trPr>
        <w:trHeight w:val="330"/>
      </w:trPr>
      <w:tc>
        <w:tcPr>
          <w:tcW w:w="1372" w:type="dxa"/>
          <w:vMerge/>
        </w:tcPr>
        <w:p w14:paraId="1BED6351" w14:textId="77777777" w:rsidR="001A4AD4" w:rsidRDefault="001A4AD4" w:rsidP="006D5998">
          <w:pPr>
            <w:pStyle w:val="Cabealho"/>
          </w:pPr>
        </w:p>
      </w:tc>
      <w:tc>
        <w:tcPr>
          <w:tcW w:w="4882" w:type="dxa"/>
          <w:vMerge/>
        </w:tcPr>
        <w:p w14:paraId="7D07E414" w14:textId="77777777" w:rsidR="001A4AD4" w:rsidRPr="0035374B" w:rsidRDefault="001A4AD4" w:rsidP="006D5998">
          <w:pPr>
            <w:pStyle w:val="Cabealho"/>
            <w:rPr>
              <w:rFonts w:cstheme="minorHAnsi"/>
            </w:rPr>
          </w:pPr>
        </w:p>
      </w:tc>
      <w:tc>
        <w:tcPr>
          <w:tcW w:w="863" w:type="dxa"/>
        </w:tcPr>
        <w:p w14:paraId="32C5C24F" w14:textId="77777777" w:rsidR="001A4AD4" w:rsidRPr="0035374B" w:rsidRDefault="001A4AD4" w:rsidP="006D5998">
          <w:pPr>
            <w:pStyle w:val="Cabealho"/>
            <w:rPr>
              <w:rFonts w:cstheme="minorHAnsi"/>
              <w:b/>
              <w:sz w:val="18"/>
              <w:szCs w:val="18"/>
            </w:rPr>
          </w:pPr>
          <w:r w:rsidRPr="0035374B">
            <w:rPr>
              <w:rFonts w:cstheme="minorHAnsi"/>
              <w:b/>
              <w:sz w:val="18"/>
              <w:szCs w:val="18"/>
            </w:rPr>
            <w:t>Página</w:t>
          </w:r>
        </w:p>
      </w:tc>
      <w:tc>
        <w:tcPr>
          <w:tcW w:w="1542" w:type="dxa"/>
        </w:tcPr>
        <w:p w14:paraId="67BC3207" w14:textId="380FF95F" w:rsidR="001A4AD4" w:rsidRPr="0035374B" w:rsidRDefault="001A4AD4" w:rsidP="009925F0">
          <w:pPr>
            <w:rPr>
              <w:rFonts w:cstheme="minorHAnsi"/>
              <w:sz w:val="18"/>
              <w:szCs w:val="18"/>
            </w:rPr>
          </w:pPr>
          <w:r w:rsidRPr="0035374B">
            <w:rPr>
              <w:rFonts w:cstheme="minorHAnsi"/>
              <w:sz w:val="18"/>
              <w:szCs w:val="18"/>
            </w:rPr>
            <w:t xml:space="preserve">Página </w:t>
          </w:r>
          <w:r w:rsidRPr="0035374B">
            <w:rPr>
              <w:rFonts w:cstheme="minorHAnsi"/>
              <w:sz w:val="18"/>
              <w:szCs w:val="18"/>
            </w:rPr>
            <w:fldChar w:fldCharType="begin"/>
          </w:r>
          <w:r w:rsidRPr="0035374B">
            <w:rPr>
              <w:rFonts w:cstheme="minorHAnsi"/>
              <w:sz w:val="18"/>
              <w:szCs w:val="18"/>
            </w:rPr>
            <w:instrText xml:space="preserve"> PAGE </w:instrText>
          </w:r>
          <w:r w:rsidRPr="0035374B">
            <w:rPr>
              <w:rFonts w:cstheme="minorHAnsi"/>
              <w:sz w:val="18"/>
              <w:szCs w:val="18"/>
            </w:rPr>
            <w:fldChar w:fldCharType="separate"/>
          </w:r>
          <w:r w:rsidR="009925F0">
            <w:rPr>
              <w:rFonts w:cstheme="minorHAnsi"/>
              <w:noProof/>
              <w:sz w:val="18"/>
              <w:szCs w:val="18"/>
            </w:rPr>
            <w:t>20</w:t>
          </w:r>
          <w:r w:rsidRPr="0035374B">
            <w:rPr>
              <w:rFonts w:cstheme="minorHAnsi"/>
              <w:sz w:val="18"/>
              <w:szCs w:val="18"/>
            </w:rPr>
            <w:fldChar w:fldCharType="end"/>
          </w:r>
          <w:r w:rsidRPr="0035374B">
            <w:rPr>
              <w:rFonts w:cstheme="minorHAnsi"/>
              <w:sz w:val="18"/>
              <w:szCs w:val="18"/>
            </w:rPr>
            <w:t xml:space="preserve"> de </w:t>
          </w:r>
          <w:r w:rsidRPr="0035374B">
            <w:rPr>
              <w:rFonts w:cstheme="minorHAnsi"/>
              <w:sz w:val="18"/>
              <w:szCs w:val="18"/>
            </w:rPr>
            <w:fldChar w:fldCharType="begin"/>
          </w:r>
          <w:r w:rsidRPr="0035374B">
            <w:rPr>
              <w:rFonts w:cstheme="minorHAnsi"/>
              <w:sz w:val="18"/>
              <w:szCs w:val="18"/>
            </w:rPr>
            <w:instrText xml:space="preserve"> NUMPAGES  </w:instrText>
          </w:r>
          <w:r w:rsidRPr="0035374B">
            <w:rPr>
              <w:rFonts w:cstheme="minorHAnsi"/>
              <w:sz w:val="18"/>
              <w:szCs w:val="18"/>
            </w:rPr>
            <w:fldChar w:fldCharType="separate"/>
          </w:r>
          <w:r w:rsidR="009925F0">
            <w:rPr>
              <w:rFonts w:cstheme="minorHAnsi"/>
              <w:noProof/>
              <w:sz w:val="18"/>
              <w:szCs w:val="18"/>
            </w:rPr>
            <w:t>20</w:t>
          </w:r>
          <w:r w:rsidRPr="0035374B">
            <w:rPr>
              <w:rFonts w:cstheme="minorHAnsi"/>
              <w:sz w:val="18"/>
              <w:szCs w:val="18"/>
            </w:rPr>
            <w:fldChar w:fldCharType="end"/>
          </w:r>
        </w:p>
        <w:p w14:paraId="39D834DF" w14:textId="77777777" w:rsidR="001A4AD4" w:rsidRPr="0035374B" w:rsidRDefault="001A4AD4" w:rsidP="009925F0">
          <w:pPr>
            <w:pStyle w:val="Cabealho"/>
            <w:rPr>
              <w:rFonts w:cstheme="minorHAnsi"/>
              <w:sz w:val="18"/>
              <w:szCs w:val="18"/>
            </w:rPr>
          </w:pPr>
        </w:p>
      </w:tc>
    </w:tr>
  </w:tbl>
  <w:p w14:paraId="3D331A71" w14:textId="55973EFD" w:rsidR="001A4AD4" w:rsidRDefault="001A4AD4">
    <w:pPr>
      <w:pStyle w:val="Cabealho"/>
    </w:pPr>
  </w:p>
  <w:p w14:paraId="58EFFB91" w14:textId="77777777" w:rsidR="001A4AD4" w:rsidRDefault="001A4A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A54FE"/>
    <w:multiLevelType w:val="multilevel"/>
    <w:tmpl w:val="CFE40A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7B40B60"/>
    <w:multiLevelType w:val="hybridMultilevel"/>
    <w:tmpl w:val="A1E2CC88"/>
    <w:lvl w:ilvl="0" w:tplc="359E5E92">
      <w:start w:val="1"/>
      <w:numFmt w:val="decimal"/>
      <w:lvlText w:val="%1-"/>
      <w:lvlJc w:val="left"/>
      <w:pPr>
        <w:ind w:left="1800" w:hanging="360"/>
      </w:pPr>
      <w:rPr>
        <w:rFonts w:ascii="Calibri" w:eastAsia="Calibri" w:hAnsi="Calibri" w:cs="Calibri" w:hint="default"/>
        <w:sz w:val="22"/>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 w15:restartNumberingAfterBreak="0">
    <w:nsid w:val="18455464"/>
    <w:multiLevelType w:val="hybridMultilevel"/>
    <w:tmpl w:val="8A9892D0"/>
    <w:lvl w:ilvl="0" w:tplc="0416000B">
      <w:start w:val="1"/>
      <w:numFmt w:val="bullet"/>
      <w:lvlText w:val=""/>
      <w:lvlJc w:val="left"/>
      <w:pPr>
        <w:ind w:left="1429" w:hanging="360"/>
      </w:pPr>
      <w:rPr>
        <w:rFonts w:ascii="Wingdings" w:hAnsi="Wingdings"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9F15F95"/>
    <w:multiLevelType w:val="multilevel"/>
    <w:tmpl w:val="4E048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2B47D5"/>
    <w:multiLevelType w:val="multilevel"/>
    <w:tmpl w:val="DC94A5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F6219D6"/>
    <w:multiLevelType w:val="multilevel"/>
    <w:tmpl w:val="A4C0E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5649F7"/>
    <w:multiLevelType w:val="hybridMultilevel"/>
    <w:tmpl w:val="5A503F58"/>
    <w:lvl w:ilvl="0" w:tplc="5B5AF0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882358"/>
    <w:multiLevelType w:val="multilevel"/>
    <w:tmpl w:val="76DC6AB4"/>
    <w:lvl w:ilvl="0">
      <w:start w:val="1"/>
      <w:numFmt w:val="decimal"/>
      <w:lvlText w:val="%1-"/>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4F168BF"/>
    <w:multiLevelType w:val="hybridMultilevel"/>
    <w:tmpl w:val="52142E7E"/>
    <w:lvl w:ilvl="0" w:tplc="71AE98FA">
      <w:numFmt w:val="bullet"/>
      <w:lvlText w:val=""/>
      <w:lvlJc w:val="left"/>
      <w:pPr>
        <w:ind w:left="720" w:hanging="360"/>
      </w:pPr>
      <w:rPr>
        <w:rFonts w:ascii="Symbol" w:eastAsia="Calibri" w:hAnsi="Symbol"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B6E61E8"/>
    <w:multiLevelType w:val="hybridMultilevel"/>
    <w:tmpl w:val="F9749AF0"/>
    <w:lvl w:ilvl="0" w:tplc="FB4EA4B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2C161177"/>
    <w:multiLevelType w:val="multilevel"/>
    <w:tmpl w:val="906A9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7A04022"/>
    <w:multiLevelType w:val="multilevel"/>
    <w:tmpl w:val="21CC07AA"/>
    <w:lvl w:ilvl="0">
      <w:start w:val="1"/>
      <w:numFmt w:val="bullet"/>
      <w:lvlText w:val="⮚"/>
      <w:lvlJc w:val="left"/>
      <w:pPr>
        <w:ind w:left="2629"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3F1429BA"/>
    <w:multiLevelType w:val="multilevel"/>
    <w:tmpl w:val="DD3E27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9151F1"/>
    <w:multiLevelType w:val="hybridMultilevel"/>
    <w:tmpl w:val="252C85C2"/>
    <w:lvl w:ilvl="0" w:tplc="0416000B">
      <w:start w:val="1"/>
      <w:numFmt w:val="bullet"/>
      <w:lvlText w:val=""/>
      <w:lvlJc w:val="left"/>
      <w:pPr>
        <w:ind w:left="2149" w:hanging="360"/>
      </w:pPr>
      <w:rPr>
        <w:rFonts w:ascii="Wingdings" w:hAnsi="Wingdings"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14" w15:restartNumberingAfterBreak="0">
    <w:nsid w:val="429C2EC4"/>
    <w:multiLevelType w:val="hybridMultilevel"/>
    <w:tmpl w:val="5A1EAAA2"/>
    <w:lvl w:ilvl="0" w:tplc="DD22163C">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5" w15:restartNumberingAfterBreak="0">
    <w:nsid w:val="4F523A27"/>
    <w:multiLevelType w:val="hybridMultilevel"/>
    <w:tmpl w:val="7950949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1641F7A"/>
    <w:multiLevelType w:val="multilevel"/>
    <w:tmpl w:val="7368E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E973F6"/>
    <w:multiLevelType w:val="multilevel"/>
    <w:tmpl w:val="FF4223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9707269"/>
    <w:multiLevelType w:val="multilevel"/>
    <w:tmpl w:val="CDD266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315D27"/>
    <w:multiLevelType w:val="multilevel"/>
    <w:tmpl w:val="E49274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62412C43"/>
    <w:multiLevelType w:val="hybridMultilevel"/>
    <w:tmpl w:val="5A2E0742"/>
    <w:lvl w:ilvl="0" w:tplc="7B167D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29E19B6"/>
    <w:multiLevelType w:val="multilevel"/>
    <w:tmpl w:val="04101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044EB3"/>
    <w:multiLevelType w:val="multilevel"/>
    <w:tmpl w:val="D962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FA163B"/>
    <w:multiLevelType w:val="multilevel"/>
    <w:tmpl w:val="343C5DB6"/>
    <w:lvl w:ilvl="0">
      <w:start w:val="1"/>
      <w:numFmt w:val="bullet"/>
      <w:lvlText w:val="⮚"/>
      <w:lvlJc w:val="left"/>
      <w:pPr>
        <w:ind w:left="1490" w:hanging="360"/>
      </w:pPr>
      <w:rPr>
        <w:rFonts w:ascii="Noto Sans Symbols" w:eastAsia="Noto Sans Symbols" w:hAnsi="Noto Sans Symbols" w:cs="Noto Sans Symbols"/>
      </w:rPr>
    </w:lvl>
    <w:lvl w:ilvl="1">
      <w:start w:val="1"/>
      <w:numFmt w:val="bullet"/>
      <w:lvlText w:val="o"/>
      <w:lvlJc w:val="left"/>
      <w:pPr>
        <w:ind w:left="2210" w:hanging="360"/>
      </w:pPr>
      <w:rPr>
        <w:rFonts w:ascii="Courier New" w:eastAsia="Courier New" w:hAnsi="Courier New" w:cs="Courier New"/>
      </w:rPr>
    </w:lvl>
    <w:lvl w:ilvl="2">
      <w:start w:val="1"/>
      <w:numFmt w:val="bullet"/>
      <w:lvlText w:val="▪"/>
      <w:lvlJc w:val="left"/>
      <w:pPr>
        <w:ind w:left="2930" w:hanging="360"/>
      </w:pPr>
      <w:rPr>
        <w:rFonts w:ascii="Noto Sans Symbols" w:eastAsia="Noto Sans Symbols" w:hAnsi="Noto Sans Symbols" w:cs="Noto Sans Symbols"/>
      </w:rPr>
    </w:lvl>
    <w:lvl w:ilvl="3">
      <w:start w:val="1"/>
      <w:numFmt w:val="bullet"/>
      <w:lvlText w:val="●"/>
      <w:lvlJc w:val="left"/>
      <w:pPr>
        <w:ind w:left="3650" w:hanging="360"/>
      </w:pPr>
      <w:rPr>
        <w:rFonts w:ascii="Noto Sans Symbols" w:eastAsia="Noto Sans Symbols" w:hAnsi="Noto Sans Symbols" w:cs="Noto Sans Symbols"/>
      </w:rPr>
    </w:lvl>
    <w:lvl w:ilvl="4">
      <w:start w:val="1"/>
      <w:numFmt w:val="bullet"/>
      <w:lvlText w:val="o"/>
      <w:lvlJc w:val="left"/>
      <w:pPr>
        <w:ind w:left="4370" w:hanging="360"/>
      </w:pPr>
      <w:rPr>
        <w:rFonts w:ascii="Courier New" w:eastAsia="Courier New" w:hAnsi="Courier New" w:cs="Courier New"/>
      </w:rPr>
    </w:lvl>
    <w:lvl w:ilvl="5">
      <w:start w:val="1"/>
      <w:numFmt w:val="bullet"/>
      <w:lvlText w:val="▪"/>
      <w:lvlJc w:val="left"/>
      <w:pPr>
        <w:ind w:left="5090" w:hanging="360"/>
      </w:pPr>
      <w:rPr>
        <w:rFonts w:ascii="Noto Sans Symbols" w:eastAsia="Noto Sans Symbols" w:hAnsi="Noto Sans Symbols" w:cs="Noto Sans Symbols"/>
      </w:rPr>
    </w:lvl>
    <w:lvl w:ilvl="6">
      <w:start w:val="1"/>
      <w:numFmt w:val="bullet"/>
      <w:lvlText w:val="●"/>
      <w:lvlJc w:val="left"/>
      <w:pPr>
        <w:ind w:left="5810" w:hanging="360"/>
      </w:pPr>
      <w:rPr>
        <w:rFonts w:ascii="Noto Sans Symbols" w:eastAsia="Noto Sans Symbols" w:hAnsi="Noto Sans Symbols" w:cs="Noto Sans Symbols"/>
      </w:rPr>
    </w:lvl>
    <w:lvl w:ilvl="7">
      <w:start w:val="1"/>
      <w:numFmt w:val="bullet"/>
      <w:lvlText w:val="o"/>
      <w:lvlJc w:val="left"/>
      <w:pPr>
        <w:ind w:left="6530" w:hanging="360"/>
      </w:pPr>
      <w:rPr>
        <w:rFonts w:ascii="Courier New" w:eastAsia="Courier New" w:hAnsi="Courier New" w:cs="Courier New"/>
      </w:rPr>
    </w:lvl>
    <w:lvl w:ilvl="8">
      <w:start w:val="1"/>
      <w:numFmt w:val="bullet"/>
      <w:lvlText w:val="▪"/>
      <w:lvlJc w:val="left"/>
      <w:pPr>
        <w:ind w:left="7250" w:hanging="360"/>
      </w:pPr>
      <w:rPr>
        <w:rFonts w:ascii="Noto Sans Symbols" w:eastAsia="Noto Sans Symbols" w:hAnsi="Noto Sans Symbols" w:cs="Noto Sans Symbols"/>
      </w:rPr>
    </w:lvl>
  </w:abstractNum>
  <w:abstractNum w:abstractNumId="24" w15:restartNumberingAfterBreak="0">
    <w:nsid w:val="71760C47"/>
    <w:multiLevelType w:val="hybridMultilevel"/>
    <w:tmpl w:val="2B801500"/>
    <w:lvl w:ilvl="0" w:tplc="883AC3A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72BF4A66"/>
    <w:multiLevelType w:val="multilevel"/>
    <w:tmpl w:val="C8BC62F4"/>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6" w15:restartNumberingAfterBreak="0">
    <w:nsid w:val="736D79B4"/>
    <w:multiLevelType w:val="hybridMultilevel"/>
    <w:tmpl w:val="5A1EAA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816C85"/>
    <w:multiLevelType w:val="hybridMultilevel"/>
    <w:tmpl w:val="2760ED0A"/>
    <w:lvl w:ilvl="0" w:tplc="03D2E970">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793A693C"/>
    <w:multiLevelType w:val="multilevel"/>
    <w:tmpl w:val="FA5070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A0C73BE"/>
    <w:multiLevelType w:val="hybridMultilevel"/>
    <w:tmpl w:val="61928EAC"/>
    <w:lvl w:ilvl="0" w:tplc="C24C99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9"/>
  </w:num>
  <w:num w:numId="2">
    <w:abstractNumId w:val="21"/>
  </w:num>
  <w:num w:numId="3">
    <w:abstractNumId w:val="4"/>
  </w:num>
  <w:num w:numId="4">
    <w:abstractNumId w:val="11"/>
  </w:num>
  <w:num w:numId="5">
    <w:abstractNumId w:val="12"/>
  </w:num>
  <w:num w:numId="6">
    <w:abstractNumId w:val="10"/>
  </w:num>
  <w:num w:numId="7">
    <w:abstractNumId w:val="7"/>
  </w:num>
  <w:num w:numId="8">
    <w:abstractNumId w:val="16"/>
  </w:num>
  <w:num w:numId="9">
    <w:abstractNumId w:val="0"/>
  </w:num>
  <w:num w:numId="10">
    <w:abstractNumId w:val="18"/>
  </w:num>
  <w:num w:numId="11">
    <w:abstractNumId w:val="3"/>
  </w:num>
  <w:num w:numId="12">
    <w:abstractNumId w:val="23"/>
  </w:num>
  <w:num w:numId="13">
    <w:abstractNumId w:val="17"/>
  </w:num>
  <w:num w:numId="14">
    <w:abstractNumId w:val="5"/>
  </w:num>
  <w:num w:numId="15">
    <w:abstractNumId w:val="22"/>
  </w:num>
  <w:num w:numId="16">
    <w:abstractNumId w:val="28"/>
  </w:num>
  <w:num w:numId="17">
    <w:abstractNumId w:val="25"/>
  </w:num>
  <w:num w:numId="18">
    <w:abstractNumId w:val="24"/>
  </w:num>
  <w:num w:numId="19">
    <w:abstractNumId w:val="8"/>
  </w:num>
  <w:num w:numId="20">
    <w:abstractNumId w:val="6"/>
  </w:num>
  <w:num w:numId="21">
    <w:abstractNumId w:val="14"/>
  </w:num>
  <w:num w:numId="22">
    <w:abstractNumId w:val="26"/>
  </w:num>
  <w:num w:numId="23">
    <w:abstractNumId w:val="27"/>
  </w:num>
  <w:num w:numId="24">
    <w:abstractNumId w:val="9"/>
  </w:num>
  <w:num w:numId="25">
    <w:abstractNumId w:val="29"/>
  </w:num>
  <w:num w:numId="26">
    <w:abstractNumId w:val="20"/>
  </w:num>
  <w:num w:numId="27">
    <w:abstractNumId w:val="15"/>
  </w:num>
  <w:num w:numId="28">
    <w:abstractNumId w:val="1"/>
  </w:num>
  <w:num w:numId="29">
    <w:abstractNumId w:val="1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9F"/>
    <w:rsid w:val="00002B74"/>
    <w:rsid w:val="000437CE"/>
    <w:rsid w:val="00063080"/>
    <w:rsid w:val="00081947"/>
    <w:rsid w:val="0009711A"/>
    <w:rsid w:val="000B44DB"/>
    <w:rsid w:val="000D19D3"/>
    <w:rsid w:val="000D60E4"/>
    <w:rsid w:val="000E6C2D"/>
    <w:rsid w:val="001439BB"/>
    <w:rsid w:val="00192499"/>
    <w:rsid w:val="001A4AD4"/>
    <w:rsid w:val="001B1ECA"/>
    <w:rsid w:val="001B7FD8"/>
    <w:rsid w:val="001D3E02"/>
    <w:rsid w:val="001F0EBB"/>
    <w:rsid w:val="00215AE8"/>
    <w:rsid w:val="00230D60"/>
    <w:rsid w:val="0026746A"/>
    <w:rsid w:val="00273E84"/>
    <w:rsid w:val="002775B4"/>
    <w:rsid w:val="002B119E"/>
    <w:rsid w:val="002B2174"/>
    <w:rsid w:val="002D0BE4"/>
    <w:rsid w:val="002E2F97"/>
    <w:rsid w:val="002F2B42"/>
    <w:rsid w:val="00376B7E"/>
    <w:rsid w:val="00386904"/>
    <w:rsid w:val="00391B8B"/>
    <w:rsid w:val="003E3940"/>
    <w:rsid w:val="003F4BD6"/>
    <w:rsid w:val="00434C5B"/>
    <w:rsid w:val="00443164"/>
    <w:rsid w:val="004653F1"/>
    <w:rsid w:val="0048338E"/>
    <w:rsid w:val="0048640A"/>
    <w:rsid w:val="00495E3F"/>
    <w:rsid w:val="004A3952"/>
    <w:rsid w:val="004A7F50"/>
    <w:rsid w:val="004B05A0"/>
    <w:rsid w:val="004B3FF4"/>
    <w:rsid w:val="004E32BC"/>
    <w:rsid w:val="004F2011"/>
    <w:rsid w:val="00503E9F"/>
    <w:rsid w:val="00542A51"/>
    <w:rsid w:val="00546491"/>
    <w:rsid w:val="00574790"/>
    <w:rsid w:val="005871C2"/>
    <w:rsid w:val="005E59BF"/>
    <w:rsid w:val="005F1AF1"/>
    <w:rsid w:val="00627C59"/>
    <w:rsid w:val="0068668D"/>
    <w:rsid w:val="00686FA1"/>
    <w:rsid w:val="006B38C0"/>
    <w:rsid w:val="006C3E52"/>
    <w:rsid w:val="006C65AE"/>
    <w:rsid w:val="006D3C61"/>
    <w:rsid w:val="006D5998"/>
    <w:rsid w:val="006E0E13"/>
    <w:rsid w:val="006F34B3"/>
    <w:rsid w:val="00706151"/>
    <w:rsid w:val="0071376D"/>
    <w:rsid w:val="00726379"/>
    <w:rsid w:val="00754602"/>
    <w:rsid w:val="007670EB"/>
    <w:rsid w:val="00771D1D"/>
    <w:rsid w:val="00777193"/>
    <w:rsid w:val="00797790"/>
    <w:rsid w:val="007B3AD4"/>
    <w:rsid w:val="007B5FA2"/>
    <w:rsid w:val="007C0869"/>
    <w:rsid w:val="007C6F41"/>
    <w:rsid w:val="007D3F0B"/>
    <w:rsid w:val="007F6D75"/>
    <w:rsid w:val="00801FDB"/>
    <w:rsid w:val="00846763"/>
    <w:rsid w:val="0085363D"/>
    <w:rsid w:val="00856A36"/>
    <w:rsid w:val="00862D34"/>
    <w:rsid w:val="0089290E"/>
    <w:rsid w:val="00897C70"/>
    <w:rsid w:val="008E42F7"/>
    <w:rsid w:val="008F490C"/>
    <w:rsid w:val="00916EA5"/>
    <w:rsid w:val="00935D9F"/>
    <w:rsid w:val="009514D6"/>
    <w:rsid w:val="009541BE"/>
    <w:rsid w:val="0095484E"/>
    <w:rsid w:val="00955666"/>
    <w:rsid w:val="00957CD4"/>
    <w:rsid w:val="009645F3"/>
    <w:rsid w:val="00991377"/>
    <w:rsid w:val="009925F0"/>
    <w:rsid w:val="009948F8"/>
    <w:rsid w:val="009954C9"/>
    <w:rsid w:val="0099771D"/>
    <w:rsid w:val="009A5C37"/>
    <w:rsid w:val="009B77BE"/>
    <w:rsid w:val="009C6567"/>
    <w:rsid w:val="009D2B56"/>
    <w:rsid w:val="009E64F5"/>
    <w:rsid w:val="00A05E6E"/>
    <w:rsid w:val="00A27A22"/>
    <w:rsid w:val="00A3175F"/>
    <w:rsid w:val="00A33331"/>
    <w:rsid w:val="00A373B0"/>
    <w:rsid w:val="00A53104"/>
    <w:rsid w:val="00A663D8"/>
    <w:rsid w:val="00A841C0"/>
    <w:rsid w:val="00A85823"/>
    <w:rsid w:val="00A956F4"/>
    <w:rsid w:val="00AB35AA"/>
    <w:rsid w:val="00AE10A5"/>
    <w:rsid w:val="00AF1CF4"/>
    <w:rsid w:val="00AF67B1"/>
    <w:rsid w:val="00B07EC4"/>
    <w:rsid w:val="00B1714E"/>
    <w:rsid w:val="00B205E2"/>
    <w:rsid w:val="00B341CA"/>
    <w:rsid w:val="00B633AE"/>
    <w:rsid w:val="00B6648B"/>
    <w:rsid w:val="00B66D0F"/>
    <w:rsid w:val="00B67E67"/>
    <w:rsid w:val="00B702DD"/>
    <w:rsid w:val="00B7445A"/>
    <w:rsid w:val="00BB2B68"/>
    <w:rsid w:val="00BD50C4"/>
    <w:rsid w:val="00BD6312"/>
    <w:rsid w:val="00BE237C"/>
    <w:rsid w:val="00BF221E"/>
    <w:rsid w:val="00C05F52"/>
    <w:rsid w:val="00C51EC7"/>
    <w:rsid w:val="00C70350"/>
    <w:rsid w:val="00C86BB5"/>
    <w:rsid w:val="00C87E24"/>
    <w:rsid w:val="00CB1DAB"/>
    <w:rsid w:val="00CB618A"/>
    <w:rsid w:val="00CD7590"/>
    <w:rsid w:val="00CE0D2C"/>
    <w:rsid w:val="00CE37E5"/>
    <w:rsid w:val="00CE4D95"/>
    <w:rsid w:val="00D01767"/>
    <w:rsid w:val="00D06FFC"/>
    <w:rsid w:val="00D3174D"/>
    <w:rsid w:val="00D353DE"/>
    <w:rsid w:val="00D54A5B"/>
    <w:rsid w:val="00D84B22"/>
    <w:rsid w:val="00D91A17"/>
    <w:rsid w:val="00DB20C1"/>
    <w:rsid w:val="00DB2D18"/>
    <w:rsid w:val="00DD0751"/>
    <w:rsid w:val="00DE2309"/>
    <w:rsid w:val="00DF1A32"/>
    <w:rsid w:val="00DF223C"/>
    <w:rsid w:val="00E4195A"/>
    <w:rsid w:val="00E43F97"/>
    <w:rsid w:val="00E460C2"/>
    <w:rsid w:val="00E55018"/>
    <w:rsid w:val="00E57D4C"/>
    <w:rsid w:val="00E65272"/>
    <w:rsid w:val="00E763A7"/>
    <w:rsid w:val="00E85D1F"/>
    <w:rsid w:val="00E93D99"/>
    <w:rsid w:val="00E9586D"/>
    <w:rsid w:val="00EA01B9"/>
    <w:rsid w:val="00EA426C"/>
    <w:rsid w:val="00EB427B"/>
    <w:rsid w:val="00EB792A"/>
    <w:rsid w:val="00EC4618"/>
    <w:rsid w:val="00ED2CAF"/>
    <w:rsid w:val="00ED3D38"/>
    <w:rsid w:val="00EE020C"/>
    <w:rsid w:val="00EF6070"/>
    <w:rsid w:val="00F066AF"/>
    <w:rsid w:val="00F20F46"/>
    <w:rsid w:val="00F257FB"/>
    <w:rsid w:val="00F32D6F"/>
    <w:rsid w:val="00F51297"/>
    <w:rsid w:val="00F60C4E"/>
    <w:rsid w:val="00F77855"/>
    <w:rsid w:val="00F8345E"/>
    <w:rsid w:val="00F87DAE"/>
    <w:rsid w:val="00FB35B3"/>
    <w:rsid w:val="00FD7B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99F8"/>
  <w15:docId w15:val="{8803577B-7946-4A3E-9593-FB531F6A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70" w:type="dxa"/>
        <w:right w:w="70" w:type="dxa"/>
      </w:tblCellMar>
    </w:tblPr>
  </w:style>
  <w:style w:type="table" w:customStyle="1" w:styleId="a0">
    <w:basedOn w:val="TableNormal"/>
    <w:pPr>
      <w:spacing w:line="240" w:lineRule="auto"/>
    </w:pPr>
    <w:tblPr>
      <w:tblStyleRowBandSize w:val="1"/>
      <w:tblStyleColBandSize w:val="1"/>
      <w:tblCellMar>
        <w:left w:w="70" w:type="dxa"/>
        <w:right w:w="70" w:type="dxa"/>
      </w:tblCellMar>
    </w:tblPr>
  </w:style>
  <w:style w:type="table" w:customStyle="1" w:styleId="a1">
    <w:basedOn w:val="TableNormal"/>
    <w:pPr>
      <w:spacing w:line="240" w:lineRule="auto"/>
    </w:pPr>
    <w:tblPr>
      <w:tblStyleRowBandSize w:val="1"/>
      <w:tblStyleColBandSize w:val="1"/>
      <w:tblCellMar>
        <w:left w:w="70" w:type="dxa"/>
        <w:right w:w="70" w:type="dxa"/>
      </w:tblCellMar>
    </w:tblPr>
  </w:style>
  <w:style w:type="table" w:customStyle="1" w:styleId="a2">
    <w:basedOn w:val="TableNormal"/>
    <w:pPr>
      <w:spacing w:line="240" w:lineRule="auto"/>
    </w:pPr>
    <w:tblPr>
      <w:tblStyleRowBandSize w:val="1"/>
      <w:tblStyleColBandSize w:val="1"/>
      <w:tblCellMar>
        <w:left w:w="70" w:type="dxa"/>
        <w:right w:w="70" w:type="dxa"/>
      </w:tblCellMar>
    </w:tblPr>
  </w:style>
  <w:style w:type="table" w:customStyle="1" w:styleId="a3">
    <w:basedOn w:val="TableNormal"/>
    <w:pPr>
      <w:spacing w:line="240" w:lineRule="auto"/>
    </w:pPr>
    <w:tblPr>
      <w:tblStyleRowBandSize w:val="1"/>
      <w:tblStyleColBandSize w:val="1"/>
      <w:tblCellMar>
        <w:left w:w="70" w:type="dxa"/>
        <w:right w:w="70" w:type="dxa"/>
      </w:tblCellMar>
    </w:tblPr>
  </w:style>
  <w:style w:type="table" w:customStyle="1" w:styleId="a4">
    <w:basedOn w:val="TableNormal"/>
    <w:pPr>
      <w:spacing w:line="240" w:lineRule="auto"/>
    </w:pPr>
    <w:tblPr>
      <w:tblStyleRowBandSize w:val="1"/>
      <w:tblStyleColBandSize w:val="1"/>
      <w:tblCellMar>
        <w:left w:w="70" w:type="dxa"/>
        <w:right w:w="70" w:type="dxa"/>
      </w:tblCellMar>
    </w:tblPr>
  </w:style>
  <w:style w:type="table" w:customStyle="1" w:styleId="a5">
    <w:basedOn w:val="TableNormal"/>
    <w:pPr>
      <w:spacing w:line="240" w:lineRule="auto"/>
    </w:pPr>
    <w:tblPr>
      <w:tblStyleRowBandSize w:val="1"/>
      <w:tblStyleColBandSize w:val="1"/>
      <w:tblCellMar>
        <w:left w:w="70" w:type="dxa"/>
        <w:right w:w="70" w:type="dxa"/>
      </w:tblCellMar>
    </w:tblPr>
  </w:style>
  <w:style w:type="table" w:customStyle="1" w:styleId="a6">
    <w:basedOn w:val="TableNormal"/>
    <w:pPr>
      <w:spacing w:line="240" w:lineRule="auto"/>
    </w:pPr>
    <w:tblPr>
      <w:tblStyleRowBandSize w:val="1"/>
      <w:tblStyleColBandSize w:val="1"/>
      <w:tblCellMar>
        <w:left w:w="70" w:type="dxa"/>
        <w:right w:w="70" w:type="dxa"/>
      </w:tblCellMar>
    </w:tblPr>
  </w:style>
  <w:style w:type="table" w:customStyle="1" w:styleId="a7">
    <w:basedOn w:val="TableNormal"/>
    <w:pPr>
      <w:spacing w:line="240" w:lineRule="auto"/>
    </w:pPr>
    <w:tblPr>
      <w:tblStyleRowBandSize w:val="1"/>
      <w:tblStyleColBandSize w:val="1"/>
      <w:tblCellMar>
        <w:left w:w="70" w:type="dxa"/>
        <w:right w:w="70" w:type="dxa"/>
      </w:tblCellMar>
    </w:tblPr>
  </w:style>
  <w:style w:type="table" w:customStyle="1" w:styleId="a8">
    <w:basedOn w:val="TableNormal"/>
    <w:pPr>
      <w:spacing w:line="240" w:lineRule="auto"/>
    </w:pPr>
    <w:tblPr>
      <w:tblStyleRowBandSize w:val="1"/>
      <w:tblStyleColBandSize w:val="1"/>
      <w:tblCellMar>
        <w:left w:w="70" w:type="dxa"/>
        <w:right w:w="70" w:type="dxa"/>
      </w:tblCellMar>
    </w:tblPr>
  </w:style>
  <w:style w:type="table" w:customStyle="1" w:styleId="a9">
    <w:basedOn w:val="TableNormal"/>
    <w:pPr>
      <w:spacing w:line="240" w:lineRule="auto"/>
    </w:pPr>
    <w:tblPr>
      <w:tblStyleRowBandSize w:val="1"/>
      <w:tblStyleColBandSize w:val="1"/>
      <w:tblCellMar>
        <w:left w:w="70" w:type="dxa"/>
        <w:right w:w="70" w:type="dxa"/>
      </w:tblCellMar>
    </w:tblPr>
  </w:style>
  <w:style w:type="paragraph" w:styleId="PargrafodaLista">
    <w:name w:val="List Paragraph"/>
    <w:basedOn w:val="Normal"/>
    <w:uiPriority w:val="34"/>
    <w:qFormat/>
    <w:rsid w:val="00957CD4"/>
    <w:pPr>
      <w:ind w:left="720"/>
      <w:contextualSpacing/>
    </w:pPr>
  </w:style>
  <w:style w:type="table" w:styleId="Tabelacomgrade">
    <w:name w:val="Table Grid"/>
    <w:basedOn w:val="Tabelanormal"/>
    <w:uiPriority w:val="59"/>
    <w:rsid w:val="00BE23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702DD"/>
    <w:rPr>
      <w:color w:val="0000FF" w:themeColor="hyperlink"/>
      <w:u w:val="single"/>
    </w:rPr>
  </w:style>
  <w:style w:type="character" w:customStyle="1" w:styleId="MenoPendente1">
    <w:name w:val="Menção Pendente1"/>
    <w:basedOn w:val="Fontepargpadro"/>
    <w:uiPriority w:val="99"/>
    <w:semiHidden/>
    <w:unhideWhenUsed/>
    <w:rsid w:val="00B702DD"/>
    <w:rPr>
      <w:color w:val="605E5C"/>
      <w:shd w:val="clear" w:color="auto" w:fill="E1DFDD"/>
    </w:rPr>
  </w:style>
  <w:style w:type="paragraph" w:styleId="CabealhodoSumrio">
    <w:name w:val="TOC Heading"/>
    <w:basedOn w:val="Ttulo1"/>
    <w:next w:val="Normal"/>
    <w:uiPriority w:val="39"/>
    <w:unhideWhenUsed/>
    <w:qFormat/>
    <w:rsid w:val="00F60C4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2">
    <w:name w:val="toc 2"/>
    <w:basedOn w:val="Normal"/>
    <w:next w:val="Normal"/>
    <w:autoRedefine/>
    <w:uiPriority w:val="39"/>
    <w:unhideWhenUsed/>
    <w:rsid w:val="00F60C4E"/>
    <w:pPr>
      <w:spacing w:after="100" w:line="259" w:lineRule="auto"/>
      <w:ind w:left="220"/>
    </w:pPr>
    <w:rPr>
      <w:rFonts w:asciiTheme="minorHAnsi" w:eastAsiaTheme="minorEastAsia" w:hAnsiTheme="minorHAnsi" w:cs="Times New Roman"/>
    </w:rPr>
  </w:style>
  <w:style w:type="paragraph" w:styleId="Sumrio1">
    <w:name w:val="toc 1"/>
    <w:basedOn w:val="Normal"/>
    <w:next w:val="Normal"/>
    <w:autoRedefine/>
    <w:uiPriority w:val="39"/>
    <w:unhideWhenUsed/>
    <w:rsid w:val="00F60C4E"/>
    <w:pPr>
      <w:spacing w:after="100" w:line="259" w:lineRule="auto"/>
    </w:pPr>
    <w:rPr>
      <w:rFonts w:asciiTheme="minorHAnsi" w:eastAsiaTheme="minorEastAsia" w:hAnsiTheme="minorHAnsi" w:cs="Times New Roman"/>
    </w:rPr>
  </w:style>
  <w:style w:type="paragraph" w:styleId="Sumrio3">
    <w:name w:val="toc 3"/>
    <w:basedOn w:val="Normal"/>
    <w:next w:val="Normal"/>
    <w:autoRedefine/>
    <w:uiPriority w:val="39"/>
    <w:unhideWhenUsed/>
    <w:rsid w:val="00F60C4E"/>
    <w:pPr>
      <w:spacing w:after="100" w:line="259" w:lineRule="auto"/>
      <w:ind w:left="440"/>
    </w:pPr>
    <w:rPr>
      <w:rFonts w:asciiTheme="minorHAnsi" w:eastAsiaTheme="minorEastAsia" w:hAnsiTheme="minorHAnsi" w:cs="Times New Roman"/>
    </w:rPr>
  </w:style>
  <w:style w:type="paragraph" w:styleId="Cabealho">
    <w:name w:val="header"/>
    <w:basedOn w:val="Normal"/>
    <w:link w:val="CabealhoChar"/>
    <w:unhideWhenUsed/>
    <w:rsid w:val="006D5998"/>
    <w:pPr>
      <w:tabs>
        <w:tab w:val="center" w:pos="4252"/>
        <w:tab w:val="right" w:pos="8504"/>
      </w:tabs>
      <w:spacing w:line="240" w:lineRule="auto"/>
    </w:pPr>
  </w:style>
  <w:style w:type="character" w:customStyle="1" w:styleId="CabealhoChar">
    <w:name w:val="Cabeçalho Char"/>
    <w:basedOn w:val="Fontepargpadro"/>
    <w:link w:val="Cabealho"/>
    <w:uiPriority w:val="99"/>
    <w:rsid w:val="006D5998"/>
  </w:style>
  <w:style w:type="paragraph" w:styleId="Rodap">
    <w:name w:val="footer"/>
    <w:basedOn w:val="Normal"/>
    <w:link w:val="RodapChar"/>
    <w:uiPriority w:val="99"/>
    <w:unhideWhenUsed/>
    <w:rsid w:val="006D5998"/>
    <w:pPr>
      <w:tabs>
        <w:tab w:val="center" w:pos="4252"/>
        <w:tab w:val="right" w:pos="8504"/>
      </w:tabs>
      <w:spacing w:line="240" w:lineRule="auto"/>
    </w:pPr>
  </w:style>
  <w:style w:type="character" w:customStyle="1" w:styleId="RodapChar">
    <w:name w:val="Rodapé Char"/>
    <w:basedOn w:val="Fontepargpadro"/>
    <w:link w:val="Rodap"/>
    <w:uiPriority w:val="99"/>
    <w:rsid w:val="006D5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1624">
      <w:bodyDiv w:val="1"/>
      <w:marLeft w:val="0"/>
      <w:marRight w:val="0"/>
      <w:marTop w:val="0"/>
      <w:marBottom w:val="0"/>
      <w:divBdr>
        <w:top w:val="none" w:sz="0" w:space="0" w:color="auto"/>
        <w:left w:val="none" w:sz="0" w:space="0" w:color="auto"/>
        <w:bottom w:val="none" w:sz="0" w:space="0" w:color="auto"/>
        <w:right w:val="none" w:sz="0" w:space="0" w:color="auto"/>
      </w:divBdr>
    </w:div>
    <w:div w:id="273103274">
      <w:bodyDiv w:val="1"/>
      <w:marLeft w:val="0"/>
      <w:marRight w:val="0"/>
      <w:marTop w:val="0"/>
      <w:marBottom w:val="0"/>
      <w:divBdr>
        <w:top w:val="none" w:sz="0" w:space="0" w:color="auto"/>
        <w:left w:val="none" w:sz="0" w:space="0" w:color="auto"/>
        <w:bottom w:val="none" w:sz="0" w:space="0" w:color="auto"/>
        <w:right w:val="none" w:sz="0" w:space="0" w:color="auto"/>
      </w:divBdr>
    </w:div>
    <w:div w:id="460198480">
      <w:bodyDiv w:val="1"/>
      <w:marLeft w:val="0"/>
      <w:marRight w:val="0"/>
      <w:marTop w:val="0"/>
      <w:marBottom w:val="0"/>
      <w:divBdr>
        <w:top w:val="none" w:sz="0" w:space="0" w:color="auto"/>
        <w:left w:val="none" w:sz="0" w:space="0" w:color="auto"/>
        <w:bottom w:val="none" w:sz="0" w:space="0" w:color="auto"/>
        <w:right w:val="none" w:sz="0" w:space="0" w:color="auto"/>
      </w:divBdr>
    </w:div>
    <w:div w:id="474301793">
      <w:bodyDiv w:val="1"/>
      <w:marLeft w:val="0"/>
      <w:marRight w:val="0"/>
      <w:marTop w:val="0"/>
      <w:marBottom w:val="0"/>
      <w:divBdr>
        <w:top w:val="none" w:sz="0" w:space="0" w:color="auto"/>
        <w:left w:val="none" w:sz="0" w:space="0" w:color="auto"/>
        <w:bottom w:val="none" w:sz="0" w:space="0" w:color="auto"/>
        <w:right w:val="none" w:sz="0" w:space="0" w:color="auto"/>
      </w:divBdr>
    </w:div>
    <w:div w:id="682829030">
      <w:bodyDiv w:val="1"/>
      <w:marLeft w:val="0"/>
      <w:marRight w:val="0"/>
      <w:marTop w:val="0"/>
      <w:marBottom w:val="0"/>
      <w:divBdr>
        <w:top w:val="none" w:sz="0" w:space="0" w:color="auto"/>
        <w:left w:val="none" w:sz="0" w:space="0" w:color="auto"/>
        <w:bottom w:val="none" w:sz="0" w:space="0" w:color="auto"/>
        <w:right w:val="none" w:sz="0" w:space="0" w:color="auto"/>
      </w:divBdr>
    </w:div>
    <w:div w:id="942491923">
      <w:bodyDiv w:val="1"/>
      <w:marLeft w:val="0"/>
      <w:marRight w:val="0"/>
      <w:marTop w:val="0"/>
      <w:marBottom w:val="0"/>
      <w:divBdr>
        <w:top w:val="none" w:sz="0" w:space="0" w:color="auto"/>
        <w:left w:val="none" w:sz="0" w:space="0" w:color="auto"/>
        <w:bottom w:val="none" w:sz="0" w:space="0" w:color="auto"/>
        <w:right w:val="none" w:sz="0" w:space="0" w:color="auto"/>
      </w:divBdr>
    </w:div>
    <w:div w:id="1043753490">
      <w:bodyDiv w:val="1"/>
      <w:marLeft w:val="0"/>
      <w:marRight w:val="0"/>
      <w:marTop w:val="0"/>
      <w:marBottom w:val="0"/>
      <w:divBdr>
        <w:top w:val="none" w:sz="0" w:space="0" w:color="auto"/>
        <w:left w:val="none" w:sz="0" w:space="0" w:color="auto"/>
        <w:bottom w:val="none" w:sz="0" w:space="0" w:color="auto"/>
        <w:right w:val="none" w:sz="0" w:space="0" w:color="auto"/>
      </w:divBdr>
    </w:div>
    <w:div w:id="1094939536">
      <w:bodyDiv w:val="1"/>
      <w:marLeft w:val="0"/>
      <w:marRight w:val="0"/>
      <w:marTop w:val="0"/>
      <w:marBottom w:val="0"/>
      <w:divBdr>
        <w:top w:val="none" w:sz="0" w:space="0" w:color="auto"/>
        <w:left w:val="none" w:sz="0" w:space="0" w:color="auto"/>
        <w:bottom w:val="none" w:sz="0" w:space="0" w:color="auto"/>
        <w:right w:val="none" w:sz="0" w:space="0" w:color="auto"/>
      </w:divBdr>
    </w:div>
    <w:div w:id="1564638241">
      <w:bodyDiv w:val="1"/>
      <w:marLeft w:val="0"/>
      <w:marRight w:val="0"/>
      <w:marTop w:val="0"/>
      <w:marBottom w:val="0"/>
      <w:divBdr>
        <w:top w:val="none" w:sz="0" w:space="0" w:color="auto"/>
        <w:left w:val="none" w:sz="0" w:space="0" w:color="auto"/>
        <w:bottom w:val="none" w:sz="0" w:space="0" w:color="auto"/>
        <w:right w:val="none" w:sz="0" w:space="0" w:color="auto"/>
      </w:divBdr>
    </w:div>
    <w:div w:id="1794785242">
      <w:bodyDiv w:val="1"/>
      <w:marLeft w:val="0"/>
      <w:marRight w:val="0"/>
      <w:marTop w:val="0"/>
      <w:marBottom w:val="0"/>
      <w:divBdr>
        <w:top w:val="none" w:sz="0" w:space="0" w:color="auto"/>
        <w:left w:val="none" w:sz="0" w:space="0" w:color="auto"/>
        <w:bottom w:val="none" w:sz="0" w:space="0" w:color="auto"/>
        <w:right w:val="none" w:sz="0" w:space="0" w:color="auto"/>
      </w:divBdr>
    </w:div>
    <w:div w:id="184662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erasus.saude.mg.gov.b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67755-24E3-48C6-8846-D361C379C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20</Pages>
  <Words>5468</Words>
  <Characters>29528</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Raquel Faria Nunes</dc:creator>
  <cp:lastModifiedBy>Raquel Faria Nunes</cp:lastModifiedBy>
  <cp:revision>104</cp:revision>
  <dcterms:created xsi:type="dcterms:W3CDTF">2021-02-22T11:47:00Z</dcterms:created>
  <dcterms:modified xsi:type="dcterms:W3CDTF">2023-08-22T10:42:00Z</dcterms:modified>
</cp:coreProperties>
</file>