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03F44" w14:textId="1CF90D5B" w:rsidR="004267A6" w:rsidRPr="000B5897" w:rsidRDefault="004267A6" w:rsidP="000B5897">
      <w:pPr>
        <w:spacing w:after="0" w:line="360" w:lineRule="auto"/>
        <w:rPr>
          <w:rFonts w:ascii="Calibri" w:eastAsia="Calibri" w:hAnsi="Calibri" w:cs="Calibri"/>
          <w:b/>
          <w:lang w:eastAsia="pt-BR"/>
        </w:rPr>
      </w:pPr>
      <w:r w:rsidRPr="00B30FD2">
        <w:rPr>
          <w:rFonts w:ascii="Calibri" w:eastAsia="Calibri" w:hAnsi="Calibri" w:cs="Calibri"/>
          <w:b/>
          <w:lang w:eastAsia="pt-BR"/>
        </w:rPr>
        <w:t xml:space="preserve">NOME: </w:t>
      </w:r>
      <w:r w:rsidRPr="000B5897">
        <w:rPr>
          <w:rFonts w:ascii="Calibri" w:eastAsia="Calibri" w:hAnsi="Calibri" w:cs="Calibri"/>
          <w:lang w:eastAsia="pt-BR"/>
        </w:rPr>
        <w:t>Confecção dos Produtos oriundos do Fechamento de Teto</w:t>
      </w:r>
    </w:p>
    <w:p w14:paraId="198213CF" w14:textId="1704D073" w:rsidR="005A7021" w:rsidRPr="005A7021" w:rsidRDefault="005A7021" w:rsidP="000B5897">
      <w:pPr>
        <w:spacing w:after="0" w:line="360" w:lineRule="auto"/>
        <w:rPr>
          <w:rFonts w:ascii="Calibri" w:eastAsia="Calibri" w:hAnsi="Calibri" w:cs="Calibri"/>
          <w:b/>
          <w:lang w:eastAsia="pt-BR"/>
        </w:rPr>
      </w:pPr>
      <w:r>
        <w:rPr>
          <w:rFonts w:ascii="Calibri" w:eastAsia="Calibri" w:hAnsi="Calibri" w:cs="Calibri"/>
          <w:b/>
          <w:lang w:eastAsia="pt-BR"/>
        </w:rPr>
        <w:t xml:space="preserve">AUTOR: </w:t>
      </w:r>
      <w:r w:rsidRPr="000B5897">
        <w:rPr>
          <w:rFonts w:ascii="Calibri" w:eastAsia="Calibri" w:hAnsi="Calibri" w:cs="Calibri"/>
          <w:lang w:eastAsia="pt-BR"/>
        </w:rPr>
        <w:t>Raquel Faria Nunes</w:t>
      </w:r>
    </w:p>
    <w:p w14:paraId="2B17D7F7" w14:textId="7ABEF8A3" w:rsidR="004267A6" w:rsidRPr="000B5897" w:rsidRDefault="004267A6" w:rsidP="000B5897">
      <w:pPr>
        <w:spacing w:after="0" w:line="360" w:lineRule="auto"/>
        <w:rPr>
          <w:rFonts w:ascii="Calibri" w:eastAsia="Calibri" w:hAnsi="Calibri" w:cs="Calibri"/>
          <w:b/>
          <w:lang w:eastAsia="pt-BR"/>
        </w:rPr>
      </w:pPr>
      <w:r>
        <w:rPr>
          <w:rFonts w:ascii="Calibri" w:eastAsia="Calibri" w:hAnsi="Calibri" w:cs="Calibri"/>
          <w:b/>
          <w:lang w:eastAsia="pt-BR"/>
        </w:rPr>
        <w:t>ESCOPO:</w:t>
      </w:r>
      <w:r w:rsidRPr="000B5897">
        <w:rPr>
          <w:rFonts w:ascii="Calibri" w:eastAsia="Calibri" w:hAnsi="Calibri" w:cs="Calibri"/>
          <w:b/>
          <w:lang w:eastAsia="pt-BR"/>
        </w:rPr>
        <w:t xml:space="preserve"> </w:t>
      </w:r>
      <w:r w:rsidRPr="000B5897">
        <w:rPr>
          <w:rFonts w:ascii="Calibri" w:eastAsia="Calibri" w:hAnsi="Calibri" w:cs="Calibri"/>
          <w:lang w:eastAsia="pt-BR"/>
        </w:rPr>
        <w:t>Orientação quanto a confecção e entrega dos produtos finais adjacentes do Fechamento do Teto aos clientes.</w:t>
      </w:r>
    </w:p>
    <w:p w14:paraId="387B8D80" w14:textId="1C8C163E" w:rsidR="004267A6" w:rsidRPr="000B5897" w:rsidRDefault="004267A6" w:rsidP="000B5897">
      <w:pPr>
        <w:spacing w:after="0" w:line="360" w:lineRule="auto"/>
        <w:rPr>
          <w:rFonts w:ascii="Calibri" w:eastAsia="Calibri" w:hAnsi="Calibri" w:cs="Calibri"/>
          <w:b/>
          <w:lang w:eastAsia="pt-BR"/>
        </w:rPr>
      </w:pPr>
      <w:r>
        <w:rPr>
          <w:rFonts w:ascii="Calibri" w:eastAsia="Calibri" w:hAnsi="Calibri" w:cs="Calibri"/>
          <w:b/>
          <w:lang w:eastAsia="pt-BR"/>
        </w:rPr>
        <w:t>RESPONSABILIDADE:</w:t>
      </w:r>
      <w:r w:rsidR="00B85860" w:rsidRPr="000B5897">
        <w:rPr>
          <w:rFonts w:ascii="Calibri" w:eastAsia="Calibri" w:hAnsi="Calibri" w:cs="Calibri"/>
          <w:b/>
          <w:lang w:eastAsia="pt-BR"/>
        </w:rPr>
        <w:t xml:space="preserve"> </w:t>
      </w:r>
      <w:r w:rsidR="00B85860" w:rsidRPr="000B5897">
        <w:rPr>
          <w:rFonts w:ascii="Calibri" w:eastAsia="Calibri" w:hAnsi="Calibri" w:cs="Calibri"/>
          <w:lang w:eastAsia="pt-BR"/>
        </w:rPr>
        <w:t>Conferir se os dados recebidos e processados estão com parâmetros e valores corretos.</w:t>
      </w:r>
    </w:p>
    <w:p w14:paraId="76F03CEA" w14:textId="0A782CF1" w:rsidR="004267A6" w:rsidRDefault="004267A6" w:rsidP="000B5897">
      <w:pPr>
        <w:spacing w:after="0" w:line="360" w:lineRule="auto"/>
        <w:rPr>
          <w:rFonts w:ascii="Calibri" w:eastAsia="Calibri" w:hAnsi="Calibri" w:cs="Calibri"/>
          <w:b/>
          <w:lang w:eastAsia="pt-BR"/>
        </w:rPr>
      </w:pPr>
      <w:r>
        <w:rPr>
          <w:rFonts w:ascii="Calibri" w:eastAsia="Calibri" w:hAnsi="Calibri" w:cs="Calibri"/>
          <w:b/>
          <w:lang w:eastAsia="pt-BR"/>
        </w:rPr>
        <w:t>PROCEDIMENTOS:</w:t>
      </w:r>
    </w:p>
    <w:p w14:paraId="3F60BDBE" w14:textId="77777777" w:rsidR="000B5897" w:rsidRPr="0035374B" w:rsidRDefault="000B5897" w:rsidP="000B5897">
      <w:pPr>
        <w:spacing w:after="0" w:line="360" w:lineRule="auto"/>
        <w:rPr>
          <w:rFonts w:ascii="Calibri" w:eastAsia="Calibri" w:hAnsi="Calibri" w:cs="Calibri"/>
          <w:b/>
          <w:lang w:eastAsia="pt-BR"/>
        </w:rPr>
      </w:pPr>
    </w:p>
    <w:p w14:paraId="6C83DF6C" w14:textId="293E2964" w:rsidR="001B305C" w:rsidRPr="0015065B" w:rsidRDefault="00AE5A6D" w:rsidP="00BB526A">
      <w:pPr>
        <w:spacing w:after="200" w:line="360" w:lineRule="auto"/>
        <w:jc w:val="both"/>
        <w:rPr>
          <w:rFonts w:eastAsia="Calibri" w:cstheme="minorHAnsi"/>
          <w:b/>
          <w:u w:val="single"/>
        </w:rPr>
      </w:pPr>
      <w:r w:rsidRPr="0015065B">
        <w:rPr>
          <w:rFonts w:eastAsia="Calibri" w:cstheme="minorHAnsi"/>
          <w:b/>
          <w:u w:val="single"/>
        </w:rPr>
        <w:t>Informações</w:t>
      </w:r>
      <w:r w:rsidR="001B305C" w:rsidRPr="0015065B">
        <w:rPr>
          <w:rFonts w:eastAsia="Calibri" w:cstheme="minorHAnsi"/>
          <w:b/>
          <w:u w:val="single"/>
        </w:rPr>
        <w:t xml:space="preserve"> geradas a partir do programa S</w:t>
      </w:r>
      <w:r w:rsidR="00C75A87" w:rsidRPr="0015065B">
        <w:rPr>
          <w:rFonts w:eastAsia="Calibri" w:cstheme="minorHAnsi"/>
          <w:b/>
          <w:u w:val="single"/>
        </w:rPr>
        <w:t>istema de Fechamento de Teto</w:t>
      </w:r>
      <w:r w:rsidR="001B305C" w:rsidRPr="0015065B">
        <w:rPr>
          <w:rFonts w:eastAsia="Calibri" w:cstheme="minorHAnsi"/>
          <w:b/>
          <w:u w:val="single"/>
        </w:rPr>
        <w:t xml:space="preserve">: </w:t>
      </w:r>
    </w:p>
    <w:p w14:paraId="7F298FA3" w14:textId="77777777" w:rsidR="00DE3C3C" w:rsidRDefault="001B305C" w:rsidP="00465A65">
      <w:pPr>
        <w:spacing w:after="200" w:line="360" w:lineRule="auto"/>
        <w:ind w:firstLine="720"/>
        <w:jc w:val="both"/>
        <w:rPr>
          <w:rFonts w:eastAsia="Calibri" w:cstheme="minorHAnsi"/>
        </w:rPr>
      </w:pPr>
      <w:r w:rsidRPr="00481473">
        <w:rPr>
          <w:rFonts w:eastAsia="Calibri" w:cstheme="minorHAnsi"/>
        </w:rPr>
        <w:t xml:space="preserve">Após </w:t>
      </w:r>
      <w:r w:rsidR="00DE3C3C">
        <w:rPr>
          <w:rFonts w:eastAsia="Calibri" w:cstheme="minorHAnsi"/>
        </w:rPr>
        <w:t xml:space="preserve">a conclusão do Fechamento de Teto e os arquivos principais terem sido produzidos, inicia-se a processo de confecção de arquivos oriundos da Base de Dados da competência trabalhada. Seu objetivo é direcionar informações processadas para que os clientes finais possam aplicar em seus processos. </w:t>
      </w:r>
    </w:p>
    <w:p w14:paraId="690B7515" w14:textId="0E5DA920" w:rsidR="00465A65" w:rsidRPr="00465A65" w:rsidRDefault="00465A65" w:rsidP="00465A65">
      <w:pPr>
        <w:pStyle w:val="NormalWeb"/>
        <w:numPr>
          <w:ilvl w:val="0"/>
          <w:numId w:val="6"/>
        </w:numPr>
        <w:spacing w:before="0" w:beforeAutospacing="0" w:after="0" w:afterAutospacing="0" w:line="360" w:lineRule="auto"/>
        <w:jc w:val="both"/>
        <w:textAlignment w:val="baseline"/>
        <w:rPr>
          <w:rFonts w:asciiTheme="minorHAnsi" w:eastAsiaTheme="minorHAnsi" w:hAnsiTheme="minorHAnsi" w:cstheme="minorBidi"/>
          <w:sz w:val="22"/>
          <w:szCs w:val="22"/>
          <w:lang w:eastAsia="en-US"/>
        </w:rPr>
      </w:pPr>
      <w:r w:rsidRPr="00465A65">
        <w:rPr>
          <w:rFonts w:asciiTheme="minorHAnsi" w:eastAsiaTheme="minorHAnsi" w:hAnsiTheme="minorHAnsi" w:cstheme="minorBidi"/>
          <w:sz w:val="22"/>
          <w:szCs w:val="22"/>
          <w:lang w:eastAsia="en-US"/>
        </w:rPr>
        <w:t xml:space="preserve">Os arquivos TETO e TTDT são </w:t>
      </w:r>
      <w:r w:rsidR="003E7F0B">
        <w:rPr>
          <w:rFonts w:asciiTheme="minorHAnsi" w:eastAsiaTheme="minorHAnsi" w:hAnsiTheme="minorHAnsi" w:cstheme="minorBidi"/>
          <w:sz w:val="22"/>
          <w:szCs w:val="22"/>
          <w:lang w:eastAsia="en-US"/>
        </w:rPr>
        <w:t>encaminhados</w:t>
      </w:r>
      <w:r w:rsidRPr="00465A65">
        <w:rPr>
          <w:rFonts w:asciiTheme="minorHAnsi" w:eastAsiaTheme="minorHAnsi" w:hAnsiTheme="minorHAnsi" w:cstheme="minorBidi"/>
          <w:sz w:val="22"/>
          <w:szCs w:val="22"/>
          <w:lang w:eastAsia="en-US"/>
        </w:rPr>
        <w:t xml:space="preserve"> para a DPMR- SIA (</w:t>
      </w:r>
      <w:r w:rsidR="00DE3C3C">
        <w:rPr>
          <w:rFonts w:asciiTheme="minorHAnsi" w:eastAsiaTheme="minorHAnsi" w:hAnsiTheme="minorHAnsi" w:cstheme="minorBidi"/>
          <w:sz w:val="22"/>
          <w:szCs w:val="22"/>
          <w:lang w:eastAsia="en-US"/>
        </w:rPr>
        <w:t>Diretoria de Processamento e Monitoramento de Re</w:t>
      </w:r>
      <w:r w:rsidR="003E7F0B">
        <w:rPr>
          <w:rFonts w:asciiTheme="minorHAnsi" w:eastAsiaTheme="minorHAnsi" w:hAnsiTheme="minorHAnsi" w:cstheme="minorBidi"/>
          <w:sz w:val="22"/>
          <w:szCs w:val="22"/>
          <w:lang w:eastAsia="en-US"/>
        </w:rPr>
        <w:t>cursos de Média e Alta Complexidade</w:t>
      </w:r>
      <w:r w:rsidR="00DE3C3C">
        <w:rPr>
          <w:rFonts w:asciiTheme="minorHAnsi" w:eastAsiaTheme="minorHAnsi" w:hAnsiTheme="minorHAnsi" w:cstheme="minorBidi"/>
          <w:sz w:val="22"/>
          <w:szCs w:val="22"/>
          <w:lang w:eastAsia="en-US"/>
        </w:rPr>
        <w:t xml:space="preserve"> - </w:t>
      </w:r>
      <w:r w:rsidRPr="00465A65">
        <w:rPr>
          <w:rFonts w:asciiTheme="minorHAnsi" w:eastAsiaTheme="minorHAnsi" w:hAnsiTheme="minorHAnsi" w:cstheme="minorBidi"/>
          <w:sz w:val="22"/>
          <w:szCs w:val="22"/>
          <w:lang w:eastAsia="en-US"/>
        </w:rPr>
        <w:t xml:space="preserve">Sistema de Informação </w:t>
      </w:r>
      <w:r w:rsidR="00C75A87" w:rsidRPr="00465A65">
        <w:rPr>
          <w:rFonts w:asciiTheme="minorHAnsi" w:eastAsiaTheme="minorHAnsi" w:hAnsiTheme="minorHAnsi" w:cstheme="minorBidi"/>
          <w:sz w:val="22"/>
          <w:szCs w:val="22"/>
          <w:lang w:eastAsia="en-US"/>
        </w:rPr>
        <w:t>Ambulatorial) para</w:t>
      </w:r>
      <w:r w:rsidR="003E7F0B">
        <w:rPr>
          <w:rFonts w:asciiTheme="minorHAnsi" w:eastAsiaTheme="minorHAnsi" w:hAnsiTheme="minorHAnsi" w:cstheme="minorBidi"/>
          <w:sz w:val="22"/>
          <w:szCs w:val="22"/>
          <w:lang w:eastAsia="en-US"/>
        </w:rPr>
        <w:t xml:space="preserve"> </w:t>
      </w:r>
      <w:r w:rsidR="00C75A87">
        <w:rPr>
          <w:rFonts w:asciiTheme="minorHAnsi" w:eastAsiaTheme="minorHAnsi" w:hAnsiTheme="minorHAnsi" w:cstheme="minorBidi"/>
          <w:sz w:val="22"/>
          <w:szCs w:val="22"/>
          <w:lang w:eastAsia="en-US"/>
        </w:rPr>
        <w:t xml:space="preserve">que prossigam com </w:t>
      </w:r>
      <w:r w:rsidRPr="00465A65">
        <w:rPr>
          <w:rFonts w:asciiTheme="minorHAnsi" w:eastAsiaTheme="minorHAnsi" w:hAnsiTheme="minorHAnsi" w:cstheme="minorBidi"/>
          <w:sz w:val="22"/>
          <w:szCs w:val="22"/>
          <w:lang w:eastAsia="en-US"/>
        </w:rPr>
        <w:t>o pagamento dos prestadores sob a gestão do estado que recebem por produção.</w:t>
      </w:r>
    </w:p>
    <w:p w14:paraId="7797A7A7" w14:textId="753A15A7" w:rsidR="00465A65" w:rsidRPr="00465A65" w:rsidRDefault="00465A65" w:rsidP="00465A65">
      <w:pPr>
        <w:pStyle w:val="NormalWeb"/>
        <w:numPr>
          <w:ilvl w:val="0"/>
          <w:numId w:val="7"/>
        </w:numPr>
        <w:spacing w:before="0" w:beforeAutospacing="0" w:after="0" w:afterAutospacing="0" w:line="360" w:lineRule="auto"/>
        <w:jc w:val="both"/>
        <w:textAlignment w:val="baseline"/>
        <w:rPr>
          <w:rFonts w:asciiTheme="minorHAnsi" w:eastAsiaTheme="minorHAnsi" w:hAnsiTheme="minorHAnsi" w:cstheme="minorBidi"/>
          <w:sz w:val="22"/>
          <w:szCs w:val="22"/>
          <w:lang w:eastAsia="en-US"/>
        </w:rPr>
      </w:pPr>
      <w:r w:rsidRPr="00465A65">
        <w:rPr>
          <w:rFonts w:asciiTheme="minorHAnsi" w:eastAsiaTheme="minorHAnsi" w:hAnsiTheme="minorHAnsi" w:cstheme="minorBidi"/>
          <w:sz w:val="22"/>
          <w:szCs w:val="22"/>
          <w:lang w:eastAsia="en-US"/>
        </w:rPr>
        <w:t>O SISPPI é um arquivo que é gerado para alimentar o Sistema de Controle de Limite Financeiro da Média e Alta Complexidade (SISMAC), contribuindo para gerar a Deliberação mensal do Teto financeiro dos estados e serve de base para o pagamento fundo a fundo, da parcela subsequente, ao estado e aos municípios que possuem gestão de seus prestadores. Gera os quadros enviados para o M</w:t>
      </w:r>
      <w:r w:rsidR="00C75A87">
        <w:rPr>
          <w:rFonts w:asciiTheme="minorHAnsi" w:eastAsiaTheme="minorHAnsi" w:hAnsiTheme="minorHAnsi" w:cstheme="minorBidi"/>
          <w:sz w:val="22"/>
          <w:szCs w:val="22"/>
          <w:lang w:eastAsia="en-US"/>
        </w:rPr>
        <w:t>inistério da Saúde</w:t>
      </w:r>
      <w:r w:rsidRPr="00465A65">
        <w:rPr>
          <w:rFonts w:asciiTheme="minorHAnsi" w:eastAsiaTheme="minorHAnsi" w:hAnsiTheme="minorHAnsi" w:cstheme="minorBidi"/>
          <w:sz w:val="22"/>
          <w:szCs w:val="22"/>
          <w:lang w:eastAsia="en-US"/>
        </w:rPr>
        <w:t>.</w:t>
      </w:r>
    </w:p>
    <w:p w14:paraId="1007A9A2" w14:textId="6ADA5667" w:rsidR="00465A65" w:rsidRPr="00465A65" w:rsidRDefault="00465A65" w:rsidP="00465A65">
      <w:pPr>
        <w:pStyle w:val="NormalWeb"/>
        <w:numPr>
          <w:ilvl w:val="0"/>
          <w:numId w:val="8"/>
        </w:numPr>
        <w:spacing w:before="0" w:beforeAutospacing="0" w:after="0" w:afterAutospacing="0" w:line="360" w:lineRule="auto"/>
        <w:jc w:val="both"/>
        <w:textAlignment w:val="baseline"/>
        <w:rPr>
          <w:rFonts w:asciiTheme="minorHAnsi" w:eastAsiaTheme="minorHAnsi" w:hAnsiTheme="minorHAnsi" w:cstheme="minorBidi"/>
          <w:sz w:val="22"/>
          <w:szCs w:val="22"/>
          <w:lang w:eastAsia="en-US"/>
        </w:rPr>
      </w:pPr>
      <w:r w:rsidRPr="00465A65">
        <w:rPr>
          <w:rFonts w:asciiTheme="minorHAnsi" w:eastAsiaTheme="minorHAnsi" w:hAnsiTheme="minorHAnsi" w:cstheme="minorBidi"/>
          <w:sz w:val="22"/>
          <w:szCs w:val="22"/>
          <w:lang w:eastAsia="en-US"/>
        </w:rPr>
        <w:t xml:space="preserve">Belo Horizonte: o município de Belo Horizonte solicita mensalmente o envio de um arquivo gerado pelo </w:t>
      </w:r>
      <w:r w:rsidR="00C75A87">
        <w:rPr>
          <w:rFonts w:asciiTheme="minorHAnsi" w:eastAsiaTheme="minorHAnsi" w:hAnsiTheme="minorHAnsi" w:cstheme="minorBidi"/>
          <w:sz w:val="22"/>
          <w:szCs w:val="22"/>
          <w:lang w:eastAsia="en-US"/>
        </w:rPr>
        <w:t>Sistema de Fechamento de Teto</w:t>
      </w:r>
      <w:r w:rsidRPr="00465A65">
        <w:rPr>
          <w:rFonts w:asciiTheme="minorHAnsi" w:eastAsiaTheme="minorHAnsi" w:hAnsiTheme="minorHAnsi" w:cstheme="minorBidi"/>
          <w:sz w:val="22"/>
          <w:szCs w:val="22"/>
          <w:lang w:eastAsia="en-US"/>
        </w:rPr>
        <w:t xml:space="preserve"> para a realização do processamento dos prestadores de Belo Horizonte e o seu posterior pagamento pelo município.</w:t>
      </w:r>
    </w:p>
    <w:p w14:paraId="110357FD" w14:textId="79B06B95" w:rsidR="00465A65" w:rsidRPr="00465A65" w:rsidRDefault="00465A65" w:rsidP="00465A65">
      <w:pPr>
        <w:pStyle w:val="NormalWeb"/>
        <w:numPr>
          <w:ilvl w:val="0"/>
          <w:numId w:val="9"/>
        </w:numPr>
        <w:spacing w:before="0" w:beforeAutospacing="0" w:after="0" w:afterAutospacing="0" w:line="360" w:lineRule="auto"/>
        <w:jc w:val="both"/>
        <w:textAlignment w:val="baseline"/>
        <w:rPr>
          <w:rFonts w:asciiTheme="minorHAnsi" w:eastAsiaTheme="minorHAnsi" w:hAnsiTheme="minorHAnsi" w:cstheme="minorBidi"/>
          <w:sz w:val="22"/>
          <w:szCs w:val="22"/>
          <w:lang w:eastAsia="en-US"/>
        </w:rPr>
      </w:pPr>
      <w:r w:rsidRPr="00465A65">
        <w:rPr>
          <w:rFonts w:asciiTheme="minorHAnsi" w:eastAsiaTheme="minorHAnsi" w:hAnsiTheme="minorHAnsi" w:cstheme="minorBidi"/>
          <w:sz w:val="22"/>
          <w:szCs w:val="22"/>
          <w:lang w:eastAsia="en-US"/>
        </w:rPr>
        <w:t xml:space="preserve">Site PPI: são </w:t>
      </w:r>
      <w:r w:rsidR="00C75A87" w:rsidRPr="00465A65">
        <w:rPr>
          <w:rFonts w:asciiTheme="minorHAnsi" w:eastAsiaTheme="minorHAnsi" w:hAnsiTheme="minorHAnsi" w:cstheme="minorBidi"/>
          <w:sz w:val="22"/>
          <w:szCs w:val="22"/>
          <w:lang w:eastAsia="en-US"/>
        </w:rPr>
        <w:t>geradas</w:t>
      </w:r>
      <w:r w:rsidRPr="00465A65">
        <w:rPr>
          <w:rFonts w:asciiTheme="minorHAnsi" w:eastAsiaTheme="minorHAnsi" w:hAnsiTheme="minorHAnsi" w:cstheme="minorBidi"/>
          <w:sz w:val="22"/>
          <w:szCs w:val="22"/>
          <w:lang w:eastAsia="en-US"/>
        </w:rPr>
        <w:t xml:space="preserve"> </w:t>
      </w:r>
      <w:r w:rsidR="00C75A87">
        <w:rPr>
          <w:rFonts w:asciiTheme="minorHAnsi" w:eastAsiaTheme="minorHAnsi" w:hAnsiTheme="minorHAnsi" w:cstheme="minorBidi"/>
          <w:sz w:val="22"/>
          <w:szCs w:val="22"/>
          <w:lang w:eastAsia="en-US"/>
        </w:rPr>
        <w:t>as tabelas qu</w:t>
      </w:r>
      <w:r w:rsidRPr="00465A65">
        <w:rPr>
          <w:rFonts w:asciiTheme="minorHAnsi" w:eastAsiaTheme="minorHAnsi" w:hAnsiTheme="minorHAnsi" w:cstheme="minorBidi"/>
          <w:sz w:val="22"/>
          <w:szCs w:val="22"/>
          <w:lang w:eastAsia="en-US"/>
        </w:rPr>
        <w:t>e alimentam mensalmente o site da PPI</w:t>
      </w:r>
      <w:r w:rsidR="00C75A87">
        <w:rPr>
          <w:rFonts w:asciiTheme="minorHAnsi" w:eastAsiaTheme="minorHAnsi" w:hAnsiTheme="minorHAnsi" w:cstheme="minorBidi"/>
          <w:sz w:val="22"/>
          <w:szCs w:val="22"/>
          <w:lang w:eastAsia="en-US"/>
        </w:rPr>
        <w:t>,</w:t>
      </w:r>
      <w:r w:rsidRPr="00465A65">
        <w:rPr>
          <w:rFonts w:asciiTheme="minorHAnsi" w:eastAsiaTheme="minorHAnsi" w:hAnsiTheme="minorHAnsi" w:cstheme="minorBidi"/>
          <w:sz w:val="22"/>
          <w:szCs w:val="22"/>
          <w:lang w:eastAsia="en-US"/>
        </w:rPr>
        <w:t xml:space="preserve"> que </w:t>
      </w:r>
      <w:r w:rsidR="00C75A87">
        <w:rPr>
          <w:rFonts w:asciiTheme="minorHAnsi" w:eastAsiaTheme="minorHAnsi" w:hAnsiTheme="minorHAnsi" w:cstheme="minorBidi"/>
          <w:sz w:val="22"/>
          <w:szCs w:val="22"/>
          <w:lang w:eastAsia="en-US"/>
        </w:rPr>
        <w:t xml:space="preserve">por sua vez </w:t>
      </w:r>
      <w:r w:rsidRPr="00465A65">
        <w:rPr>
          <w:rFonts w:asciiTheme="minorHAnsi" w:eastAsiaTheme="minorHAnsi" w:hAnsiTheme="minorHAnsi" w:cstheme="minorBidi"/>
          <w:sz w:val="22"/>
          <w:szCs w:val="22"/>
          <w:lang w:eastAsia="en-US"/>
        </w:rPr>
        <w:t>é gerido pel</w:t>
      </w:r>
      <w:r w:rsidR="00C75A87">
        <w:rPr>
          <w:rFonts w:asciiTheme="minorHAnsi" w:eastAsiaTheme="minorHAnsi" w:hAnsiTheme="minorHAnsi" w:cstheme="minorBidi"/>
          <w:sz w:val="22"/>
          <w:szCs w:val="22"/>
          <w:lang w:eastAsia="en-US"/>
        </w:rPr>
        <w:t>a PRODEMGE</w:t>
      </w:r>
      <w:r w:rsidRPr="00465A65">
        <w:rPr>
          <w:rFonts w:asciiTheme="minorHAnsi" w:eastAsiaTheme="minorHAnsi" w:hAnsiTheme="minorHAnsi" w:cstheme="minorBidi"/>
          <w:sz w:val="22"/>
          <w:szCs w:val="22"/>
          <w:lang w:eastAsia="en-US"/>
        </w:rPr>
        <w:t>.</w:t>
      </w:r>
    </w:p>
    <w:p w14:paraId="485337DC" w14:textId="15DFD4CC" w:rsidR="00465A65" w:rsidRPr="00465A65" w:rsidRDefault="00465A65" w:rsidP="00465A65">
      <w:pPr>
        <w:pStyle w:val="NormalWeb"/>
        <w:numPr>
          <w:ilvl w:val="0"/>
          <w:numId w:val="10"/>
        </w:numPr>
        <w:spacing w:before="0" w:beforeAutospacing="0" w:after="0" w:afterAutospacing="0" w:line="360" w:lineRule="auto"/>
        <w:jc w:val="both"/>
        <w:textAlignment w:val="baseline"/>
        <w:rPr>
          <w:rFonts w:asciiTheme="minorHAnsi" w:eastAsiaTheme="minorHAnsi" w:hAnsiTheme="minorHAnsi" w:cstheme="minorBidi"/>
          <w:sz w:val="22"/>
          <w:szCs w:val="22"/>
          <w:lang w:eastAsia="en-US"/>
        </w:rPr>
      </w:pPr>
      <w:r w:rsidRPr="00465A65">
        <w:rPr>
          <w:rFonts w:asciiTheme="minorHAnsi" w:eastAsiaTheme="minorHAnsi" w:hAnsiTheme="minorHAnsi" w:cstheme="minorBidi"/>
          <w:sz w:val="22"/>
          <w:szCs w:val="22"/>
          <w:lang w:eastAsia="en-US"/>
        </w:rPr>
        <w:lastRenderedPageBreak/>
        <w:t xml:space="preserve">GERASUS: são produzidos os arquivos que alimentam o módulo de PPI Eletrônica que alimentam as agendas e os pactos utilizados pelos gestores e médicos reguladores para gerenciar os leitos e os procedimentos regulados pelo </w:t>
      </w:r>
      <w:proofErr w:type="spellStart"/>
      <w:r w:rsidRPr="00465A65">
        <w:rPr>
          <w:rFonts w:asciiTheme="minorHAnsi" w:eastAsiaTheme="minorHAnsi" w:hAnsiTheme="minorHAnsi" w:cstheme="minorBidi"/>
          <w:sz w:val="22"/>
          <w:szCs w:val="22"/>
          <w:lang w:eastAsia="en-US"/>
        </w:rPr>
        <w:t>Susf</w:t>
      </w:r>
      <w:r w:rsidR="00C75A87">
        <w:rPr>
          <w:rFonts w:asciiTheme="minorHAnsi" w:eastAsiaTheme="minorHAnsi" w:hAnsiTheme="minorHAnsi" w:cstheme="minorBidi"/>
          <w:sz w:val="22"/>
          <w:szCs w:val="22"/>
          <w:lang w:eastAsia="en-US"/>
        </w:rPr>
        <w:t>á</w:t>
      </w:r>
      <w:r w:rsidRPr="00465A65">
        <w:rPr>
          <w:rFonts w:asciiTheme="minorHAnsi" w:eastAsiaTheme="minorHAnsi" w:hAnsiTheme="minorHAnsi" w:cstheme="minorBidi"/>
          <w:sz w:val="22"/>
          <w:szCs w:val="22"/>
          <w:lang w:eastAsia="en-US"/>
        </w:rPr>
        <w:t>cil</w:t>
      </w:r>
      <w:proofErr w:type="spellEnd"/>
      <w:r w:rsidRPr="00465A65">
        <w:rPr>
          <w:rFonts w:asciiTheme="minorHAnsi" w:eastAsiaTheme="minorHAnsi" w:hAnsiTheme="minorHAnsi" w:cstheme="minorBidi"/>
          <w:sz w:val="22"/>
          <w:szCs w:val="22"/>
          <w:lang w:eastAsia="en-US"/>
        </w:rPr>
        <w:t xml:space="preserve"> MG.</w:t>
      </w:r>
    </w:p>
    <w:p w14:paraId="3B92E08B" w14:textId="163F8636" w:rsidR="00465A65" w:rsidRPr="00465A65" w:rsidRDefault="00465A65" w:rsidP="00465A65">
      <w:pPr>
        <w:pStyle w:val="NormalWeb"/>
        <w:numPr>
          <w:ilvl w:val="0"/>
          <w:numId w:val="11"/>
        </w:numPr>
        <w:spacing w:before="0" w:beforeAutospacing="0" w:after="0" w:afterAutospacing="0" w:line="360" w:lineRule="auto"/>
        <w:jc w:val="both"/>
        <w:textAlignment w:val="baseline"/>
        <w:rPr>
          <w:rFonts w:asciiTheme="minorHAnsi" w:eastAsiaTheme="minorHAnsi" w:hAnsiTheme="minorHAnsi" w:cstheme="minorBidi"/>
          <w:sz w:val="22"/>
          <w:szCs w:val="22"/>
          <w:lang w:eastAsia="en-US"/>
        </w:rPr>
      </w:pPr>
      <w:r w:rsidRPr="00465A65">
        <w:rPr>
          <w:rFonts w:asciiTheme="minorHAnsi" w:eastAsiaTheme="minorHAnsi" w:hAnsiTheme="minorHAnsi" w:cstheme="minorBidi"/>
          <w:sz w:val="22"/>
          <w:szCs w:val="22"/>
          <w:lang w:eastAsia="en-US"/>
        </w:rPr>
        <w:t xml:space="preserve">CIB e Ministério da Saúde: </w:t>
      </w:r>
      <w:r w:rsidR="00736CBA">
        <w:rPr>
          <w:rFonts w:asciiTheme="minorHAnsi" w:eastAsiaTheme="minorHAnsi" w:hAnsiTheme="minorHAnsi" w:cstheme="minorBidi"/>
          <w:sz w:val="22"/>
          <w:szCs w:val="22"/>
          <w:lang w:eastAsia="en-US"/>
        </w:rPr>
        <w:t xml:space="preserve">mensalmente são geradas tabelas </w:t>
      </w:r>
      <w:r w:rsidR="00736CBA" w:rsidRPr="00465A65">
        <w:rPr>
          <w:rFonts w:asciiTheme="minorHAnsi" w:eastAsiaTheme="minorHAnsi" w:hAnsiTheme="minorHAnsi" w:cstheme="minorBidi"/>
          <w:sz w:val="22"/>
          <w:szCs w:val="22"/>
          <w:lang w:eastAsia="en-US"/>
        </w:rPr>
        <w:t>para compor a Deliberação</w:t>
      </w:r>
      <w:r w:rsidR="00736CBA">
        <w:rPr>
          <w:rFonts w:asciiTheme="minorHAnsi" w:eastAsiaTheme="minorHAnsi" w:hAnsiTheme="minorHAnsi" w:cstheme="minorBidi"/>
          <w:sz w:val="22"/>
          <w:szCs w:val="22"/>
          <w:lang w:eastAsia="en-US"/>
        </w:rPr>
        <w:t>, Relatório de Remanejamento e Relatório de Fechamento de Teto,</w:t>
      </w:r>
      <w:r w:rsidRPr="00465A65">
        <w:rPr>
          <w:rFonts w:asciiTheme="minorHAnsi" w:eastAsiaTheme="minorHAnsi" w:hAnsiTheme="minorHAnsi" w:cstheme="minorBidi"/>
          <w:sz w:val="22"/>
          <w:szCs w:val="22"/>
          <w:lang w:eastAsia="en-US"/>
        </w:rPr>
        <w:t xml:space="preserve"> </w:t>
      </w:r>
      <w:r w:rsidR="00736CBA">
        <w:rPr>
          <w:rFonts w:asciiTheme="minorHAnsi" w:eastAsiaTheme="minorHAnsi" w:hAnsiTheme="minorHAnsi" w:cstheme="minorBidi"/>
          <w:sz w:val="22"/>
          <w:szCs w:val="22"/>
          <w:lang w:eastAsia="en-US"/>
        </w:rPr>
        <w:t>contendo</w:t>
      </w:r>
      <w:r w:rsidRPr="00465A65">
        <w:rPr>
          <w:rFonts w:asciiTheme="minorHAnsi" w:eastAsiaTheme="minorHAnsi" w:hAnsiTheme="minorHAnsi" w:cstheme="minorBidi"/>
          <w:sz w:val="22"/>
          <w:szCs w:val="22"/>
          <w:lang w:eastAsia="en-US"/>
        </w:rPr>
        <w:t xml:space="preserve"> todas as informações de inserção/alteração e suspensão de portarias, bem como os estudos que </w:t>
      </w:r>
      <w:r w:rsidR="00736CBA">
        <w:rPr>
          <w:rFonts w:asciiTheme="minorHAnsi" w:eastAsiaTheme="minorHAnsi" w:hAnsiTheme="minorHAnsi" w:cstheme="minorBidi"/>
          <w:sz w:val="22"/>
          <w:szCs w:val="22"/>
          <w:lang w:eastAsia="en-US"/>
        </w:rPr>
        <w:t>geraram d</w:t>
      </w:r>
      <w:r w:rsidRPr="00465A65">
        <w:rPr>
          <w:rFonts w:asciiTheme="minorHAnsi" w:eastAsiaTheme="minorHAnsi" w:hAnsiTheme="minorHAnsi" w:cstheme="minorBidi"/>
          <w:sz w:val="22"/>
          <w:szCs w:val="22"/>
          <w:lang w:eastAsia="en-US"/>
        </w:rPr>
        <w:t>eliberações</w:t>
      </w:r>
      <w:r w:rsidR="00AE5A6D">
        <w:rPr>
          <w:rFonts w:asciiTheme="minorHAnsi" w:eastAsiaTheme="minorHAnsi" w:hAnsiTheme="minorHAnsi" w:cstheme="minorBidi"/>
          <w:sz w:val="22"/>
          <w:szCs w:val="22"/>
          <w:lang w:eastAsia="en-US"/>
        </w:rPr>
        <w:t>, notas técnicas,</w:t>
      </w:r>
      <w:r w:rsidRPr="00465A65">
        <w:rPr>
          <w:rFonts w:asciiTheme="minorHAnsi" w:eastAsiaTheme="minorHAnsi" w:hAnsiTheme="minorHAnsi" w:cstheme="minorBidi"/>
          <w:sz w:val="22"/>
          <w:szCs w:val="22"/>
          <w:lang w:eastAsia="en-US"/>
        </w:rPr>
        <w:t xml:space="preserve"> os remanejamentos ordinários (semestralmente) e de urgência (mensalmente). Esta Deliberação</w:t>
      </w:r>
      <w:r w:rsidR="00AE5A6D">
        <w:rPr>
          <w:rFonts w:asciiTheme="minorHAnsi" w:eastAsiaTheme="minorHAnsi" w:hAnsiTheme="minorHAnsi" w:cstheme="minorBidi"/>
          <w:sz w:val="22"/>
          <w:szCs w:val="22"/>
          <w:lang w:eastAsia="en-US"/>
        </w:rPr>
        <w:t xml:space="preserve"> publicada</w:t>
      </w:r>
      <w:r w:rsidRPr="00465A65">
        <w:rPr>
          <w:rFonts w:asciiTheme="minorHAnsi" w:eastAsiaTheme="minorHAnsi" w:hAnsiTheme="minorHAnsi" w:cstheme="minorBidi"/>
          <w:sz w:val="22"/>
          <w:szCs w:val="22"/>
          <w:lang w:eastAsia="en-US"/>
        </w:rPr>
        <w:t xml:space="preserve"> é um dos requisitos do M</w:t>
      </w:r>
      <w:r w:rsidR="00736CBA">
        <w:rPr>
          <w:rFonts w:asciiTheme="minorHAnsi" w:eastAsiaTheme="minorHAnsi" w:hAnsiTheme="minorHAnsi" w:cstheme="minorBidi"/>
          <w:sz w:val="22"/>
          <w:szCs w:val="22"/>
          <w:lang w:eastAsia="en-US"/>
        </w:rPr>
        <w:t>inistério da Saúde</w:t>
      </w:r>
      <w:r w:rsidRPr="00465A65">
        <w:rPr>
          <w:rFonts w:asciiTheme="minorHAnsi" w:eastAsiaTheme="minorHAnsi" w:hAnsiTheme="minorHAnsi" w:cstheme="minorBidi"/>
          <w:sz w:val="22"/>
          <w:szCs w:val="22"/>
          <w:lang w:eastAsia="en-US"/>
        </w:rPr>
        <w:t xml:space="preserve"> para envio do teto mensal do Estado e Municípios. (SISMAC&gt; Login</w:t>
      </w:r>
      <w:proofErr w:type="gramStart"/>
      <w:r w:rsidRPr="00465A65">
        <w:rPr>
          <w:rFonts w:asciiTheme="minorHAnsi" w:eastAsiaTheme="minorHAnsi" w:hAnsiTheme="minorHAnsi" w:cstheme="minorBidi"/>
          <w:sz w:val="22"/>
          <w:szCs w:val="22"/>
          <w:lang w:eastAsia="en-US"/>
        </w:rPr>
        <w:t>&gt; Manter</w:t>
      </w:r>
      <w:proofErr w:type="gramEnd"/>
      <w:r w:rsidRPr="00465A65">
        <w:rPr>
          <w:rFonts w:asciiTheme="minorHAnsi" w:eastAsiaTheme="minorHAnsi" w:hAnsiTheme="minorHAnsi" w:cstheme="minorBidi"/>
          <w:sz w:val="22"/>
          <w:szCs w:val="22"/>
          <w:lang w:eastAsia="en-US"/>
        </w:rPr>
        <w:t xml:space="preserve"> remanejamento&gt; Status: em aberto&gt; anexar documento&gt; enviar)</w:t>
      </w:r>
      <w:r w:rsidR="00AE5A6D">
        <w:rPr>
          <w:rFonts w:asciiTheme="minorHAnsi" w:eastAsiaTheme="minorHAnsi" w:hAnsiTheme="minorHAnsi" w:cstheme="minorBidi"/>
          <w:sz w:val="22"/>
          <w:szCs w:val="22"/>
          <w:lang w:eastAsia="en-US"/>
        </w:rPr>
        <w:t>.</w:t>
      </w:r>
    </w:p>
    <w:p w14:paraId="0CBD0460" w14:textId="2F15E196" w:rsidR="00465A65" w:rsidRPr="00465A65" w:rsidRDefault="00AE5A6D" w:rsidP="00465A65">
      <w:pPr>
        <w:pStyle w:val="NormalWeb"/>
        <w:numPr>
          <w:ilvl w:val="0"/>
          <w:numId w:val="12"/>
        </w:numPr>
        <w:spacing w:before="0" w:beforeAutospacing="0" w:after="0" w:afterAutospacing="0" w:line="360" w:lineRule="auto"/>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PRODEMGE: Envio das tabelas em .</w:t>
      </w:r>
      <w:proofErr w:type="spellStart"/>
      <w:r>
        <w:rPr>
          <w:rFonts w:asciiTheme="minorHAnsi" w:eastAsiaTheme="minorHAnsi" w:hAnsiTheme="minorHAnsi" w:cstheme="minorBidi"/>
          <w:sz w:val="22"/>
          <w:szCs w:val="22"/>
          <w:lang w:eastAsia="en-US"/>
        </w:rPr>
        <w:t>csv</w:t>
      </w:r>
      <w:proofErr w:type="spellEnd"/>
      <w:r>
        <w:rPr>
          <w:rFonts w:asciiTheme="minorHAnsi" w:eastAsiaTheme="minorHAnsi" w:hAnsiTheme="minorHAnsi" w:cstheme="minorBidi"/>
          <w:sz w:val="22"/>
          <w:szCs w:val="22"/>
          <w:lang w:eastAsia="en-US"/>
        </w:rPr>
        <w:t xml:space="preserve"> do Banco de Dados</w:t>
      </w:r>
      <w:r w:rsidR="00465A65" w:rsidRPr="00465A65">
        <w:rPr>
          <w:rFonts w:asciiTheme="minorHAnsi" w:eastAsiaTheme="minorHAnsi" w:hAnsiTheme="minorHAnsi" w:cstheme="minorBidi"/>
          <w:sz w:val="22"/>
          <w:szCs w:val="22"/>
          <w:lang w:eastAsia="en-US"/>
        </w:rPr>
        <w:t xml:space="preserve"> PPIMG da competência atual para que a </w:t>
      </w:r>
      <w:r>
        <w:rPr>
          <w:rFonts w:asciiTheme="minorHAnsi" w:eastAsiaTheme="minorHAnsi" w:hAnsiTheme="minorHAnsi" w:cstheme="minorBidi"/>
          <w:sz w:val="22"/>
          <w:szCs w:val="22"/>
          <w:lang w:eastAsia="en-US"/>
        </w:rPr>
        <w:t>PRODEMGE alimente o site da PPI</w:t>
      </w:r>
      <w:r w:rsidR="00465A65" w:rsidRPr="00465A65">
        <w:rPr>
          <w:rFonts w:asciiTheme="minorHAnsi" w:eastAsiaTheme="minorHAnsi" w:hAnsiTheme="minorHAnsi" w:cstheme="minorBidi"/>
          <w:sz w:val="22"/>
          <w:szCs w:val="22"/>
          <w:lang w:eastAsia="en-US"/>
        </w:rPr>
        <w:t>. </w:t>
      </w:r>
    </w:p>
    <w:p w14:paraId="254A5875" w14:textId="5554E685" w:rsidR="001B305C" w:rsidRPr="00465A65" w:rsidRDefault="001B305C" w:rsidP="00BB526A">
      <w:pPr>
        <w:spacing w:line="360" w:lineRule="auto"/>
        <w:jc w:val="both"/>
      </w:pPr>
    </w:p>
    <w:p w14:paraId="43B52E00" w14:textId="79F84E30" w:rsidR="000162F8" w:rsidRPr="0015065B" w:rsidRDefault="008A27B9" w:rsidP="00BB526A">
      <w:pPr>
        <w:spacing w:line="360" w:lineRule="auto"/>
        <w:jc w:val="both"/>
      </w:pPr>
      <w:r w:rsidRPr="0015065B">
        <w:rPr>
          <w:rFonts w:ascii="Calibri" w:eastAsia="Calibri" w:hAnsi="Calibri" w:cs="Calibri"/>
          <w:b/>
          <w:u w:val="single"/>
        </w:rPr>
        <w:t xml:space="preserve">Envio dos arquivos de Controle de Teto </w:t>
      </w:r>
      <w:r w:rsidR="00AE5A6D" w:rsidRPr="0015065B">
        <w:rPr>
          <w:rFonts w:ascii="Calibri" w:eastAsia="Calibri" w:hAnsi="Calibri" w:cs="Calibri"/>
          <w:b/>
          <w:u w:val="single"/>
        </w:rPr>
        <w:t>para Diretoria de Monitoramento:</w:t>
      </w:r>
    </w:p>
    <w:p w14:paraId="07BBAF59" w14:textId="6BF5F71C" w:rsidR="000F2107" w:rsidRDefault="000F2107" w:rsidP="00BB526A">
      <w:pPr>
        <w:spacing w:line="360" w:lineRule="auto"/>
        <w:ind w:firstLine="708"/>
        <w:jc w:val="both"/>
      </w:pPr>
      <w:r>
        <w:t>A Diretoria de Contratos Assistenciais encaminha, mensalmente, ao final da solicitação de pagamento para os prestadores, uma planilha em Excel com os valores Ambulatorial e Hospitalar da parcela pré-fixada. Estes valores não são por prestador, mas por município; ou seja, se o município tiver dois hospitais com contrato vigente, o valor será a somatória dos valores ambulatorial e hospitalar.</w:t>
      </w:r>
    </w:p>
    <w:p w14:paraId="35E7A469" w14:textId="75582C84" w:rsidR="000F2107" w:rsidRDefault="000F2107" w:rsidP="00BB526A">
      <w:pPr>
        <w:spacing w:line="360" w:lineRule="auto"/>
        <w:ind w:firstLine="708"/>
        <w:jc w:val="both"/>
      </w:pPr>
      <w:r>
        <w:t xml:space="preserve">Em posse do arquivo, crie duas colunas ao lado dos valores. Uma </w:t>
      </w:r>
      <w:proofErr w:type="gramStart"/>
      <w:r>
        <w:t>para Ambulatorial</w:t>
      </w:r>
      <w:proofErr w:type="gramEnd"/>
      <w:r>
        <w:t xml:space="preserve"> e outra para Hospitalar. Aplique a </w:t>
      </w:r>
      <w:proofErr w:type="spellStart"/>
      <w:r>
        <w:t>anualização</w:t>
      </w:r>
      <w:proofErr w:type="spellEnd"/>
      <w:r>
        <w:t xml:space="preserve"> do valor; ou seja, multiplique cada um por 12, tendo em vista que o valor na PPI é anualizado.</w:t>
      </w:r>
    </w:p>
    <w:p w14:paraId="7819C706" w14:textId="518B60DF" w:rsidR="0093737A" w:rsidRDefault="000F2107" w:rsidP="00BB526A">
      <w:pPr>
        <w:spacing w:line="360" w:lineRule="auto"/>
        <w:ind w:firstLine="708"/>
        <w:jc w:val="both"/>
      </w:pPr>
      <w:r>
        <w:t xml:space="preserve">Insira mais 3 colunas anterior a coluna que contêm o código do IBGE: </w:t>
      </w:r>
      <w:r w:rsidR="00263012">
        <w:t xml:space="preserve">“Índice”, </w:t>
      </w:r>
      <w:r>
        <w:t>“Competência”</w:t>
      </w:r>
      <w:r w:rsidR="00263012">
        <w:t xml:space="preserve"> e</w:t>
      </w:r>
      <w:r>
        <w:t xml:space="preserve"> “</w:t>
      </w:r>
      <w:r w:rsidR="00263012">
        <w:t xml:space="preserve">Gestão”. Exclua a coluna com a descrição do município e com valores </w:t>
      </w:r>
      <w:proofErr w:type="spellStart"/>
      <w:r w:rsidR="00263012">
        <w:t>mensalizados</w:t>
      </w:r>
      <w:proofErr w:type="spellEnd"/>
      <w:r w:rsidR="00263012">
        <w:t xml:space="preserve">. Atente para as colunas que devem conter: “Índice”, “Competência”, “Gestão”, “IBGE”, “Ambulatorial”, “Hospitalar”. </w:t>
      </w:r>
    </w:p>
    <w:p w14:paraId="6F30413A" w14:textId="51C61691" w:rsidR="00263012" w:rsidRDefault="00263012" w:rsidP="00BB526A">
      <w:pPr>
        <w:spacing w:line="360" w:lineRule="auto"/>
        <w:ind w:firstLine="708"/>
        <w:jc w:val="both"/>
      </w:pPr>
      <w:r>
        <w:t>No Banco da PPI da referida competência, neste caso trabalharemos com o banco da competência anterior, abra a tabela “</w:t>
      </w:r>
      <w:proofErr w:type="spellStart"/>
      <w:r>
        <w:t>tbContratualizado</w:t>
      </w:r>
      <w:proofErr w:type="spellEnd"/>
      <w:r>
        <w:t xml:space="preserve">” e cole os valores trabalhados na </w:t>
      </w:r>
      <w:r>
        <w:lastRenderedPageBreak/>
        <w:t>planilha em Excel.</w:t>
      </w:r>
      <w:r w:rsidR="00CC4317">
        <w:t xml:space="preserve"> </w:t>
      </w:r>
      <w:r>
        <w:t>Feche a tabela e abra o programa Sistema de Fechamento de Teto. Digite a competência e clique em “Teto Processamento”.</w:t>
      </w:r>
    </w:p>
    <w:p w14:paraId="375C998F" w14:textId="736CFD04" w:rsidR="008A27B9" w:rsidRDefault="008A27B9" w:rsidP="00BB526A">
      <w:pPr>
        <w:spacing w:line="360" w:lineRule="auto"/>
        <w:ind w:firstLine="708"/>
        <w:jc w:val="both"/>
      </w:pPr>
      <w:r>
        <w:rPr>
          <w:noProof/>
          <w:lang w:eastAsia="pt-BR"/>
        </w:rPr>
        <w:drawing>
          <wp:inline distT="0" distB="0" distL="0" distR="0" wp14:anchorId="3733844E" wp14:editId="0553C420">
            <wp:extent cx="4057650" cy="4860940"/>
            <wp:effectExtent l="0" t="0" r="0" b="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058229" cy="4861634"/>
                    </a:xfrm>
                    <a:prstGeom prst="rect">
                      <a:avLst/>
                    </a:prstGeom>
                  </pic:spPr>
                </pic:pic>
              </a:graphicData>
            </a:graphic>
          </wp:inline>
        </w:drawing>
      </w:r>
    </w:p>
    <w:p w14:paraId="0805EC3E" w14:textId="77777777" w:rsidR="008A27B9" w:rsidRDefault="008A27B9" w:rsidP="00BB526A">
      <w:pPr>
        <w:spacing w:line="360" w:lineRule="auto"/>
        <w:ind w:firstLine="708"/>
        <w:jc w:val="both"/>
      </w:pPr>
    </w:p>
    <w:p w14:paraId="467B2B71" w14:textId="47B4B89B" w:rsidR="00A82E5A" w:rsidRDefault="00263012" w:rsidP="00BB526A">
      <w:pPr>
        <w:spacing w:line="360" w:lineRule="auto"/>
        <w:ind w:firstLine="708"/>
        <w:jc w:val="both"/>
      </w:pPr>
      <w:r>
        <w:t xml:space="preserve">O programa irá processar </w:t>
      </w:r>
      <w:r w:rsidR="00A82E5A">
        <w:t xml:space="preserve">os dados inseridos e fornecerá as seguintes informações: valores que estão diferentes da competência anterior e nomenclatura com erros de grafia. Em relação aos erros de grafia, abra no banco a </w:t>
      </w:r>
      <w:proofErr w:type="spellStart"/>
      <w:r w:rsidR="00A82E5A">
        <w:t>tbMunicípio</w:t>
      </w:r>
      <w:proofErr w:type="spellEnd"/>
      <w:r w:rsidR="00A82E5A">
        <w:t xml:space="preserve"> e a </w:t>
      </w:r>
      <w:proofErr w:type="spellStart"/>
      <w:r w:rsidR="00A82E5A">
        <w:t>tbContratualizado</w:t>
      </w:r>
      <w:proofErr w:type="spellEnd"/>
      <w:r w:rsidR="00A82E5A">
        <w:t xml:space="preserve"> e faça as devidas correções na </w:t>
      </w:r>
      <w:proofErr w:type="spellStart"/>
      <w:r w:rsidR="00A82E5A">
        <w:t>tbContratualizado</w:t>
      </w:r>
      <w:proofErr w:type="spellEnd"/>
      <w:r w:rsidR="00A82E5A">
        <w:t>.</w:t>
      </w:r>
      <w:r w:rsidR="00CC4317">
        <w:t xml:space="preserve"> </w:t>
      </w:r>
      <w:r w:rsidR="00A82E5A">
        <w:t xml:space="preserve">Em relação aos valores diferentes, </w:t>
      </w:r>
      <w:r w:rsidR="00A819D8">
        <w:t>verifique se é em razão de alteração contratual.</w:t>
      </w:r>
    </w:p>
    <w:p w14:paraId="5705D3B2" w14:textId="517778F1" w:rsidR="00CC4317" w:rsidRDefault="00CC4317" w:rsidP="00BB526A">
      <w:pPr>
        <w:spacing w:line="360" w:lineRule="auto"/>
        <w:ind w:firstLine="708"/>
        <w:jc w:val="both"/>
      </w:pPr>
      <w:r>
        <w:lastRenderedPageBreak/>
        <w:t>P</w:t>
      </w:r>
      <w:r w:rsidR="00A819D8">
        <w:t>or fim, os seguintes arquivos devem ser encaminhados a Diretoria de Monitoramento DPMR: TETO e TTDT.</w:t>
      </w:r>
      <w:r>
        <w:t xml:space="preserve"> </w:t>
      </w:r>
      <w:r w:rsidR="00A819D8">
        <w:t xml:space="preserve">O município também receberá o arquivo. Para que </w:t>
      </w:r>
      <w:r w:rsidR="00C85E1D">
        <w:t>o gestor</w:t>
      </w:r>
      <w:r w:rsidR="00A819D8">
        <w:t xml:space="preserve"> consiga visualizar, é importante que ele tenha o programa de fechamento de teto e siga o </w:t>
      </w:r>
      <w:r w:rsidR="00C85E1D">
        <w:t>instrutivo que detalha este procedimento especificamente para o gestor municipal de Saúde.</w:t>
      </w:r>
      <w:r>
        <w:t xml:space="preserve"> </w:t>
      </w:r>
      <w:r w:rsidR="00C85E1D">
        <w:t xml:space="preserve">Ao enviar os </w:t>
      </w:r>
      <w:r w:rsidR="00465A65">
        <w:t xml:space="preserve">arquivos </w:t>
      </w:r>
      <w:r w:rsidR="00C85E1D">
        <w:t xml:space="preserve">para DPMR, envie com cópia para </w:t>
      </w:r>
      <w:r w:rsidR="00AE5A6D">
        <w:t>Gilson.</w:t>
      </w:r>
    </w:p>
    <w:p w14:paraId="19AF2DFC" w14:textId="22AA7D43" w:rsidR="00C85E1D" w:rsidRPr="0015065B" w:rsidRDefault="00C85E1D" w:rsidP="00BB526A">
      <w:pPr>
        <w:spacing w:line="360" w:lineRule="auto"/>
        <w:jc w:val="both"/>
        <w:rPr>
          <w:b/>
          <w:u w:val="single"/>
        </w:rPr>
      </w:pPr>
      <w:r w:rsidRPr="0015065B">
        <w:rPr>
          <w:b/>
          <w:u w:val="single"/>
        </w:rPr>
        <w:t>Consolidado do Teto</w:t>
      </w:r>
      <w:r w:rsidR="008A27B9" w:rsidRPr="0015065B">
        <w:rPr>
          <w:b/>
          <w:u w:val="single"/>
        </w:rPr>
        <w:t>/ Relatório de Fechamento de Teto</w:t>
      </w:r>
      <w:r w:rsidR="00CC15A8" w:rsidRPr="0015065B">
        <w:rPr>
          <w:b/>
          <w:u w:val="single"/>
        </w:rPr>
        <w:t>:</w:t>
      </w:r>
    </w:p>
    <w:p w14:paraId="141D5A7C" w14:textId="53D682B7" w:rsidR="00C85E1D" w:rsidRDefault="00C85E1D" w:rsidP="0015065B">
      <w:pPr>
        <w:spacing w:line="360" w:lineRule="auto"/>
        <w:ind w:firstLine="360"/>
        <w:jc w:val="both"/>
      </w:pPr>
      <w:r>
        <w:t xml:space="preserve">Durante o processo de Fechamento do Teto e após sua conclusão, geramos um </w:t>
      </w:r>
      <w:r w:rsidR="00CC15A8">
        <w:t xml:space="preserve">relatório em </w:t>
      </w:r>
      <w:proofErr w:type="spellStart"/>
      <w:r w:rsidR="00CC15A8">
        <w:t>e</w:t>
      </w:r>
      <w:r>
        <w:t>xcel</w:t>
      </w:r>
      <w:proofErr w:type="spellEnd"/>
      <w:r>
        <w:t xml:space="preserve"> com o consolidado de todas as movimentações financeiras e físicas executadas para a próxima competência. É importante que outro agente, que não o executor, confira este relatório para visualizar inconsistências e vícios.</w:t>
      </w:r>
    </w:p>
    <w:p w14:paraId="73C92A7B" w14:textId="24725325" w:rsidR="00C85E1D" w:rsidRDefault="00C85E1D" w:rsidP="00BB526A">
      <w:pPr>
        <w:pStyle w:val="PargrafodaLista"/>
        <w:numPr>
          <w:ilvl w:val="0"/>
          <w:numId w:val="2"/>
        </w:numPr>
        <w:spacing w:line="360" w:lineRule="auto"/>
        <w:jc w:val="both"/>
      </w:pPr>
      <w:r>
        <w:t xml:space="preserve">Após gerar o Banco da PPI, mesmo que seja em sua primeira versão, abra o programa Sistema de Fechamento de Teto e digite a competência que está sendo trabalhada. Clique em </w:t>
      </w:r>
      <w:r w:rsidR="00441E15">
        <w:t>“Anexo”.</w:t>
      </w:r>
    </w:p>
    <w:p w14:paraId="50EC7520" w14:textId="0B911426" w:rsidR="00441E15" w:rsidRDefault="00441E15" w:rsidP="00BB526A">
      <w:pPr>
        <w:pStyle w:val="PargrafodaLista"/>
        <w:numPr>
          <w:ilvl w:val="0"/>
          <w:numId w:val="2"/>
        </w:numPr>
        <w:spacing w:line="360" w:lineRule="auto"/>
        <w:jc w:val="both"/>
      </w:pPr>
      <w:r>
        <w:t>Na pasta de destino do arquivo gerado, deve con</w:t>
      </w:r>
      <w:r w:rsidR="00465A65">
        <w:t>star</w:t>
      </w:r>
      <w:r>
        <w:t xml:space="preserve"> o modelo do relatório em </w:t>
      </w:r>
      <w:proofErr w:type="spellStart"/>
      <w:r>
        <w:t>excel</w:t>
      </w:r>
      <w:proofErr w:type="spellEnd"/>
      <w:r>
        <w:t xml:space="preserve">. Clique em “Abrir” &gt; “Anexo” (para gerar todos em uma única vez) ou clique no tipo de relatório que deve ser gerado. </w:t>
      </w:r>
    </w:p>
    <w:p w14:paraId="5154B8DA" w14:textId="5BBA8F76" w:rsidR="00441E15" w:rsidRDefault="00441E15" w:rsidP="00BB526A">
      <w:pPr>
        <w:pStyle w:val="PargrafodaLista"/>
        <w:numPr>
          <w:ilvl w:val="0"/>
          <w:numId w:val="2"/>
        </w:numPr>
        <w:spacing w:line="360" w:lineRule="auto"/>
        <w:jc w:val="both"/>
      </w:pPr>
      <w:r>
        <w:t>Após a mensagem de conclusão, lembre-se de salvar o arquivo clicando no botão “Salvar” onde antes estava escrito “Abrir”.</w:t>
      </w:r>
    </w:p>
    <w:p w14:paraId="1F1E8407" w14:textId="5F70925E" w:rsidR="00441E15" w:rsidRDefault="00441E15" w:rsidP="00BB526A">
      <w:pPr>
        <w:pStyle w:val="PargrafodaLista"/>
        <w:numPr>
          <w:ilvl w:val="0"/>
          <w:numId w:val="2"/>
        </w:numPr>
        <w:spacing w:line="360" w:lineRule="auto"/>
        <w:jc w:val="both"/>
      </w:pPr>
      <w:r>
        <w:t>Para envio ou para subir para o site é necessário conferir e completar as seguintes informações:</w:t>
      </w:r>
    </w:p>
    <w:p w14:paraId="7CAC12EF" w14:textId="1EA6B91A" w:rsidR="00441E15" w:rsidRDefault="00441E15" w:rsidP="00BB526A">
      <w:pPr>
        <w:pStyle w:val="PargrafodaLista"/>
        <w:spacing w:line="360" w:lineRule="auto"/>
        <w:jc w:val="both"/>
      </w:pPr>
      <w:r>
        <w:t>4.1- Capa: preencher os “</w:t>
      </w:r>
      <w:proofErr w:type="spellStart"/>
      <w:r>
        <w:t>xx</w:t>
      </w:r>
      <w:proofErr w:type="spellEnd"/>
      <w:r>
        <w:t>” com número da Deliberação, data, competência, parcela e mês do relatório.</w:t>
      </w:r>
    </w:p>
    <w:p w14:paraId="7D17E6B8" w14:textId="640D6E50" w:rsidR="00441E15" w:rsidRDefault="00441E15" w:rsidP="00BB526A">
      <w:pPr>
        <w:pStyle w:val="PargrafodaLista"/>
        <w:spacing w:line="360" w:lineRule="auto"/>
        <w:jc w:val="both"/>
      </w:pPr>
      <w:r>
        <w:t xml:space="preserve">4.2- </w:t>
      </w:r>
      <w:r w:rsidR="004B6A09">
        <w:t>Movimentações: se existe algum documento com “</w:t>
      </w:r>
      <w:proofErr w:type="spellStart"/>
      <w:r w:rsidR="004B6A09">
        <w:t>xx</w:t>
      </w:r>
      <w:proofErr w:type="spellEnd"/>
      <w:r w:rsidR="004B6A09">
        <w:t xml:space="preserve">” no número </w:t>
      </w:r>
      <w:r w:rsidR="00465A65">
        <w:t xml:space="preserve">(proceder com a preenchimento correto das informações) </w:t>
      </w:r>
      <w:r w:rsidR="004B6A09">
        <w:t>e se os valores correspondem com o esperado.</w:t>
      </w:r>
    </w:p>
    <w:p w14:paraId="0D49D0AF" w14:textId="491CBCC9" w:rsidR="003E6E8C" w:rsidRPr="000B5897" w:rsidRDefault="008A27B9" w:rsidP="00BB526A">
      <w:pPr>
        <w:spacing w:line="360" w:lineRule="auto"/>
        <w:jc w:val="both"/>
      </w:pPr>
      <w:r>
        <w:rPr>
          <w:noProof/>
          <w:lang w:eastAsia="pt-BR"/>
        </w:rPr>
        <w:lastRenderedPageBreak/>
        <w:drawing>
          <wp:inline distT="0" distB="0" distL="0" distR="0" wp14:anchorId="09105219" wp14:editId="434489DB">
            <wp:extent cx="4734586" cy="4791744"/>
            <wp:effectExtent l="0" t="0" r="889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a:extLst>
                        <a:ext uri="{28A0092B-C50C-407E-A947-70E740481C1C}">
                          <a14:useLocalDpi xmlns:a14="http://schemas.microsoft.com/office/drawing/2010/main" val="0"/>
                        </a:ext>
                      </a:extLst>
                    </a:blip>
                    <a:stretch>
                      <a:fillRect/>
                    </a:stretch>
                  </pic:blipFill>
                  <pic:spPr>
                    <a:xfrm>
                      <a:off x="0" y="0"/>
                      <a:ext cx="4734586" cy="4791744"/>
                    </a:xfrm>
                    <a:prstGeom prst="rect">
                      <a:avLst/>
                    </a:prstGeom>
                  </pic:spPr>
                </pic:pic>
              </a:graphicData>
            </a:graphic>
          </wp:inline>
        </w:drawing>
      </w:r>
    </w:p>
    <w:p w14:paraId="61C112ED" w14:textId="7CDA7252" w:rsidR="00EB57D3" w:rsidRPr="000B5897" w:rsidRDefault="00EB57D3" w:rsidP="000B5897">
      <w:pPr>
        <w:spacing w:line="360" w:lineRule="auto"/>
        <w:ind w:firstLine="708"/>
        <w:jc w:val="both"/>
        <w:rPr>
          <w:b/>
        </w:rPr>
      </w:pPr>
      <w:r w:rsidRPr="000B5897">
        <w:rPr>
          <w:b/>
        </w:rPr>
        <w:t xml:space="preserve">Movimento: </w:t>
      </w:r>
    </w:p>
    <w:p w14:paraId="47000A7A" w14:textId="77777777" w:rsidR="00EB57D3" w:rsidRPr="000B5897" w:rsidRDefault="00EB57D3" w:rsidP="000B5897">
      <w:pPr>
        <w:spacing w:line="360" w:lineRule="auto"/>
        <w:ind w:firstLine="708"/>
        <w:jc w:val="both"/>
      </w:pPr>
      <w:r w:rsidRPr="000B5897">
        <w:t>A aba “Movimentos Teto” busca apresentar de forma sistematizada os documentos que geraram movimentação no Teto MAC para a competência em questão. Inclusive, ressalta-se que os documentos são vinculados à uma codificação (ID - separa remanejamento), seguida da descrição do documento. Ademais, traz os valores financeiros anuais vinculados ao remanejamento, ressaltando que esse só será visualizado em caso de ato normativo federal para acréscimo ou supressão (entre parênteses) de valores financeiros.</w:t>
      </w:r>
    </w:p>
    <w:p w14:paraId="53DA87E8" w14:textId="57BAC855" w:rsidR="00EB57D3" w:rsidRPr="000B5897" w:rsidRDefault="00EB57D3" w:rsidP="000B5897">
      <w:pPr>
        <w:spacing w:line="360" w:lineRule="auto"/>
        <w:ind w:firstLine="708"/>
        <w:jc w:val="both"/>
      </w:pPr>
      <w:r w:rsidRPr="000B5897">
        <w:t xml:space="preserve">Tal ressalva tem vinculação ao fato de atos normativos estaduais não gerarem incorporação de recurso federal (o que se tem programado atualmente na PPI/MG, com exceção </w:t>
      </w:r>
      <w:r w:rsidRPr="000B5897">
        <w:lastRenderedPageBreak/>
        <w:t>da programação para o atendimento Hemominas), pois apenas retratam remanejamentos (mudanças) de recursos federais já existentes e programados na PPI/MG.</w:t>
      </w:r>
    </w:p>
    <w:p w14:paraId="019CB0C4" w14:textId="77777777" w:rsidR="00EB57D3" w:rsidRPr="000B5897" w:rsidRDefault="00EB57D3" w:rsidP="000B5897">
      <w:pPr>
        <w:spacing w:line="360" w:lineRule="auto"/>
        <w:ind w:firstLine="708"/>
        <w:jc w:val="both"/>
        <w:rPr>
          <w:b/>
        </w:rPr>
      </w:pPr>
      <w:r w:rsidRPr="000B5897">
        <w:rPr>
          <w:b/>
        </w:rPr>
        <w:t>Detalhado:</w:t>
      </w:r>
    </w:p>
    <w:p w14:paraId="7BE06A0F" w14:textId="3133865F" w:rsidR="00EB57D3" w:rsidRPr="000B5897" w:rsidRDefault="00EB57D3" w:rsidP="000B5897">
      <w:pPr>
        <w:spacing w:line="360" w:lineRule="auto"/>
        <w:ind w:firstLine="708"/>
        <w:jc w:val="both"/>
      </w:pPr>
      <w:r w:rsidRPr="000B5897">
        <w:t>A aba “Detalhado” apresenta o detalhamento dos documentos que geraram movimentação no Teto MAC por município de atendimento. Em alguns casos, os municípios aparecem em mais de uma linha, para um mesmo ID, a depender da distribuição financeira – ambulatorial ou hospitalar; média ou alta complexidade – que não se encontra detalhada neste documento.</w:t>
      </w:r>
    </w:p>
    <w:p w14:paraId="6B51C180" w14:textId="77777777" w:rsidR="00EB57D3" w:rsidRPr="000B5897" w:rsidRDefault="00EB57D3" w:rsidP="000B5897">
      <w:pPr>
        <w:spacing w:line="360" w:lineRule="auto"/>
        <w:ind w:firstLine="708"/>
        <w:jc w:val="both"/>
        <w:rPr>
          <w:b/>
        </w:rPr>
      </w:pPr>
      <w:r w:rsidRPr="000B5897">
        <w:rPr>
          <w:b/>
        </w:rPr>
        <w:t>Físico-Financeiro:</w:t>
      </w:r>
    </w:p>
    <w:p w14:paraId="570CF028" w14:textId="1F6AE654" w:rsidR="00EB57D3" w:rsidRPr="000B5897" w:rsidRDefault="00EB57D3" w:rsidP="000B5897">
      <w:pPr>
        <w:spacing w:line="360" w:lineRule="auto"/>
        <w:ind w:firstLine="708"/>
        <w:jc w:val="both"/>
      </w:pPr>
      <w:r w:rsidRPr="000B5897">
        <w:t>A aba “Físico-Financeiro” apresenta de forma mais ampla as alterações físico-financeiras, por município de origem e de atendimento, com detalhamento do documento (ID) e forma de organização impactadas na respectiva competência. Ressalto que o valor identificado como remanejamento federal na aba “Detalhado” é equivalente ao valor encontrado na coluna “</w:t>
      </w:r>
      <w:proofErr w:type="spellStart"/>
      <w:r w:rsidRPr="000B5897">
        <w:t>DiferençaFinanceiraTotal</w:t>
      </w:r>
      <w:proofErr w:type="spellEnd"/>
      <w:r w:rsidRPr="000B5897">
        <w:t>” da aba “Físico-Financeiro”.</w:t>
      </w:r>
    </w:p>
    <w:p w14:paraId="26662538" w14:textId="77777777" w:rsidR="00EB57D3" w:rsidRPr="000B5897" w:rsidRDefault="00EB57D3" w:rsidP="000B5897">
      <w:pPr>
        <w:spacing w:line="360" w:lineRule="auto"/>
        <w:ind w:firstLine="708"/>
        <w:jc w:val="both"/>
      </w:pPr>
      <w:r w:rsidRPr="000B5897">
        <w:rPr>
          <w:b/>
        </w:rPr>
        <w:t>Município:</w:t>
      </w:r>
      <w:r w:rsidRPr="000B5897">
        <w:t xml:space="preserve"> “Atendimento”</w:t>
      </w:r>
    </w:p>
    <w:p w14:paraId="41E5825F" w14:textId="4266A492" w:rsidR="00EB57D3" w:rsidRPr="000B5897" w:rsidRDefault="00EB57D3" w:rsidP="000B5897">
      <w:pPr>
        <w:spacing w:line="360" w:lineRule="auto"/>
        <w:ind w:firstLine="708"/>
        <w:jc w:val="both"/>
      </w:pPr>
      <w:r w:rsidRPr="000B5897">
        <w:t>A aba “Atendimento” traz o montante financeiro final que impactou no fechamento do Teto MAC para a competência em questão, para cada um dos municípios de atendimento (executores).</w:t>
      </w:r>
    </w:p>
    <w:p w14:paraId="1CC73B86" w14:textId="77777777" w:rsidR="00EB57D3" w:rsidRPr="000B5897" w:rsidRDefault="00EB57D3" w:rsidP="000B5897">
      <w:pPr>
        <w:spacing w:line="360" w:lineRule="auto"/>
        <w:ind w:firstLine="708"/>
        <w:jc w:val="both"/>
        <w:rPr>
          <w:b/>
        </w:rPr>
      </w:pPr>
      <w:r w:rsidRPr="000B5897">
        <w:rPr>
          <w:b/>
        </w:rPr>
        <w:t>Recurso Livre:</w:t>
      </w:r>
    </w:p>
    <w:p w14:paraId="70583D29" w14:textId="22172C5B" w:rsidR="0084697F" w:rsidRPr="000B5897" w:rsidRDefault="00EB57D3" w:rsidP="000B5897">
      <w:pPr>
        <w:spacing w:line="360" w:lineRule="auto"/>
        <w:ind w:firstLine="708"/>
        <w:jc w:val="both"/>
      </w:pPr>
      <w:r w:rsidRPr="000B5897">
        <w:t>A aba “Recurso Livre” mostra a situação dos recursos programados para o Estado e para os municípios sob gestão Estadual e Municipal e os valores disponíveis para programação separadas por redes assistenciais</w:t>
      </w:r>
    </w:p>
    <w:p w14:paraId="774F0E3D" w14:textId="1C407AF7" w:rsidR="004267A6" w:rsidRPr="009F0761" w:rsidRDefault="004267A6" w:rsidP="004267A6">
      <w:pPr>
        <w:spacing w:line="360" w:lineRule="auto"/>
        <w:rPr>
          <w:rFonts w:ascii="Calibri" w:eastAsia="Calibri" w:hAnsi="Calibri" w:cs="Calibri"/>
        </w:rPr>
      </w:pPr>
      <w:r>
        <w:rPr>
          <w:rFonts w:ascii="Calibri" w:eastAsia="Calibri" w:hAnsi="Calibri" w:cs="Calibri"/>
          <w:b/>
        </w:rPr>
        <w:t>REFERÊNCIAS:</w:t>
      </w:r>
      <w:r>
        <w:rPr>
          <w:rFonts w:ascii="Calibri" w:eastAsia="Calibri" w:hAnsi="Calibri" w:cs="Calibri"/>
        </w:rPr>
        <w:t xml:space="preserve"> Não há referências legais.</w:t>
      </w:r>
    </w:p>
    <w:p w14:paraId="34313E36" w14:textId="01ED35DC" w:rsidR="004267A6" w:rsidRPr="000B5897" w:rsidRDefault="005A7021" w:rsidP="004267A6">
      <w:pPr>
        <w:spacing w:line="360" w:lineRule="auto"/>
        <w:rPr>
          <w:rFonts w:ascii="Calibri" w:eastAsia="Calibri" w:hAnsi="Calibri" w:cs="Calibri"/>
          <w:b/>
        </w:rPr>
      </w:pPr>
      <w:r>
        <w:rPr>
          <w:rFonts w:ascii="Calibri" w:eastAsia="Calibri" w:hAnsi="Calibri" w:cs="Calibri"/>
          <w:b/>
        </w:rPr>
        <w:t>REVISÃO</w:t>
      </w:r>
      <w:r w:rsidR="004267A6">
        <w:rPr>
          <w:rFonts w:ascii="Calibri" w:eastAsia="Calibri" w:hAnsi="Calibri" w:cs="Calibri"/>
          <w:b/>
        </w:rPr>
        <w:t>:</w:t>
      </w:r>
      <w:r>
        <w:rPr>
          <w:rFonts w:ascii="Calibri" w:eastAsia="Calibri" w:hAnsi="Calibri" w:cs="Calibri"/>
          <w:b/>
        </w:rPr>
        <w:t xml:space="preserve"> </w:t>
      </w:r>
    </w:p>
    <w:p w14:paraId="22BF0E65" w14:textId="03B263D3" w:rsidR="004267A6" w:rsidRPr="000B5897" w:rsidRDefault="004267A6" w:rsidP="004267A6">
      <w:pPr>
        <w:spacing w:line="360" w:lineRule="auto"/>
        <w:rPr>
          <w:rFonts w:ascii="Calibri" w:eastAsia="Calibri" w:hAnsi="Calibri" w:cs="Calibri"/>
          <w:b/>
        </w:rPr>
      </w:pPr>
      <w:r>
        <w:rPr>
          <w:rFonts w:ascii="Calibri" w:eastAsia="Calibri" w:hAnsi="Calibri" w:cs="Calibri"/>
          <w:b/>
        </w:rPr>
        <w:t>DATA:</w:t>
      </w:r>
    </w:p>
    <w:p w14:paraId="2D9F7B17" w14:textId="1D955B21" w:rsidR="003E6E8C" w:rsidRDefault="004267A6" w:rsidP="000B5897">
      <w:pPr>
        <w:spacing w:line="360" w:lineRule="auto"/>
        <w:rPr>
          <w:rFonts w:ascii="Calibri" w:eastAsia="Calibri" w:hAnsi="Calibri" w:cs="Calibri"/>
        </w:rPr>
      </w:pPr>
      <w:r>
        <w:rPr>
          <w:rFonts w:ascii="Calibri" w:eastAsia="Calibri" w:hAnsi="Calibri" w:cs="Calibri"/>
          <w:b/>
        </w:rPr>
        <w:t>APROVAÇÃO:</w:t>
      </w:r>
      <w:bookmarkStart w:id="0" w:name="_GoBack"/>
      <w:bookmarkEnd w:id="0"/>
    </w:p>
    <w:sectPr w:rsidR="003E6E8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31CB9" w14:textId="77777777" w:rsidR="00E1177E" w:rsidRDefault="00E1177E" w:rsidP="004267A6">
      <w:pPr>
        <w:spacing w:after="0" w:line="240" w:lineRule="auto"/>
      </w:pPr>
      <w:r>
        <w:separator/>
      </w:r>
    </w:p>
  </w:endnote>
  <w:endnote w:type="continuationSeparator" w:id="0">
    <w:p w14:paraId="58EA277B" w14:textId="77777777" w:rsidR="00E1177E" w:rsidRDefault="00E1177E" w:rsidP="00426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000756"/>
      <w:docPartObj>
        <w:docPartGallery w:val="Page Numbers (Bottom of Page)"/>
        <w:docPartUnique/>
      </w:docPartObj>
    </w:sdtPr>
    <w:sdtEndPr/>
    <w:sdtContent>
      <w:p w14:paraId="40C7D684" w14:textId="17543621" w:rsidR="006C4FEF" w:rsidRDefault="006C4FEF">
        <w:pPr>
          <w:pStyle w:val="Rodap"/>
          <w:jc w:val="right"/>
        </w:pPr>
        <w:r>
          <w:fldChar w:fldCharType="begin"/>
        </w:r>
        <w:r>
          <w:instrText>PAGE   \* MERGEFORMAT</w:instrText>
        </w:r>
        <w:r>
          <w:fldChar w:fldCharType="separate"/>
        </w:r>
        <w:r w:rsidR="000B5897">
          <w:rPr>
            <w:noProof/>
          </w:rPr>
          <w:t>4</w:t>
        </w:r>
        <w:r>
          <w:fldChar w:fldCharType="end"/>
        </w:r>
      </w:p>
    </w:sdtContent>
  </w:sdt>
  <w:p w14:paraId="4CB2AADD" w14:textId="77777777" w:rsidR="006C4FEF" w:rsidRDefault="006C4F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A66A0C" w14:textId="77777777" w:rsidR="00E1177E" w:rsidRDefault="00E1177E" w:rsidP="004267A6">
      <w:pPr>
        <w:spacing w:after="0" w:line="240" w:lineRule="auto"/>
      </w:pPr>
      <w:r>
        <w:separator/>
      </w:r>
    </w:p>
  </w:footnote>
  <w:footnote w:type="continuationSeparator" w:id="0">
    <w:p w14:paraId="3D2B96AF" w14:textId="77777777" w:rsidR="00E1177E" w:rsidRDefault="00E1177E" w:rsidP="00426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EF9AD" w14:textId="09BFF439" w:rsidR="004267A6" w:rsidRDefault="004267A6">
    <w:pPr>
      <w:pStyle w:val="Cabealho"/>
    </w:pPr>
  </w:p>
  <w:tbl>
    <w:tblPr>
      <w:tblStyle w:val="Tabelacomgrade"/>
      <w:tblW w:w="8659" w:type="dxa"/>
      <w:tblInd w:w="-176" w:type="dxa"/>
      <w:tblLayout w:type="fixed"/>
      <w:tblLook w:val="04A0" w:firstRow="1" w:lastRow="0" w:firstColumn="1" w:lastColumn="0" w:noHBand="0" w:noVBand="1"/>
    </w:tblPr>
    <w:tblGrid>
      <w:gridCol w:w="1372"/>
      <w:gridCol w:w="4882"/>
      <w:gridCol w:w="863"/>
      <w:gridCol w:w="1542"/>
    </w:tblGrid>
    <w:tr w:rsidR="004267A6" w14:paraId="2FFF38C4" w14:textId="77777777" w:rsidTr="00C56E46">
      <w:trPr>
        <w:trHeight w:val="397"/>
      </w:trPr>
      <w:tc>
        <w:tcPr>
          <w:tcW w:w="1372" w:type="dxa"/>
          <w:vMerge w:val="restart"/>
        </w:tcPr>
        <w:p w14:paraId="16BD6A5F" w14:textId="77777777" w:rsidR="004267A6" w:rsidRDefault="004267A6" w:rsidP="004267A6">
          <w:pPr>
            <w:pStyle w:val="Cabealho"/>
            <w:jc w:val="center"/>
            <w:rPr>
              <w:rFonts w:cstheme="minorHAnsi"/>
            </w:rPr>
          </w:pPr>
        </w:p>
        <w:p w14:paraId="7BA67030" w14:textId="77777777" w:rsidR="004267A6" w:rsidRPr="0035374B" w:rsidRDefault="004267A6" w:rsidP="004267A6">
          <w:pPr>
            <w:pStyle w:val="Cabealho"/>
            <w:jc w:val="center"/>
            <w:rPr>
              <w:rFonts w:cstheme="minorHAnsi"/>
              <w:b/>
              <w:sz w:val="24"/>
              <w:szCs w:val="24"/>
            </w:rPr>
          </w:pPr>
          <w:r w:rsidRPr="0035374B">
            <w:rPr>
              <w:rFonts w:cstheme="minorHAnsi"/>
              <w:b/>
              <w:sz w:val="24"/>
              <w:szCs w:val="24"/>
            </w:rPr>
            <w:t>SES-SUBREG-DPPI</w:t>
          </w:r>
        </w:p>
        <w:p w14:paraId="3B2ACBB0" w14:textId="77777777" w:rsidR="004267A6" w:rsidRDefault="004267A6" w:rsidP="004267A6">
          <w:pPr>
            <w:pStyle w:val="Cabealho"/>
          </w:pPr>
        </w:p>
      </w:tc>
      <w:tc>
        <w:tcPr>
          <w:tcW w:w="4882" w:type="dxa"/>
          <w:vMerge w:val="restart"/>
        </w:tcPr>
        <w:p w14:paraId="73D4E84A" w14:textId="77777777" w:rsidR="004267A6" w:rsidRPr="0035374B" w:rsidRDefault="004267A6" w:rsidP="004267A6">
          <w:pPr>
            <w:pStyle w:val="Cabealho"/>
            <w:jc w:val="center"/>
            <w:rPr>
              <w:rFonts w:cstheme="minorHAnsi"/>
            </w:rPr>
          </w:pPr>
        </w:p>
        <w:p w14:paraId="49E0586B" w14:textId="77777777" w:rsidR="004267A6" w:rsidRPr="0035374B" w:rsidRDefault="004267A6" w:rsidP="004267A6">
          <w:pPr>
            <w:pStyle w:val="Cabealho"/>
            <w:jc w:val="center"/>
            <w:rPr>
              <w:rFonts w:cstheme="minorHAnsi"/>
              <w:b/>
            </w:rPr>
          </w:pPr>
          <w:r w:rsidRPr="0035374B">
            <w:rPr>
              <w:rFonts w:cstheme="minorHAnsi"/>
              <w:b/>
            </w:rPr>
            <w:t>PROCEDIMENTO OPERACIONAL PADRÃO - POP</w:t>
          </w:r>
        </w:p>
      </w:tc>
      <w:tc>
        <w:tcPr>
          <w:tcW w:w="863" w:type="dxa"/>
        </w:tcPr>
        <w:p w14:paraId="3EACCC53" w14:textId="77777777" w:rsidR="004267A6" w:rsidRPr="0035374B" w:rsidRDefault="004267A6" w:rsidP="004267A6">
          <w:pPr>
            <w:pStyle w:val="Cabealho"/>
            <w:rPr>
              <w:rFonts w:cstheme="minorHAnsi"/>
              <w:b/>
              <w:sz w:val="18"/>
              <w:szCs w:val="18"/>
            </w:rPr>
          </w:pPr>
          <w:r w:rsidRPr="0035374B">
            <w:rPr>
              <w:rFonts w:cstheme="minorHAnsi"/>
              <w:b/>
              <w:sz w:val="18"/>
              <w:szCs w:val="18"/>
            </w:rPr>
            <w:t>Código</w:t>
          </w:r>
        </w:p>
      </w:tc>
      <w:tc>
        <w:tcPr>
          <w:tcW w:w="1542" w:type="dxa"/>
        </w:tcPr>
        <w:p w14:paraId="062762A0" w14:textId="223D6B18" w:rsidR="004267A6" w:rsidRPr="0035374B" w:rsidRDefault="004267A6" w:rsidP="004267A6">
          <w:pPr>
            <w:pStyle w:val="Cabealho"/>
            <w:rPr>
              <w:rFonts w:cstheme="minorHAnsi"/>
              <w:sz w:val="18"/>
              <w:szCs w:val="18"/>
            </w:rPr>
          </w:pPr>
          <w:r w:rsidRPr="0035374B">
            <w:rPr>
              <w:rFonts w:cstheme="minorHAnsi"/>
              <w:sz w:val="18"/>
              <w:szCs w:val="18"/>
            </w:rPr>
            <w:t>POP – DPPI</w:t>
          </w:r>
          <w:r>
            <w:rPr>
              <w:rFonts w:cstheme="minorHAnsi"/>
              <w:sz w:val="18"/>
              <w:szCs w:val="18"/>
            </w:rPr>
            <w:t xml:space="preserve"> 002</w:t>
          </w:r>
        </w:p>
      </w:tc>
    </w:tr>
    <w:tr w:rsidR="004267A6" w14:paraId="792100FD" w14:textId="77777777" w:rsidTr="00C56E46">
      <w:trPr>
        <w:trHeight w:val="397"/>
      </w:trPr>
      <w:tc>
        <w:tcPr>
          <w:tcW w:w="1372" w:type="dxa"/>
          <w:vMerge/>
        </w:tcPr>
        <w:p w14:paraId="6D318A39" w14:textId="77777777" w:rsidR="004267A6" w:rsidRDefault="004267A6" w:rsidP="004267A6">
          <w:pPr>
            <w:pStyle w:val="Cabealho"/>
          </w:pPr>
        </w:p>
      </w:tc>
      <w:tc>
        <w:tcPr>
          <w:tcW w:w="4882" w:type="dxa"/>
          <w:vMerge/>
        </w:tcPr>
        <w:p w14:paraId="20909070" w14:textId="77777777" w:rsidR="004267A6" w:rsidRPr="0035374B" w:rsidRDefault="004267A6" w:rsidP="004267A6">
          <w:pPr>
            <w:pStyle w:val="Cabealho"/>
            <w:jc w:val="center"/>
            <w:rPr>
              <w:rFonts w:cstheme="minorHAnsi"/>
            </w:rPr>
          </w:pPr>
        </w:p>
      </w:tc>
      <w:tc>
        <w:tcPr>
          <w:tcW w:w="863" w:type="dxa"/>
        </w:tcPr>
        <w:p w14:paraId="6501E988" w14:textId="77777777" w:rsidR="004267A6" w:rsidRPr="0035374B" w:rsidRDefault="004267A6" w:rsidP="004267A6">
          <w:pPr>
            <w:pStyle w:val="Cabealho"/>
            <w:rPr>
              <w:rFonts w:cstheme="minorHAnsi"/>
              <w:b/>
              <w:sz w:val="18"/>
              <w:szCs w:val="18"/>
            </w:rPr>
          </w:pPr>
          <w:r w:rsidRPr="0035374B">
            <w:rPr>
              <w:rFonts w:cstheme="minorHAnsi"/>
              <w:b/>
              <w:sz w:val="18"/>
              <w:szCs w:val="18"/>
            </w:rPr>
            <w:t>Edição</w:t>
          </w:r>
        </w:p>
      </w:tc>
      <w:tc>
        <w:tcPr>
          <w:tcW w:w="1542" w:type="dxa"/>
        </w:tcPr>
        <w:p w14:paraId="1569063D" w14:textId="7E70A681" w:rsidR="004267A6" w:rsidRPr="0035374B" w:rsidRDefault="000B5897" w:rsidP="004267A6">
          <w:pPr>
            <w:pStyle w:val="Cabealho"/>
            <w:rPr>
              <w:rFonts w:cstheme="minorHAnsi"/>
              <w:sz w:val="18"/>
              <w:szCs w:val="18"/>
            </w:rPr>
          </w:pPr>
          <w:r>
            <w:rPr>
              <w:rFonts w:cstheme="minorHAnsi"/>
              <w:sz w:val="18"/>
              <w:szCs w:val="18"/>
            </w:rPr>
            <w:t>1ª</w:t>
          </w:r>
        </w:p>
      </w:tc>
    </w:tr>
    <w:tr w:rsidR="004267A6" w14:paraId="0D209B17" w14:textId="77777777" w:rsidTr="00C56E46">
      <w:trPr>
        <w:trHeight w:val="331"/>
      </w:trPr>
      <w:tc>
        <w:tcPr>
          <w:tcW w:w="1372" w:type="dxa"/>
          <w:vMerge/>
        </w:tcPr>
        <w:p w14:paraId="022FD7E9" w14:textId="77777777" w:rsidR="004267A6" w:rsidRDefault="004267A6" w:rsidP="004267A6">
          <w:pPr>
            <w:pStyle w:val="Cabealho"/>
          </w:pPr>
        </w:p>
      </w:tc>
      <w:tc>
        <w:tcPr>
          <w:tcW w:w="4882" w:type="dxa"/>
          <w:vMerge w:val="restart"/>
        </w:tcPr>
        <w:p w14:paraId="007AABA3" w14:textId="77777777" w:rsidR="004267A6" w:rsidRDefault="004267A6" w:rsidP="004267A6">
          <w:pPr>
            <w:pStyle w:val="Cabealho"/>
            <w:jc w:val="center"/>
            <w:rPr>
              <w:rFonts w:cstheme="minorHAnsi"/>
              <w:b/>
            </w:rPr>
          </w:pPr>
        </w:p>
        <w:p w14:paraId="7D174336" w14:textId="364C785A" w:rsidR="004267A6" w:rsidRPr="0035374B" w:rsidRDefault="004267A6" w:rsidP="004267A6">
          <w:pPr>
            <w:pStyle w:val="Cabealho"/>
            <w:jc w:val="center"/>
            <w:rPr>
              <w:rFonts w:cstheme="minorHAnsi"/>
              <w:b/>
            </w:rPr>
          </w:pPr>
          <w:r>
            <w:rPr>
              <w:rFonts w:cstheme="minorHAnsi"/>
              <w:b/>
            </w:rPr>
            <w:t>PRODUTOS TETO</w:t>
          </w:r>
        </w:p>
      </w:tc>
      <w:tc>
        <w:tcPr>
          <w:tcW w:w="863" w:type="dxa"/>
        </w:tcPr>
        <w:p w14:paraId="007A6BE5" w14:textId="77777777" w:rsidR="004267A6" w:rsidRPr="0035374B" w:rsidRDefault="004267A6" w:rsidP="004267A6">
          <w:pPr>
            <w:pStyle w:val="Cabealho"/>
            <w:rPr>
              <w:rFonts w:cstheme="minorHAnsi"/>
              <w:b/>
              <w:sz w:val="18"/>
              <w:szCs w:val="18"/>
            </w:rPr>
          </w:pPr>
          <w:r w:rsidRPr="0035374B">
            <w:rPr>
              <w:rFonts w:cstheme="minorHAnsi"/>
              <w:b/>
              <w:sz w:val="18"/>
              <w:szCs w:val="18"/>
            </w:rPr>
            <w:t>Data</w:t>
          </w:r>
        </w:p>
      </w:tc>
      <w:tc>
        <w:tcPr>
          <w:tcW w:w="1542" w:type="dxa"/>
        </w:tcPr>
        <w:p w14:paraId="7389EB9B" w14:textId="078F7895" w:rsidR="004267A6" w:rsidRPr="0035374B" w:rsidRDefault="005006F1" w:rsidP="004267A6">
          <w:pPr>
            <w:pStyle w:val="Cabealho"/>
            <w:rPr>
              <w:rFonts w:cstheme="minorHAnsi"/>
              <w:sz w:val="18"/>
              <w:szCs w:val="18"/>
            </w:rPr>
          </w:pPr>
          <w:r>
            <w:rPr>
              <w:rFonts w:cstheme="minorHAnsi"/>
              <w:sz w:val="18"/>
              <w:szCs w:val="18"/>
            </w:rPr>
            <w:t>xx/xx/xxxx</w:t>
          </w:r>
        </w:p>
      </w:tc>
    </w:tr>
    <w:tr w:rsidR="004267A6" w14:paraId="3C0378E0" w14:textId="77777777" w:rsidTr="00C56E46">
      <w:trPr>
        <w:trHeight w:val="330"/>
      </w:trPr>
      <w:tc>
        <w:tcPr>
          <w:tcW w:w="1372" w:type="dxa"/>
          <w:vMerge/>
        </w:tcPr>
        <w:p w14:paraId="36EA7116" w14:textId="77777777" w:rsidR="004267A6" w:rsidRDefault="004267A6" w:rsidP="004267A6">
          <w:pPr>
            <w:pStyle w:val="Cabealho"/>
          </w:pPr>
        </w:p>
      </w:tc>
      <w:tc>
        <w:tcPr>
          <w:tcW w:w="4882" w:type="dxa"/>
          <w:vMerge/>
        </w:tcPr>
        <w:p w14:paraId="5B012784" w14:textId="77777777" w:rsidR="004267A6" w:rsidRPr="0035374B" w:rsidRDefault="004267A6" w:rsidP="004267A6">
          <w:pPr>
            <w:pStyle w:val="Cabealho"/>
            <w:rPr>
              <w:rFonts w:cstheme="minorHAnsi"/>
            </w:rPr>
          </w:pPr>
        </w:p>
      </w:tc>
      <w:tc>
        <w:tcPr>
          <w:tcW w:w="863" w:type="dxa"/>
        </w:tcPr>
        <w:p w14:paraId="5655DA94" w14:textId="77777777" w:rsidR="004267A6" w:rsidRPr="0035374B" w:rsidRDefault="004267A6" w:rsidP="004267A6">
          <w:pPr>
            <w:pStyle w:val="Cabealho"/>
            <w:rPr>
              <w:rFonts w:cstheme="minorHAnsi"/>
              <w:b/>
              <w:sz w:val="18"/>
              <w:szCs w:val="18"/>
            </w:rPr>
          </w:pPr>
          <w:r w:rsidRPr="0035374B">
            <w:rPr>
              <w:rFonts w:cstheme="minorHAnsi"/>
              <w:b/>
              <w:sz w:val="18"/>
              <w:szCs w:val="18"/>
            </w:rPr>
            <w:t>Página</w:t>
          </w:r>
        </w:p>
      </w:tc>
      <w:tc>
        <w:tcPr>
          <w:tcW w:w="1542" w:type="dxa"/>
        </w:tcPr>
        <w:p w14:paraId="36AF419F" w14:textId="1E95E721" w:rsidR="004267A6" w:rsidRPr="0035374B" w:rsidRDefault="004267A6" w:rsidP="004267A6">
          <w:pPr>
            <w:rPr>
              <w:rFonts w:cstheme="minorHAnsi"/>
              <w:sz w:val="18"/>
              <w:szCs w:val="18"/>
            </w:rPr>
          </w:pPr>
          <w:r w:rsidRPr="0035374B">
            <w:rPr>
              <w:rFonts w:cstheme="minorHAnsi"/>
              <w:sz w:val="18"/>
              <w:szCs w:val="18"/>
            </w:rPr>
            <w:t xml:space="preserve">Página </w:t>
          </w:r>
          <w:r w:rsidRPr="0035374B">
            <w:rPr>
              <w:rFonts w:cstheme="minorHAnsi"/>
              <w:sz w:val="18"/>
              <w:szCs w:val="18"/>
            </w:rPr>
            <w:fldChar w:fldCharType="begin"/>
          </w:r>
          <w:r w:rsidRPr="0035374B">
            <w:rPr>
              <w:rFonts w:cstheme="minorHAnsi"/>
              <w:sz w:val="18"/>
              <w:szCs w:val="18"/>
            </w:rPr>
            <w:instrText xml:space="preserve"> PAGE </w:instrText>
          </w:r>
          <w:r w:rsidRPr="0035374B">
            <w:rPr>
              <w:rFonts w:cstheme="minorHAnsi"/>
              <w:sz w:val="18"/>
              <w:szCs w:val="18"/>
            </w:rPr>
            <w:fldChar w:fldCharType="separate"/>
          </w:r>
          <w:r w:rsidR="000B5897">
            <w:rPr>
              <w:rFonts w:cstheme="minorHAnsi"/>
              <w:noProof/>
              <w:sz w:val="18"/>
              <w:szCs w:val="18"/>
            </w:rPr>
            <w:t>4</w:t>
          </w:r>
          <w:r w:rsidRPr="0035374B">
            <w:rPr>
              <w:rFonts w:cstheme="minorHAnsi"/>
              <w:sz w:val="18"/>
              <w:szCs w:val="18"/>
            </w:rPr>
            <w:fldChar w:fldCharType="end"/>
          </w:r>
          <w:r w:rsidRPr="0035374B">
            <w:rPr>
              <w:rFonts w:cstheme="minorHAnsi"/>
              <w:sz w:val="18"/>
              <w:szCs w:val="18"/>
            </w:rPr>
            <w:t xml:space="preserve"> de </w:t>
          </w:r>
          <w:r w:rsidRPr="0035374B">
            <w:rPr>
              <w:rFonts w:cstheme="minorHAnsi"/>
              <w:sz w:val="18"/>
              <w:szCs w:val="18"/>
            </w:rPr>
            <w:fldChar w:fldCharType="begin"/>
          </w:r>
          <w:r w:rsidRPr="0035374B">
            <w:rPr>
              <w:rFonts w:cstheme="minorHAnsi"/>
              <w:sz w:val="18"/>
              <w:szCs w:val="18"/>
            </w:rPr>
            <w:instrText xml:space="preserve"> NUMPAGES  </w:instrText>
          </w:r>
          <w:r w:rsidRPr="0035374B">
            <w:rPr>
              <w:rFonts w:cstheme="minorHAnsi"/>
              <w:sz w:val="18"/>
              <w:szCs w:val="18"/>
            </w:rPr>
            <w:fldChar w:fldCharType="separate"/>
          </w:r>
          <w:r w:rsidR="000B5897">
            <w:rPr>
              <w:rFonts w:cstheme="minorHAnsi"/>
              <w:noProof/>
              <w:sz w:val="18"/>
              <w:szCs w:val="18"/>
            </w:rPr>
            <w:t>6</w:t>
          </w:r>
          <w:r w:rsidRPr="0035374B">
            <w:rPr>
              <w:rFonts w:cstheme="minorHAnsi"/>
              <w:sz w:val="18"/>
              <w:szCs w:val="18"/>
            </w:rPr>
            <w:fldChar w:fldCharType="end"/>
          </w:r>
        </w:p>
        <w:p w14:paraId="7C755324" w14:textId="77777777" w:rsidR="004267A6" w:rsidRPr="0035374B" w:rsidRDefault="004267A6" w:rsidP="004267A6">
          <w:pPr>
            <w:pStyle w:val="Cabealho"/>
            <w:rPr>
              <w:rFonts w:cstheme="minorHAnsi"/>
              <w:sz w:val="18"/>
              <w:szCs w:val="18"/>
            </w:rPr>
          </w:pPr>
        </w:p>
      </w:tc>
    </w:tr>
  </w:tbl>
  <w:p w14:paraId="070791FE" w14:textId="236C387E" w:rsidR="004267A6" w:rsidRDefault="004267A6">
    <w:pPr>
      <w:pStyle w:val="Cabealho"/>
    </w:pPr>
  </w:p>
  <w:p w14:paraId="1021C5F5" w14:textId="77777777" w:rsidR="004267A6" w:rsidRDefault="004267A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97D57"/>
    <w:multiLevelType w:val="multilevel"/>
    <w:tmpl w:val="69B6F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E61E8"/>
    <w:multiLevelType w:val="hybridMultilevel"/>
    <w:tmpl w:val="F9749AF0"/>
    <w:lvl w:ilvl="0" w:tplc="FB4EA4B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37917614"/>
    <w:multiLevelType w:val="hybridMultilevel"/>
    <w:tmpl w:val="B8EE1FBA"/>
    <w:lvl w:ilvl="0" w:tplc="DC5A0B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2E973F6"/>
    <w:multiLevelType w:val="multilevel"/>
    <w:tmpl w:val="FF4223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760C47"/>
    <w:multiLevelType w:val="hybridMultilevel"/>
    <w:tmpl w:val="2B801500"/>
    <w:lvl w:ilvl="0" w:tplc="883AC3A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7A0C73BE"/>
    <w:multiLevelType w:val="hybridMultilevel"/>
    <w:tmpl w:val="61928EAC"/>
    <w:lvl w:ilvl="0" w:tplc="C24C99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lvlOverride w:ilvl="0">
      <w:lvl w:ilvl="0">
        <w:numFmt w:val="lowerLetter"/>
        <w:lvlText w:val="%1."/>
        <w:lvlJc w:val="left"/>
      </w:lvl>
    </w:lvlOverride>
  </w:num>
  <w:num w:numId="7">
    <w:abstractNumId w:val="0"/>
    <w:lvlOverride w:ilvl="0">
      <w:lvl w:ilvl="0">
        <w:numFmt w:val="lowerLetter"/>
        <w:lvlText w:val="%1."/>
        <w:lvlJc w:val="left"/>
      </w:lvl>
    </w:lvlOverride>
  </w:num>
  <w:num w:numId="8">
    <w:abstractNumId w:val="0"/>
    <w:lvlOverride w:ilvl="0">
      <w:lvl w:ilvl="0">
        <w:numFmt w:val="lowerLetter"/>
        <w:lvlText w:val="%1."/>
        <w:lvlJc w:val="left"/>
      </w:lvl>
    </w:lvlOverride>
  </w:num>
  <w:num w:numId="9">
    <w:abstractNumId w:val="0"/>
    <w:lvlOverride w:ilvl="0">
      <w:lvl w:ilvl="0">
        <w:numFmt w:val="lowerLetter"/>
        <w:lvlText w:val="%1."/>
        <w:lvlJc w:val="left"/>
      </w:lvl>
    </w:lvlOverride>
  </w:num>
  <w:num w:numId="10">
    <w:abstractNumId w:val="0"/>
    <w:lvlOverride w:ilvl="0">
      <w:lvl w:ilvl="0">
        <w:numFmt w:val="lowerLetter"/>
        <w:lvlText w:val="%1."/>
        <w:lvlJc w:val="left"/>
      </w:lvl>
    </w:lvlOverride>
  </w:num>
  <w:num w:numId="11">
    <w:abstractNumId w:val="0"/>
    <w:lvlOverride w:ilvl="0">
      <w:lvl w:ilvl="0">
        <w:numFmt w:val="lowerLetter"/>
        <w:lvlText w:val="%1."/>
        <w:lvlJc w:val="left"/>
      </w:lvl>
    </w:lvlOverride>
  </w:num>
  <w:num w:numId="12">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7A"/>
    <w:rsid w:val="000162F8"/>
    <w:rsid w:val="00093BA4"/>
    <w:rsid w:val="000B5897"/>
    <w:rsid w:val="000C4EF8"/>
    <w:rsid w:val="000F02B0"/>
    <w:rsid w:val="000F2107"/>
    <w:rsid w:val="0015065B"/>
    <w:rsid w:val="001B305C"/>
    <w:rsid w:val="00263012"/>
    <w:rsid w:val="003E6E8C"/>
    <w:rsid w:val="003E7F0B"/>
    <w:rsid w:val="004267A6"/>
    <w:rsid w:val="00441E15"/>
    <w:rsid w:val="00465A65"/>
    <w:rsid w:val="004B6A09"/>
    <w:rsid w:val="005006F1"/>
    <w:rsid w:val="005530BA"/>
    <w:rsid w:val="005A7021"/>
    <w:rsid w:val="00612029"/>
    <w:rsid w:val="00632A90"/>
    <w:rsid w:val="006C4FEF"/>
    <w:rsid w:val="00736CBA"/>
    <w:rsid w:val="0084697F"/>
    <w:rsid w:val="008A27B9"/>
    <w:rsid w:val="008D13A5"/>
    <w:rsid w:val="0093737A"/>
    <w:rsid w:val="00A819D8"/>
    <w:rsid w:val="00A82E5A"/>
    <w:rsid w:val="00A9043C"/>
    <w:rsid w:val="00AE5A6D"/>
    <w:rsid w:val="00B85860"/>
    <w:rsid w:val="00BB526A"/>
    <w:rsid w:val="00BE07A9"/>
    <w:rsid w:val="00BE52B0"/>
    <w:rsid w:val="00C75A87"/>
    <w:rsid w:val="00C85E1D"/>
    <w:rsid w:val="00CC15A8"/>
    <w:rsid w:val="00CC4317"/>
    <w:rsid w:val="00DE3C3C"/>
    <w:rsid w:val="00E1177E"/>
    <w:rsid w:val="00EB57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2962"/>
  <w15:chartTrackingRefBased/>
  <w15:docId w15:val="{71317C9F-2B93-46A7-BB71-6B807790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85E1D"/>
    <w:pPr>
      <w:ind w:left="720"/>
      <w:contextualSpacing/>
    </w:pPr>
  </w:style>
  <w:style w:type="paragraph" w:styleId="NormalWeb">
    <w:name w:val="Normal (Web)"/>
    <w:basedOn w:val="Normal"/>
    <w:uiPriority w:val="99"/>
    <w:semiHidden/>
    <w:unhideWhenUsed/>
    <w:rsid w:val="00465A6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nhideWhenUsed/>
    <w:rsid w:val="00426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267A6"/>
  </w:style>
  <w:style w:type="paragraph" w:styleId="Rodap">
    <w:name w:val="footer"/>
    <w:basedOn w:val="Normal"/>
    <w:link w:val="RodapChar"/>
    <w:uiPriority w:val="99"/>
    <w:unhideWhenUsed/>
    <w:rsid w:val="004267A6"/>
    <w:pPr>
      <w:tabs>
        <w:tab w:val="center" w:pos="4252"/>
        <w:tab w:val="right" w:pos="8504"/>
      </w:tabs>
      <w:spacing w:after="0" w:line="240" w:lineRule="auto"/>
    </w:pPr>
  </w:style>
  <w:style w:type="character" w:customStyle="1" w:styleId="RodapChar">
    <w:name w:val="Rodapé Char"/>
    <w:basedOn w:val="Fontepargpadro"/>
    <w:link w:val="Rodap"/>
    <w:uiPriority w:val="99"/>
    <w:rsid w:val="004267A6"/>
  </w:style>
  <w:style w:type="table" w:styleId="Tabelacomgrade">
    <w:name w:val="Table Grid"/>
    <w:basedOn w:val="Tabelanormal"/>
    <w:uiPriority w:val="59"/>
    <w:rsid w:val="0042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7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1265</Words>
  <Characters>6832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Faria</dc:creator>
  <cp:keywords/>
  <dc:description/>
  <cp:lastModifiedBy>Raquel Faria Nunes</cp:lastModifiedBy>
  <cp:revision>24</cp:revision>
  <dcterms:created xsi:type="dcterms:W3CDTF">2021-12-02T17:11:00Z</dcterms:created>
  <dcterms:modified xsi:type="dcterms:W3CDTF">2023-08-22T10:48:00Z</dcterms:modified>
</cp:coreProperties>
</file>