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Data Analysis of the 2021 NHIS Dataset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2: Group 4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Arely Salinas Cambron, Ruby Cruz, Kylize Dela Cruz, and Raquel Gonzalez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Public Health, Cal State Fullerton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PUBH 422: Statistical Programming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Lohuwa Mamudu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 2026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2021 National Health Interview Survey provides a critical snapshot of the health and sociodemographic characteristics of the United States population. This report utilizes advanced data visualization, including histograms, side-by-side boxplots, and faceted scatter plots to examine the complex relationships between physiological metrics and social determinants of health. By analyzing variables such as age, BMI indicators, and educational attainment, this project seeks to accurately represent population distributions and identify significant biological and social correlations within the 2021 cohort.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management began with a targeted variable selection and a rigorous cleaning process. Non-response and missing value codes were converted to system-missing values (NA) to prevent statistical bias. We used listwise deletion to ensure a complete-case analysis, thereby protecting the integrity of our summary statistics and correlation tests. Recoding educational attainment into four standardized tiers facilitated an analysis of education as a proxy for socioeconomic status. Analytical tools included base R and ggplot2 for visualization, along with Pearson’s correlation test to assess the significance of physiological relationships.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univariate analysis of quantitative variables revealed a mature cohort with a mean age of 52.6 years and a standard deviation of 18.3. While age is broadly distributed from 18 to 85, histograms indicate a slight right-skew with a primary concentration of participants in the 50-65 age range. Physiological measures showed a mean weight of 176.8 lbs and a mean height of 66.7 inches. By removing extreme non-response outliers, our cleaned data provides a realistic representation of the participants’ physical profiles. Bivariate analysis confirmed a highly significant relationship between height and weight (p &lt; 2.2 • 10</w:t>
      </w:r>
      <w:r w:rsidDel="00000000" w:rsidR="00000000" w:rsidRPr="00000000">
        <w:rPr>
          <w:rFonts w:ascii="Times New Roman" w:cs="Times New Roman" w:eastAsia="Times New Roman" w:hAnsi="Times New Roman"/>
          <w:sz w:val="24"/>
          <w:szCs w:val="24"/>
          <w:vertAlign w:val="superscript"/>
          <w:rtl w:val="0"/>
        </w:rPr>
        <w:t xml:space="preserve">-16</w:t>
      </w:r>
      <w:r w:rsidDel="00000000" w:rsidR="00000000" w:rsidRPr="00000000">
        <w:rPr>
          <w:rFonts w:ascii="Times New Roman" w:cs="Times New Roman" w:eastAsia="Times New Roman" w:hAnsi="Times New Roman"/>
          <w:sz w:val="24"/>
          <w:szCs w:val="24"/>
          <w:rtl w:val="0"/>
        </w:rPr>
        <w:t xml:space="preserve">), allowing for the rejection of the null hypothesis. The Pearson correlation coefficient of 0.502 indicates a moderate-to-strong positive association. Further, a clustered bar chart identified a positive relationship between life satisfaction and perceived health, where those reporting the highest satisfaction were disproportionately likely to report “Excellent” or “Very Good” physical health.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moderate positive association identified between height and weight (r = 0.502) suggests that while biological factors are a primary driver of physical mass, they do not account for all variance, leaving room for environmental and behavioral influences. Our analysis of age by education level suggests a cohort effect, as the “less than High School” group possessed a higher median age, likely reflecting historical shifts in educational access over the last century. These findings emphasize the importance of considering both biological measurements and social determinants when evaluating population health.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successfully leveraged the 2021 NHIS data to map the intersection of physical health and social status. Our findings demonstrate that while biological traits such as height and weight are stable, subjective well-being is closely tied to perceived physical vitality. Future health interventions should account for these sociodemographic disparities to improve overall community health outcomes.  </w:t>
      </w:r>
    </w:p>
    <w:p w:rsidR="00000000" w:rsidDel="00000000" w:rsidP="00000000" w:rsidRDefault="00000000" w:rsidRPr="00000000" w14:paraId="0000001D">
      <w:pPr>
        <w:spacing w:line="48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