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440"/>
        <w:jc w:val="center"/>
      </w:pPr>
      <w:r>
        <w:drawing>
          <wp:inline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_mark_1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/>
      </w:pPr>
      <w:r>
        <w:t>Manual de operación y mantenimiento</w:t>
      </w:r>
    </w:p>
    <w:p>
      <w:pPr>
        <w:pStyle w:val="Subtitle"/>
      </w:pPr>
      <w:r>
        <w:t>Sistema Finanza</w:t>
      </w:r>
    </w:p>
    <w:p>
      <w:pPr>
        <w:spacing w:before="480"/>
        <w:jc w:val="center"/>
      </w:pPr>
      <w:r>
        <w:rPr>
          <w:sz w:val="24"/>
        </w:rPr>
        <w:t>Operación, monitoreo, respaldo y continuidad de Finanza</w:t>
      </w:r>
    </w:p>
    <w:p>
      <w:pPr>
        <w:jc w:val="center"/>
      </w:pPr>
      <w:r>
        <w:t>Versión 1.0</w:t>
      </w:r>
    </w:p>
    <w:p>
      <w:pPr>
        <w:spacing w:before="120"/>
        <w:jc w:val="center"/>
      </w:pPr>
      <w:r>
        <w:t>24 de septiembre de 2026</w:t>
      </w:r>
    </w:p>
    <w:p>
      <w:pPr>
        <w:spacing w:before="960"/>
        <w:jc w:val="center"/>
      </w:pPr>
      <w:r>
        <w:t>Proyecto académico y ambiente piloto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10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3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24/09/2026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Equipo del proyecto Finanza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Versión inicial completada con información verificada de los repositorios móvil y backend.</w:t>
            </w:r>
          </w:p>
        </w:tc>
      </w:tr>
    </w:tbl>
    <w:p>
      <w:pPr>
        <w:spacing w:after="40"/>
      </w:pPr>
    </w:p>
    <w:p/>
    <w:p>
      <w:r>
        <w:rPr>
          <w:b/>
        </w:rPr>
        <w:t xml:space="preserve">Clasificación: </w:t>
      </w:r>
      <w:r>
        <w:t>documentación técnica y funcional del ambiente piloto.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00"/>
      </w:pPr>
      <w:r>
        <w:t>Este índice resume la estructura del documento. Los títulos numerados permiten localizar cada tema con rapidez.</w:t>
      </w:r>
    </w:p>
    <w:p>
      <w:pPr>
        <w:spacing w:after="60"/>
        <w:ind w:left="216"/>
      </w:pPr>
      <w:r>
        <w:rPr>
          <w:b/>
        </w:rPr>
        <w:t>1. Introducción</w:t>
      </w:r>
    </w:p>
    <w:p>
      <w:pPr>
        <w:spacing w:after="60"/>
        <w:ind w:left="216"/>
      </w:pPr>
      <w:r>
        <w:rPr>
          <w:b/>
        </w:rPr>
        <w:t>2. Organización operativa</w:t>
      </w:r>
    </w:p>
    <w:p>
      <w:pPr>
        <w:spacing w:after="60"/>
        <w:ind w:left="216"/>
      </w:pPr>
      <w:r>
        <w:rPr>
          <w:b/>
        </w:rPr>
        <w:t>3. Entorno de operación</w:t>
      </w:r>
    </w:p>
    <w:p>
      <w:pPr>
        <w:spacing w:after="60"/>
        <w:ind w:left="216"/>
      </w:pPr>
      <w:r>
        <w:rPr>
          <w:b/>
        </w:rPr>
        <w:t>4. Procedimientos de operación</w:t>
      </w:r>
    </w:p>
    <w:p>
      <w:pPr>
        <w:spacing w:after="60"/>
        <w:ind w:left="216"/>
      </w:pPr>
      <w:r>
        <w:rPr>
          <w:b/>
        </w:rPr>
        <w:t>5. Monitoreo</w:t>
      </w:r>
    </w:p>
    <w:p>
      <w:pPr>
        <w:spacing w:after="60"/>
        <w:ind w:left="216"/>
      </w:pPr>
      <w:r>
        <w:rPr>
          <w:b/>
        </w:rPr>
        <w:t>6. Logs y auditoría</w:t>
      </w:r>
    </w:p>
    <w:p>
      <w:pPr>
        <w:spacing w:after="60"/>
        <w:ind w:left="216"/>
      </w:pPr>
      <w:r>
        <w:rPr>
          <w:b/>
        </w:rPr>
        <w:t>7. Respaldo y recuperación</w:t>
      </w:r>
    </w:p>
    <w:p>
      <w:pPr>
        <w:spacing w:after="60"/>
        <w:ind w:left="216"/>
      </w:pPr>
      <w:r>
        <w:rPr>
          <w:b/>
        </w:rPr>
        <w:t>8. Mantenimiento preventivo</w:t>
      </w:r>
    </w:p>
    <w:p>
      <w:pPr>
        <w:spacing w:after="60"/>
        <w:ind w:left="216"/>
      </w:pPr>
      <w:r>
        <w:rPr>
          <w:b/>
        </w:rPr>
        <w:t>9. Mantenimiento correctivo</w:t>
      </w:r>
    </w:p>
    <w:p>
      <w:pPr>
        <w:spacing w:after="60"/>
        <w:ind w:left="216"/>
      </w:pPr>
      <w:r>
        <w:rPr>
          <w:b/>
        </w:rPr>
        <w:t>10. Actualizaciones y despliegues</w:t>
      </w:r>
    </w:p>
    <w:p>
      <w:pPr>
        <w:spacing w:after="60"/>
        <w:ind w:left="216"/>
      </w:pPr>
      <w:r>
        <w:rPr>
          <w:b/>
        </w:rPr>
        <w:t>11. Continuidad</w:t>
      </w:r>
    </w:p>
    <w:p>
      <w:pPr>
        <w:spacing w:after="60"/>
        <w:ind w:left="216"/>
      </w:pPr>
      <w:r>
        <w:rPr>
          <w:b/>
        </w:rPr>
        <w:t>12. Indicadores</w:t>
      </w:r>
    </w:p>
    <w:p>
      <w:pPr>
        <w:spacing w:after="60"/>
        <w:ind w:left="216"/>
      </w:pPr>
      <w:r>
        <w:rPr>
          <w:b/>
        </w:rPr>
        <w:t>13. Registro de mantenimiento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manual define cómo operar y mantener Finanza en el ambiente piloto. Incluye las responsabilidades del equipo, los procedimientos diarios, el monitoreo, el tratamiento de incidentes, los respaldos y la publicación de nuevas versiones.</w:t>
      </w:r>
    </w:p>
    <w:p>
      <w:r>
        <w:t>Las acciones operativas deben conservar evidencia suficiente para reconstruir qué ocurrió, quién actuó, qué versión estaba activa y cómo se validó la recuperación, sin copiar secretos ni datos financieros sensibles en tickets o registros.</w:t>
      </w:r>
    </w:p>
    <w:p>
      <w:pPr>
        <w:pStyle w:val="Heading1"/>
      </w:pPr>
      <w:r>
        <w:t>2. Organización operativa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Rol</w:t>
            </w:r>
          </w:p>
        </w:tc>
        <w:tc>
          <w:tcPr>
            <w:tcW w:type="dxa" w:w="684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Administrador de plataforma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Disponibilidad de Cloudflare, Lightsail, Nginx, contenedores, red, TLS y secretos.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Administrador de datos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Migraciones, respaldo, restauración, capacidad y permisos PostgreSQL.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Responsable de aplicación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API, Worker, aplicación móvil, pruebas, contratos OpenAPI y correcciones.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Soporte funcional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Clasificación de incidencias, comunicación y validación de recorridos del usuario.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Responsable de seguridad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Revisión de accesos, auditoría, eventos anómalos, credenciales y principio de mínimo privilegio.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Entorno de operación</w:t>
      </w:r>
    </w:p>
    <w:p>
      <w:pPr>
        <w:keepNext/>
        <w:jc w:val="center"/>
      </w:pPr>
      <w:r>
        <w:drawing>
          <wp:inline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spliegue-fisico-ambiente-pil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Figura 1. Topología de despliegue del ambiente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72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Entorno</w:t>
            </w:r>
          </w:p>
        </w:tc>
        <w:tc>
          <w:tcPr>
            <w:tcW w:type="dxa" w:w="460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02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Datos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Desarrollo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Cambios locales, análisis, pruebas unitarias e integración.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Datos ficticios o anonimizados.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Prueba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Validación de migraciones, imágenes, proveedores y recorridos.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Datos controlados; sin credenciales productivas.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Piloto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Uso autorizado y monitoreado de la versión candidata.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Datos reales protegidos según permisos y retención.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Procedimientos de operación</w:t>
      </w:r>
    </w:p>
    <w:p>
      <w:pPr>
        <w:pStyle w:val="Heading2"/>
      </w:pPr>
      <w:r>
        <w:t>4.1 Inicio y verificación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cd deploy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up -d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ps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curl -fsS https://&lt;dominio&gt;/salud/vivo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curl -fsS https://&lt;dominio&gt;/salud/listo</w:t>
      </w:r>
    </w:p>
    <w:p>
      <w:r>
        <w:t>El endpoint vivo confirma que el proceso responde. El endpoint listo confirma que las dependencias necesarias permiten atender tráfico. La aplicación debe abrirse y completar un recorrido mínimo de acceso y consulta.</w:t>
      </w:r>
    </w:p>
    <w:p>
      <w:pPr>
        <w:pStyle w:val="Heading2"/>
      </w:pPr>
      <w:r>
        <w:t>4.2 Reinicio controlado</w:t>
      </w:r>
    </w:p>
    <w:p>
      <w:pPr>
        <w:spacing w:after="60"/>
        <w:ind w:left="461" w:hanging="288"/>
      </w:pPr>
      <w:r>
        <w:t>1. Revisar jobs activos y colas para evitar interrupciones innecesarias.</w:t>
      </w:r>
    </w:p>
    <w:p>
      <w:pPr>
        <w:spacing w:after="60"/>
        <w:ind w:left="461" w:hanging="288"/>
      </w:pPr>
      <w:r>
        <w:t>2. Registrar motivo, versión y hora.</w:t>
      </w:r>
    </w:p>
    <w:p>
      <w:pPr>
        <w:spacing w:after="60"/>
        <w:ind w:left="461" w:hanging="288"/>
      </w:pPr>
      <w:r>
        <w:t>3. Reiniciar el servicio o contenedor afectado.</w:t>
      </w:r>
    </w:p>
    <w:p>
      <w:pPr>
        <w:spacing w:after="60"/>
        <w:ind w:left="461" w:hanging="288"/>
      </w:pPr>
      <w:r>
        <w:t>4. Comprobar salud, logs y una operación funcional.</w:t>
      </w:r>
    </w:p>
    <w:p>
      <w:pPr>
        <w:spacing w:after="60"/>
        <w:ind w:left="461" w:hanging="288"/>
      </w:pPr>
      <w:r>
        <w:t>5. Cerrar la intervención con el resultado observado.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restart api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restart worker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logs --since=10m api worker</w:t>
      </w:r>
    </w:p>
    <w:p>
      <w:pPr>
        <w:pStyle w:val="Heading2"/>
      </w:pPr>
      <w:r>
        <w:t>4.3 Detención</w:t>
      </w:r>
    </w:p>
    <w:p>
      <w:r>
        <w:t>La detención planificada requiere comunicar la ventana, verificar que no existan migraciones en curso y conservar el último respaldo válido. Use docker compose stop para una pausa reversible y docker compose down únicamente cuando corresponda desmontar la composición.</w:t>
      </w:r>
    </w:p>
    <w:p>
      <w:pPr>
        <w:pStyle w:val="Heading1"/>
      </w:pPr>
      <w:r>
        <w:t>5. Monitoreo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216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Señal</w:t>
            </w:r>
          </w:p>
        </w:tc>
        <w:tc>
          <w:tcPr>
            <w:tcW w:type="dxa" w:w="3671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Revisión</w:t>
            </w:r>
          </w:p>
        </w:tc>
        <w:tc>
          <w:tcPr>
            <w:tcW w:type="dxa" w:w="352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Salud API y Worker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Endpoints y estado de contenedores.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Investigar inmediatamente una condición no saludable.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Errores HTTP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Tendencia de 4xx y 5xx por endpoint.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Separar errores funcionales de fallos del servicio.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Latencia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Percentiles y variación respecto del comportamiento normal.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Revisar base de datos, red, proveedor y saturación.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Outbox y reintentos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Pendientes, antigüedad y fallos definitivos.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Corregir causa antes de reprocesar.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Base de datos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Conexiones, bloqueos, crecimiento y consultas lentas.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Ajustar capacidad o consulta con evidencia.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Proveedores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Textract, SES, FCM, S3 y Google Play.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Aplicar degradación, reintentos y comunicación.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Respaldos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Resultado, tamaño, cifrado y restaurabilidad.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Repetir o escalar un respaldo fallido.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Logs y auditoría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logs --tail=200 api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logs --tail=200 worker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logs --since=30m nginx</w:t>
      </w:r>
    </w:p>
    <w:p>
      <w:pPr>
        <w:spacing w:after="50"/>
        <w:ind w:left="403" w:hanging="230"/>
      </w:pPr>
      <w:r>
        <w:t>• Busque por correlationId para seguir una solicitud entre API, Worker e integración.</w:t>
      </w:r>
    </w:p>
    <w:p>
      <w:pPr>
        <w:spacing w:after="50"/>
        <w:ind w:left="403" w:hanging="230"/>
      </w:pPr>
      <w:r>
        <w:t>• Use los registros de auditoría para acciones sensibles, cambios de estado y accesos administrativos.</w:t>
      </w:r>
    </w:p>
    <w:p>
      <w:pPr>
        <w:spacing w:after="50"/>
        <w:ind w:left="403" w:hanging="230"/>
      </w:pPr>
      <w:r>
        <w:t>• No registre contraseñas, OTP, JWT, refresh tokens, claves, datos completos de tarjeta ni contenido sensible de documentos.</w:t>
      </w:r>
    </w:p>
    <w:p>
      <w:pPr>
        <w:spacing w:after="50"/>
        <w:ind w:left="403" w:hanging="230"/>
      </w:pPr>
      <w:r>
        <w:t>• Restrinja y rote el acceso a logs conforme a la función operativa.</w:t>
      </w:r>
    </w:p>
    <w:p>
      <w:pPr>
        <w:pStyle w:val="Heading1"/>
      </w:pPr>
      <w:r>
        <w:t>7. Respaldo y recuperación</w:t>
      </w:r>
    </w:p>
    <w:p>
      <w:r>
        <w:t>El diseño contempla el respaldo diario provisto por Supabase y una copia lógica nocturna cifrada mediante pg_dump almacenada en un S3 separado. El objetivo funcional es disponer de un respaldo con antigüedad máxima de 24 horas; su restauración debe ensayarse periódicamente fuera de producción.</w:t>
      </w:r>
    </w:p>
    <w:p>
      <w:pPr>
        <w:pStyle w:val="Heading2"/>
      </w:pPr>
      <w:r>
        <w:t>7.1 Copia lógica</w:t>
      </w:r>
    </w:p>
    <w:p>
      <w:pPr>
        <w:spacing w:after="60"/>
        <w:ind w:left="461" w:hanging="288"/>
      </w:pPr>
      <w:r>
        <w:t>1. Crear el respaldo con una identidad de mínimo privilegio.</w:t>
      </w:r>
    </w:p>
    <w:p>
      <w:pPr>
        <w:spacing w:after="60"/>
        <w:ind w:left="461" w:hanging="288"/>
      </w:pPr>
      <w:r>
        <w:t>2. Cifrar el archivo antes de transferirlo al almacenamiento separado.</w:t>
      </w:r>
    </w:p>
    <w:p>
      <w:pPr>
        <w:spacing w:after="60"/>
        <w:ind w:left="461" w:hanging="288"/>
      </w:pPr>
      <w:r>
        <w:t>3. Registrar fecha, versión de esquema, tamaño, checksum y ubicación.</w:t>
      </w:r>
    </w:p>
    <w:p>
      <w:pPr>
        <w:spacing w:after="60"/>
        <w:ind w:left="461" w:hanging="288"/>
      </w:pPr>
      <w:r>
        <w:t>4. Aplicar la política de retención autorizada y verificar que el archivo pueda leerse.</w:t>
      </w:r>
    </w:p>
    <w:p>
      <w:pPr>
        <w:pStyle w:val="Heading2"/>
      </w:pPr>
      <w:r>
        <w:t>7.2 Restauración</w:t>
      </w:r>
    </w:p>
    <w:p>
      <w:pPr>
        <w:spacing w:after="60"/>
        <w:ind w:left="461" w:hanging="288"/>
      </w:pPr>
      <w:r>
        <w:t>1. Declarar el incidente y congelar cambios si hay riesgo de pérdida adicional.</w:t>
      </w:r>
    </w:p>
    <w:p>
      <w:pPr>
        <w:spacing w:after="60"/>
        <w:ind w:left="461" w:hanging="288"/>
      </w:pPr>
      <w:r>
        <w:t>2. Seleccionar un respaldo verificado y restaurarlo en un entorno aislado.</w:t>
      </w:r>
    </w:p>
    <w:p>
      <w:pPr>
        <w:spacing w:after="60"/>
        <w:ind w:left="461" w:hanging="288"/>
      </w:pPr>
      <w:r>
        <w:t>3. Comprobar migraciones, conteos, integridad referencial y recorridos críticos.</w:t>
      </w:r>
    </w:p>
    <w:p>
      <w:pPr>
        <w:spacing w:after="60"/>
        <w:ind w:left="461" w:hanging="288"/>
      </w:pPr>
      <w:r>
        <w:t>4. Autorizar la recuperación del ambiente afectado y documentar cualquier pérdida dentro de la ventana de respaldo.</w:t>
      </w:r>
    </w:p>
    <w:p>
      <w:pPr>
        <w:spacing w:after="60"/>
        <w:ind w:left="461" w:hanging="288"/>
      </w:pPr>
      <w:r>
        <w:t>5. Reabrir tráfico después de validar salud y funciones esenciales.</w:t>
      </w:r>
    </w:p>
    <w:p>
      <w:r>
        <w:br w:type="page"/>
      </w:r>
    </w:p>
    <w:p>
      <w:pPr>
        <w:pStyle w:val="Heading1"/>
      </w:pPr>
      <w:r>
        <w:t>8. Mantenimiento preventivo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180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756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Actividad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Diaria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Revisar salud, errores, cola outbox, integraciones y resultado de respaldo.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Semanal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Revisar capacidad, latencia, fallos repetidos, certificados próximos y almacenamiento.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Mensual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Actualizar inventario de accesos, revisar costos/cuotas y confirmar restauración de una muestra.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Por versión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Ejecutar build, análisis, pruebas, revisión OpenAPI, migración en copia y escaneo de secretos.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Trimestral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Ensayar recuperación, revisar privilegios, rotación de credenciales y continuidad.</w:t>
            </w:r>
          </w:p>
        </w:tc>
      </w:tr>
    </w:tbl>
    <w:p>
      <w:pPr>
        <w:spacing w:after="40"/>
      </w:pPr>
    </w:p>
    <w:p>
      <w:pPr>
        <w:pStyle w:val="Heading1"/>
      </w:pPr>
      <w:r>
        <w:t>9. Mantenimiento correctivo</w:t>
      </w:r>
    </w:p>
    <w:p>
      <w:r>
        <w:t>Cada incidente sigue un ciclo único: detección, contención, diagnóstico, corrección, validación, comunicación y aprendizaje. La prioridad se define por alcance, pérdida o exposición de datos y disponibilidad de una alternativa segura.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29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81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24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Crítica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Acceso indebido, pérdida de datos o servicio principal indisponible.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Contención inmediata, responsable asignado y recuperación prioritaria.</w:t>
            </w:r>
          </w:p>
        </w:tc>
      </w:tr>
      <w:t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Alta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Función financiera principal falla sin alternativa.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Mitigar, corregir y validar antes de cerrar.</w:t>
            </w:r>
          </w:p>
        </w:tc>
      </w:tr>
      <w:t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Media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Función secundaria degradada con alternativa.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Planificar corrección con seguimiento.</w:t>
            </w:r>
          </w:p>
        </w:tc>
      </w:tr>
      <w:t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Baja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Defecto visual o documental sin impacto operativo.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Incluir en mantenimiento ordinario.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Actualizaciones y despliegues</w:t>
      </w:r>
    </w:p>
    <w:p>
      <w:pPr>
        <w:spacing w:after="60"/>
        <w:ind w:left="461" w:hanging="288"/>
      </w:pPr>
      <w:r>
        <w:t>1. Aprobar la versión, el alcance, la ventana y el plan de reversión.</w:t>
      </w:r>
    </w:p>
    <w:p>
      <w:pPr>
        <w:spacing w:after="60"/>
        <w:ind w:left="461" w:hanging="288"/>
      </w:pPr>
      <w:r>
        <w:t>2. Ejecutar pruebas automáticas y recorridos críticos; confirmar que OpenAPI coincide con la implementación.</w:t>
      </w:r>
    </w:p>
    <w:p>
      <w:pPr>
        <w:spacing w:after="60"/>
        <w:ind w:left="461" w:hanging="288"/>
      </w:pPr>
      <w:r>
        <w:t>3. Crear y verificar el respaldo previo.</w:t>
      </w:r>
    </w:p>
    <w:p>
      <w:pPr>
        <w:spacing w:after="60"/>
        <w:ind w:left="461" w:hanging="288"/>
      </w:pPr>
      <w:r>
        <w:t>4. Aplicar migraciones en orden y desplegar imágenes inmutables de API y Worker.</w:t>
      </w:r>
    </w:p>
    <w:p>
      <w:pPr>
        <w:spacing w:after="60"/>
        <w:ind w:left="461" w:hanging="288"/>
      </w:pPr>
      <w:r>
        <w:t>5. Comprobar salud, logs, sincronización, OCR, notificaciones y compras según el cambio.</w:t>
      </w:r>
    </w:p>
    <w:p>
      <w:pPr>
        <w:spacing w:after="60"/>
        <w:ind w:left="461" w:hanging="288"/>
      </w:pPr>
      <w:r>
        <w:t>6. Publicar la versión móvil en el canal definido y vigilar métricas y reportes.</w:t>
      </w:r>
    </w:p>
    <w:p>
      <w:pPr>
        <w:spacing w:after="60"/>
        <w:ind w:left="461" w:hanging="288"/>
      </w:pPr>
      <w:r>
        <w:t>7. Revertir a la imagen o versión anterior si los criterios de aceptación no se cumplen.</w:t>
      </w:r>
    </w:p>
    <w:p>
      <w:r>
        <w:t>Una migración que elimina o transforma datos requiere un plan específico. La restauración no debe ejecutarse como reacción automática: primero se determina el alcance y se valida la copia elegida.</w:t>
      </w:r>
    </w:p>
    <w:p>
      <w:pPr>
        <w:pStyle w:val="Heading1"/>
      </w:pPr>
      <w:r>
        <w:t>11. Continuidad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28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64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Continuidad prevista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Pérdida temporal de conectividad móvil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Operación local en funciones compatibles y sincronización posterior mediante outbox y cursor.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API reiniciada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Recuperación tras reinicio y health checks; el objetivo documentado es restablecer el servicio en hasta 10 minutos.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Proveedor externo indisponible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Reintentos, cola, degradación controlada y aviso al usuario cuando corresponda.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Fallo de base de datos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Aislar, diagnosticar, conmutar o restaurar el último respaldo verificado según el incidente.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Versión defectuosa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Rollback de contenedores y retiro o pausa del canal móvil afectado.</w:t>
            </w:r>
          </w:p>
        </w:tc>
      </w:tr>
    </w:tbl>
    <w:p>
      <w:pPr>
        <w:spacing w:after="40"/>
      </w:pPr>
    </w:p>
    <w:p>
      <w:pPr>
        <w:pStyle w:val="Heading1"/>
      </w:pPr>
      <w:r>
        <w:t>12.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2232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81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Cálculo o evidencia</w:t>
            </w:r>
          </w:p>
        </w:tc>
        <w:tc>
          <w:tcPr>
            <w:tcW w:type="dxa" w:w="3311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Disponibilidad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Tiempo saludable / tiempo del período.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Detectar interrupciones y tendencia.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Éxito de sincronización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Operaciones confirmadas / operaciones enviadas.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Identificar conflictos o fallos de red.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Antigüedad de outbox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Edad de la operación pendiente más antigua.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Detectar procesos detenidos.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Errores por integración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Fallos por proveedor y causa.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Distinguir problemas internos y externos.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Éxito de respaldo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Copias verificadas / copias programadas.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Controlar recuperación.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Tiempo de resolución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Cierre menos detección por prioridad.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Mejorar respuesta operativa.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Registro de mantenimiento</w:t>
      </w:r>
    </w:p>
    <w:p>
      <w:r>
        <w:t>Toda intervención debe registrarse en la bitácora del proyecto. La siguiente tabla puede copiarse para cada evento.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1932"/>
        <w:gridCol w:w="1932"/>
        <w:gridCol w:w="1932"/>
        <w:gridCol w:w="1932"/>
        <w:gridCol w:w="1932"/>
      </w:tblGrid>
      <w:tr>
        <w:trPr>
          <w:tblHeader w:val="true"/>
        </w:trPr>
        <w:tc>
          <w:tcPr>
            <w:tcW w:type="dxa" w:w="158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Fecha y hora</w:t>
            </w:r>
          </w:p>
        </w:tc>
        <w:tc>
          <w:tcPr>
            <w:tcW w:type="dxa" w:w="10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655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Actividad o incidente</w:t>
            </w:r>
          </w:p>
        </w:tc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Resultado y evidencia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40"/>
      </w:pP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037" w:top="1037" w:left="1123" w:right="1123" w:header="403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Times New Roman" w:hAnsi="Times New Roman"/>
        <w:sz w:val="16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tabs>
        <w:tab w:val="center" w:leader="none" w:pos="4819"/>
        <w:tab w:val="right" w:leader="none" w:pos="9638"/>
      </w:tabs>
      <w:jc w:val="left"/>
      <w:rPr/>
    </w:pPr>
    <w:r>
      <w:drawing>
        <wp:inline>
          <wp:extent cx="246888" cy="2468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nanza_mark_102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" cy="24688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000000"/>
        <w:sz w:val="17"/>
      </w:rPr>
      <w:t xml:space="preserve">  Finanza  |  Manual de operación y mantenimiento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Times New Roman" w:hAnsi="Times New Roman" w:eastAsia="Times New Roman"/>
      <w:color w:val="000000"/>
      <w:sz w:val="21"/>
    </w:rPr>
  </w:style>
  <w:style w:type="paragraph" w:styleId="Heading1">
    <w:name w:val="heading 1"/>
    <w:basedOn w:val="Normal"/>
    <w:next w:val="Normal"/>
    <w:pPr>
      <w:keepNext/>
      <w:pageBreakBefore w:val="0"/>
      <w:spacing w:after="140" w:before="280" w:lineRule="auto"/>
      <w:ind w:left="0" w:firstLine="0"/>
    </w:pPr>
    <w:rPr>
      <w:rFonts w:ascii="Times New Roman" w:cs="Arial" w:eastAsia="Times New Roman" w:hAnsi="Times New Roman"/>
      <w:b/>
      <w:bCs w:val="1"/>
      <w:color w:val="000000"/>
      <w:sz w:val="30"/>
      <w:szCs w:val="32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before="220" w:lineRule="auto" w:after="100"/>
    </w:pPr>
    <w:rPr>
      <w:rFonts w:ascii="Times New Roman" w:cs="Calibri" w:eastAsia="Times New Roman" w:hAnsi="Times New Roman"/>
      <w:b/>
      <w:color w:val="000000"/>
      <w:sz w:val="25"/>
      <w:szCs w:val="26"/>
    </w:rPr>
  </w:style>
  <w:style w:type="paragraph" w:styleId="Heading3">
    <w:name w:val="heading 3"/>
    <w:basedOn w:val="Normal"/>
    <w:next w:val="Normal"/>
    <w:pPr>
      <w:keepNext/>
      <w:pageBreakBefore w:val="0"/>
      <w:spacing w:after="80" w:before="160" w:lineRule="auto"/>
      <w:ind w:left="0" w:firstLine="0"/>
    </w:pPr>
    <w:rPr>
      <w:rFonts w:ascii="Times New Roman" w:cs="Liberation Sans" w:eastAsia="Times New Roman" w:hAnsi="Times New Roman"/>
      <w:b/>
      <w:bCs w:val="1"/>
      <w:color w:val="000000"/>
      <w:sz w:val="22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/>
      <w:pageBreakBefore w:val="0"/>
      <w:spacing w:after="240" w:before="0" w:lineRule="auto"/>
      <w:jc w:val="center"/>
    </w:pPr>
    <w:rPr>
      <w:rFonts w:ascii="Times New Roman" w:cs="Liberation Sans" w:eastAsia="Times New Roman" w:hAnsi="Times New Roman"/>
      <w:b/>
      <w:color w:val="000000"/>
      <w:sz w:val="46"/>
      <w:szCs w:val="28"/>
    </w:rPr>
  </w:style>
  <w:style w:type="paragraph" w:styleId="Subtitle">
    <w:name w:val="Subtitle"/>
    <w:basedOn w:val="Normal"/>
    <w:next w:val="Normal"/>
    <w:pPr>
      <w:keepNext/>
      <w:keepLines w:val="1"/>
      <w:pageBreakBefore w:val="0"/>
      <w:spacing w:after="200" w:before="0" w:lineRule="auto"/>
      <w:jc w:val="center"/>
    </w:pPr>
    <w:rPr>
      <w:rFonts w:ascii="Times New Roman" w:cs="Georgia" w:eastAsia="Times New Roman" w:hAnsi="Times New Roman"/>
      <w:b w:val="0"/>
      <w:i w:val="1"/>
      <w:iCs w:val="1"/>
      <w:color w:val="000000"/>
      <w:sz w:val="26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AV9N8FB3H6P6DSJuWO+yTSjUg==">CgMxLjAyDmgueTN0ZmJwbXViODQ4Mg5oLjgxdWc2bDhpbnpoODgAciExZ0hCRzZnSFhwT1JYRlAyTTRDT2d5SEVDYm9lTkFYczA=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operación y mantenimiento de Finanza</dc:title>
  <cp:lastModifiedBy>python-docx</cp:lastModifiedBy>
  <cp:revision>1</cp:revision>
  <dcterms:modified xsi:type="dcterms:W3CDTF">2026-09-25T03:45:44Z</dcterms:modified>
  <dc:subject>Documentación del sistema Finanza</dc:subject>
  <dc:creator>Equipo del proyecto Finanza</dc:creator>
  <cp:keywords>Finanza, Flutter, ASP.NET Core, PostgreSQL, manual</cp:keywords>
</cp:coreProperties>
</file>