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440"/>
        <w:jc w:val="center"/>
      </w:pPr>
      <w:r>
        <w:drawing>
          <wp:inline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_mark_1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/>
      </w:pPr>
      <w:r>
        <w:t>Plan de implementación y despliegue</w:t>
      </w:r>
    </w:p>
    <w:p>
      <w:pPr>
        <w:pStyle w:val="Subtitle"/>
      </w:pPr>
      <w:r>
        <w:t>Sistema Finanza</w:t>
      </w:r>
    </w:p>
    <w:p>
      <w:pPr>
        <w:spacing w:before="480"/>
        <w:jc w:val="center"/>
      </w:pPr>
      <w:r>
        <w:rPr>
          <w:sz w:val="24"/>
        </w:rPr>
        <w:t>Preparación, liberación y validación del sistema Finanza</w:t>
      </w:r>
    </w:p>
    <w:p>
      <w:pPr>
        <w:jc w:val="center"/>
      </w:pPr>
      <w:r>
        <w:t>Versión 1.0</w:t>
      </w:r>
    </w:p>
    <w:p>
      <w:pPr>
        <w:spacing w:before="120"/>
        <w:jc w:val="center"/>
      </w:pPr>
      <w:r>
        <w:t>24 de septiembre de 2026</w:t>
      </w:r>
    </w:p>
    <w:p>
      <w:pPr>
        <w:spacing w:before="960"/>
        <w:jc w:val="center"/>
      </w:pPr>
      <w:r>
        <w:t>Proyecto académico y ambiente piloto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10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3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24/09/2026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Equipo del proyecto Finanza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Versión inicial completada con información verificada de los repositorios móvil y backend.</w:t>
            </w:r>
          </w:p>
        </w:tc>
      </w:tr>
    </w:tbl>
    <w:p>
      <w:pPr>
        <w:spacing w:after="40"/>
      </w:pPr>
    </w:p>
    <w:p/>
    <w:p>
      <w:r>
        <w:rPr>
          <w:b/>
        </w:rPr>
        <w:t xml:space="preserve">Clasificación: </w:t>
      </w:r>
      <w:r>
        <w:t>documentación técnica y funcional del ambiente piloto.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00"/>
      </w:pPr>
      <w:r>
        <w:t>Este índice resume la estructura del documento. Los títulos numerados permiten localizar cada tema con rapidez.</w:t>
      </w:r>
    </w:p>
    <w:p>
      <w:pPr>
        <w:spacing w:after="60"/>
        <w:ind w:left="216"/>
      </w:pPr>
      <w:r>
        <w:rPr>
          <w:b/>
        </w:rPr>
        <w:t>1. Introducción</w:t>
      </w:r>
    </w:p>
    <w:p>
      <w:pPr>
        <w:spacing w:after="60"/>
        <w:ind w:left="216"/>
      </w:pPr>
      <w:r>
        <w:rPr>
          <w:b/>
        </w:rPr>
        <w:t>2. Objetivos</w:t>
      </w:r>
    </w:p>
    <w:p>
      <w:pPr>
        <w:spacing w:after="60"/>
        <w:ind w:left="216"/>
      </w:pPr>
      <w:r>
        <w:rPr>
          <w:b/>
        </w:rPr>
        <w:t>3. Alcance</w:t>
      </w:r>
    </w:p>
    <w:p>
      <w:pPr>
        <w:spacing w:after="60"/>
        <w:ind w:left="216"/>
      </w:pPr>
      <w:r>
        <w:rPr>
          <w:b/>
        </w:rPr>
        <w:t>4. Recursos necesarios</w:t>
      </w:r>
    </w:p>
    <w:p>
      <w:pPr>
        <w:spacing w:after="60"/>
        <w:ind w:left="216"/>
      </w:pPr>
      <w:r>
        <w:rPr>
          <w:b/>
        </w:rPr>
        <w:t>5. Roles y responsabilidades</w:t>
      </w:r>
    </w:p>
    <w:p>
      <w:pPr>
        <w:spacing w:after="60"/>
        <w:ind w:left="216"/>
      </w:pPr>
      <w:r>
        <w:rPr>
          <w:b/>
        </w:rPr>
        <w:t>6. Fases de implementación</w:t>
      </w:r>
    </w:p>
    <w:p>
      <w:pPr>
        <w:spacing w:after="60"/>
        <w:ind w:left="216"/>
      </w:pPr>
      <w:r>
        <w:rPr>
          <w:b/>
        </w:rPr>
        <w:t>7. Cronograma de referencia</w:t>
      </w:r>
    </w:p>
    <w:p>
      <w:pPr>
        <w:spacing w:after="60"/>
        <w:ind w:left="216"/>
      </w:pPr>
      <w:r>
        <w:rPr>
          <w:b/>
        </w:rPr>
        <w:t>8. Validación y aceptación</w:t>
      </w:r>
    </w:p>
    <w:p>
      <w:pPr>
        <w:spacing w:after="60"/>
        <w:ind w:left="216"/>
      </w:pPr>
      <w:r>
        <w:rPr>
          <w:b/>
        </w:rPr>
        <w:t>9. Riesgos y mitigaciones</w:t>
      </w:r>
    </w:p>
    <w:p>
      <w:pPr>
        <w:spacing w:after="60"/>
        <w:ind w:left="216"/>
      </w:pPr>
      <w:r>
        <w:rPr>
          <w:b/>
        </w:rPr>
        <w:t>10. Plan de contingencia</w:t>
      </w:r>
    </w:p>
    <w:p>
      <w:pPr>
        <w:spacing w:after="60"/>
        <w:ind w:left="216"/>
      </w:pPr>
      <w:r>
        <w:rPr>
          <w:b/>
        </w:rPr>
        <w:t>11. Criterios de cierre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plan organiza la implementación de Finanza en el ambiente piloto Android. Define la preparación de infraestructura, la publicación de la API y del Worker, la migración de PostgreSQL, la distribución de la aplicación móvil y las verificaciones necesarias antes de habilitar el servicio a usuarios.</w:t>
      </w:r>
    </w:p>
    <w:p>
      <w:r>
        <w:t>La ejecución se apoya en entregas versionadas de los repositorios móvil y backend, migraciones EF Core M0001 a M0030, despliegue con Docker Compose y verificación mediante endpoints de salud, pruebas automatizadas y recorridos funcionales.</w:t>
      </w:r>
    </w:p>
    <w:p>
      <w:pPr>
        <w:pStyle w:val="Heading1"/>
      </w:pPr>
      <w:r>
        <w:t>2. Objetivos</w:t>
      </w:r>
    </w:p>
    <w:p>
      <w:pPr>
        <w:spacing w:after="50"/>
        <w:ind w:left="403" w:hanging="230"/>
      </w:pPr>
      <w:r>
        <w:t>• Implementar una versión reproducible de la aplicación móvil Flutter y de los servicios ASP.NET Core.</w:t>
      </w:r>
    </w:p>
    <w:p>
      <w:pPr>
        <w:spacing w:after="50"/>
        <w:ind w:left="403" w:hanging="230"/>
      </w:pPr>
      <w:r>
        <w:t>• Preservar la integridad de datos durante migraciones, sincronización sin conexión y operaciones idempotentes.</w:t>
      </w:r>
    </w:p>
    <w:p>
      <w:pPr>
        <w:spacing w:after="50"/>
        <w:ind w:left="403" w:hanging="230"/>
      </w:pPr>
      <w:r>
        <w:t>• Configurar de forma segura PostgreSQL, almacenamiento privado, OCR, correo, notificaciones push y validación de compras.</w:t>
      </w:r>
    </w:p>
    <w:p>
      <w:pPr>
        <w:spacing w:after="50"/>
        <w:ind w:left="403" w:hanging="230"/>
      </w:pPr>
      <w:r>
        <w:t>• Definir responsables, evidencias, validaciones, reversión y continuidad del ambiente piloto.</w:t>
      </w:r>
    </w:p>
    <w:p>
      <w:pPr>
        <w:pStyle w:val="Heading1"/>
      </w:pPr>
      <w:r>
        <w:t>3.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46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46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Fuera del alcance de esta versión</w:t>
            </w:r>
          </w:p>
        </w:tc>
      </w:tr>
      <w:t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Aplicación Android distribuida mediante Google Play.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Distribución productiva para iOS.</w:t>
            </w:r>
          </w:p>
        </w:tc>
      </w:tr>
      <w:t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API ASP.NET Core, Worker .NET, PostgreSQL y almacenamiento privado en S3.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Integración directa con cuentas bancarias o redes de tarjetas.</w:t>
            </w:r>
          </w:p>
        </w:tc>
      </w:tr>
      <w:t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Movimientos, cuentas, tarjetas, transferencias, presupuestos, metas, familias, OCR, reportes y suscripciones.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Custodia o procesamiento directo de datos completos de tarjetas.</w:t>
            </w:r>
          </w:p>
        </w:tc>
      </w:tr>
      <w:t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Sincronización local, autenticación, OTP, notificaciones, auditoría y respaldo.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Sustitución de asesoría contable, bancaria o financiera profesional.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Recursos necesarios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180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56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Recurso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Código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Repositorio Flutter y repositorio backend con acceso de lectura y ramas protegidas.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Herramientas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Flutter 3.44.0, Dart 3.12.0, .NET SDK 10.0.201, Git, Docker Engine con Compose y herramientas de EF Core.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Infraestructura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Cloudflare, AWS Lightsail, Nginx, PostgreSQL/Supabase, S3 privado y almacenamiento de respaldos separado.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Integraciones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AWS Textract, Amazon SES, Firebase Cloud Messaging y Google Play Billing/Developer API.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Evidencia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Resultados de build y pruebas, registro de migración, health checks, bitácora de despliegue y acta de aceptación.</w:t>
            </w:r>
          </w:p>
        </w:tc>
      </w:tr>
    </w:tbl>
    <w:p>
      <w:pPr>
        <w:spacing w:after="40"/>
      </w:pPr>
    </w:p>
    <w:p>
      <w:pPr>
        <w:pStyle w:val="Heading1"/>
      </w:pPr>
      <w:r>
        <w:t>5. 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237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983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Responsabilidades principales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Responsable técnico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Versionar cambios, compilar, ejecutar pruebas, preparar imágenes y coordinar la liberación.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Administrador de infraestructura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Configurar DNS, TLS, secretos, contenedores, red, PostgreSQL, S3 y observabilidad.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Responsable funcional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Validar recorridos, datos iniciales, mensajes y criterios de aceptación.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Evaluadores del piloto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Ejecutar escenarios de uso, registrar incidencias y confirmar la usabilidad.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Soporte operativo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Monitorear salud, atender alertas, mantener respaldos y documentar incidentes.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Fases de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512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25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Actividades</w:t>
            </w:r>
          </w:p>
        </w:tc>
        <w:tc>
          <w:tcPr>
            <w:tcW w:type="dxa" w:w="2592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1. Preparación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Confirmar versiones, variables, cuentas de servicio, DNS, certificados y capacidad.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Lista de verificación aprobada.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2. Datos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Crear respaldo, validar cadena TLS y ejecutar migraciones M0001 a M0030.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Registro EF Core y verificación de esquema.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3. Servicios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Construir y desplegar API, Worker y Nginx; configurar proveedores externos.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Contenedores sanos y endpoints de salud.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4. Aplicación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Generar artefacto Android firmado, validar producto de suscripción y publicar en el canal definido.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Build firmado y versión 0.1.0+10 disponible.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5. Piloto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Recorrer funciones críticas, modo offline, OCR, reportes, notificaciones y compras.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Matriz de pruebas y observaciones.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6. Estabilización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Corregir defectos, revisar métricas y preparar liberación o reversión.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Acta de aceptación y bitácora final.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>
            <wp:extent cx="5715000" cy="361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spliegue-fisico-ambiente-pil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Figura 1. Despliegue físico del ambiente piloto de Finanza.</w:t>
      </w:r>
    </w:p>
    <w:p>
      <w:r>
        <w:br w:type="page"/>
      </w:r>
    </w:p>
    <w:p>
      <w:pPr>
        <w:pStyle w:val="Heading1"/>
      </w:pPr>
      <w:r>
        <w:t>7. Cronograma de referencia</w:t>
      </w:r>
    </w:p>
    <w:p>
      <w:r>
        <w:t>El cronograma se expresa en semanas relativas para que pueda ajustarse a la fecha formal del piloto sin alterar dependencias.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152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16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Hito</w:t>
            </w:r>
          </w:p>
        </w:tc>
        <w:tc>
          <w:tcPr>
            <w:tcW w:type="dxa" w:w="504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Salida esperada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Preparación y revisión técnica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Checklist, accesos y respaldo inicial.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Datos e infraestructura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Migraciones, TLS, almacenamiento y secretos.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S3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API y procesos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API y Worker desplegados y sanos.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S4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Aplicación móvil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Artefacto Android y pruebas de instalación.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S5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Prueba piloto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Resultados funcionales, offline e integraciones.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S6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Estabilización y cierre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Correcciones, aceptación y documentación.</w:t>
            </w:r>
          </w:p>
        </w:tc>
      </w:tr>
    </w:tbl>
    <w:p>
      <w:pPr>
        <w:spacing w:after="40"/>
      </w:pPr>
    </w:p>
    <w:p>
      <w:pPr>
        <w:pStyle w:val="Heading1"/>
      </w:pPr>
      <w:r>
        <w:t>8. Validación y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180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56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Comprobación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Acceso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Registro, inicio, sesión recordada, renovación de token, recuperación, OTP y cierre de sesión.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Finanzas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Cuentas y tarjetas, movimientos, transferencias, categorías, presupuestos, metas y recurrencias.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Sin conexión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Alta local, outbox, reintentos, cursor y resolución de conflictos al recuperar conectividad.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Documentos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Carga privada, OCR, revisión de datos e importación o exportación permitida.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Integraciones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Correo, push, suscripción, restauración de compra y manejo de rechazo o indisponibilidad.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Operación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Salud, logs correlacionados, auditoría, respaldo y restauración de prueba.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Riesgos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237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02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96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Secreto ausente o inválido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Servicio no inicia o integración falla.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Validar configuración antes del despliegue y mantener secretos fuera de Git.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Migración incompatible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Interrupción o inconsistencia de datos.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Respaldar, probar en copia y aplicar migraciones en orden.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Proveedor externo no disponible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OCR, correo, push o compra degradados.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Reintentos controlados, outbox y comunicación de estado al usuario.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Conflicto de sincronización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Cambio local rechazado o duplicado.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Idempotencia, ETag/If-Match y reconciliación visible.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Calidad insuficiente del documento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OCR incompleto.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Permitir revisión y confirmación manual.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Respaldo no restaurable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Pérdida de continuidad.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Verificación periódica y restauración ensayada fuera de producción.</w:t>
            </w:r>
          </w:p>
        </w:tc>
      </w:tr>
    </w:tbl>
    <w:p>
      <w:pPr>
        <w:spacing w:after="40"/>
      </w:pPr>
    </w:p>
    <w:p>
      <w:pPr>
        <w:pStyle w:val="Heading1"/>
      </w:pPr>
      <w:r>
        <w:t>10. Plan de contingencia</w:t>
      </w:r>
    </w:p>
    <w:p>
      <w:pPr>
        <w:spacing w:after="60"/>
        <w:ind w:left="461" w:hanging="288"/>
      </w:pPr>
      <w:r>
        <w:t>1. Detener nuevas publicaciones y conservar la evidencia del fallo con fecha, versión y correlationId.</w:t>
      </w:r>
    </w:p>
    <w:p>
      <w:pPr>
        <w:spacing w:after="60"/>
        <w:ind w:left="461" w:hanging="288"/>
      </w:pPr>
      <w:r>
        <w:t>2. Retirar el artefacto afectado del canal o volver a la imagen y versión móvil previamente aprobadas.</w:t>
      </w:r>
    </w:p>
    <w:p>
      <w:pPr>
        <w:spacing w:after="60"/>
        <w:ind w:left="461" w:hanging="288"/>
      </w:pPr>
      <w:r>
        <w:t>3. Restaurar la base de datos únicamente si la migración produjo daño confirmado; primero validar el respaldo en un entorno aislado.</w:t>
      </w:r>
    </w:p>
    <w:p>
      <w:pPr>
        <w:spacing w:after="60"/>
        <w:ind w:left="461" w:hanging="288"/>
      </w:pPr>
      <w:r>
        <w:t>4. Deshabilitar temporalmente la integración externa afectada y mantener en cola las tareas reintentables.</w:t>
      </w:r>
    </w:p>
    <w:p>
      <w:pPr>
        <w:spacing w:after="60"/>
        <w:ind w:left="461" w:hanging="288"/>
      </w:pPr>
      <w:r>
        <w:t>5. Comunicar el estado, el alcance y la acción de recuperación a los responsables del piloto.</w:t>
      </w:r>
    </w:p>
    <w:p>
      <w:pPr>
        <w:spacing w:after="60"/>
        <w:ind w:left="461" w:hanging="288"/>
      </w:pPr>
      <w:r>
        <w:t>6. Repetir health checks y pruebas críticas antes de reabrir el servicio.</w:t>
      </w:r>
    </w:p>
    <w:p>
      <w:pPr>
        <w:pStyle w:val="Heading1"/>
      </w:pPr>
      <w:r>
        <w:t>11. Criterios de cierre</w:t>
      </w:r>
    </w:p>
    <w:p>
      <w:pPr>
        <w:spacing w:after="50"/>
        <w:ind w:left="403" w:hanging="230"/>
      </w:pPr>
      <w:r>
        <w:t>• API y Worker activos; los endpoints /salud/vivo y /salud/listo responden correctamente.</w:t>
      </w:r>
    </w:p>
    <w:p>
      <w:pPr>
        <w:spacing w:after="50"/>
        <w:ind w:left="403" w:hanging="230"/>
      </w:pPr>
      <w:r>
        <w:t>• Migraciones M0001 a M0030 aplicadas y verificadas.</w:t>
      </w:r>
    </w:p>
    <w:p>
      <w:pPr>
        <w:spacing w:after="50"/>
        <w:ind w:left="403" w:hanging="230"/>
      </w:pPr>
      <w:r>
        <w:t>• Recorridos críticos aprobados en un dispositivo Android representativo.</w:t>
      </w:r>
    </w:p>
    <w:p>
      <w:pPr>
        <w:spacing w:after="50"/>
        <w:ind w:left="403" w:hanging="230"/>
      </w:pPr>
      <w:r>
        <w:t>• Integraciones esenciales comprobadas o degradación documentada y aceptada.</w:t>
      </w:r>
    </w:p>
    <w:p>
      <w:pPr>
        <w:spacing w:after="50"/>
        <w:ind w:left="403" w:hanging="230"/>
      </w:pPr>
      <w:r>
        <w:t>• Respaldo disponible y procedimiento de restauración validado.</w:t>
      </w:r>
    </w:p>
    <w:p>
      <w:pPr>
        <w:spacing w:after="50"/>
        <w:ind w:left="403" w:hanging="230"/>
      </w:pPr>
      <w:r>
        <w:t>• Incidencias abiertas clasificadas, con responsable y decisión de liberación registrada.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037" w:top="1037" w:left="1123" w:right="1123" w:header="403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Times New Roman" w:hAnsi="Times New Roman"/>
        <w:sz w:val="16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tabs>
        <w:tab w:val="center" w:leader="none" w:pos="4819"/>
        <w:tab w:val="right" w:leader="none" w:pos="9638"/>
      </w:tabs>
      <w:jc w:val="left"/>
      <w:rPr/>
    </w:pPr>
    <w:r>
      <w:drawing>
        <wp:inline>
          <wp:extent cx="246888" cy="2468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nanza_mark_102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" cy="24688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000000"/>
        <w:sz w:val="17"/>
      </w:rPr>
      <w:t xml:space="preserve">  Finanza  |  Plan de implementación y despliegue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Times New Roman" w:hAnsi="Times New Roman" w:eastAsia="Times New Roman"/>
      <w:color w:val="000000"/>
      <w:sz w:val="21"/>
    </w:rPr>
  </w:style>
  <w:style w:type="paragraph" w:styleId="Heading1">
    <w:name w:val="heading 1"/>
    <w:basedOn w:val="Normal"/>
    <w:next w:val="Normal"/>
    <w:pPr>
      <w:keepNext/>
      <w:pageBreakBefore w:val="0"/>
      <w:spacing w:after="140" w:before="280" w:lineRule="auto"/>
      <w:ind w:left="0" w:firstLine="0"/>
    </w:pPr>
    <w:rPr>
      <w:rFonts w:ascii="Times New Roman" w:cs="Arial" w:eastAsia="Times New Roman" w:hAnsi="Times New Roman"/>
      <w:b/>
      <w:bCs w:val="1"/>
      <w:color w:val="000000"/>
      <w:sz w:val="30"/>
      <w:szCs w:val="32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before="220" w:lineRule="auto" w:after="100"/>
    </w:pPr>
    <w:rPr>
      <w:rFonts w:ascii="Times New Roman" w:cs="Calibri" w:eastAsia="Times New Roman" w:hAnsi="Times New Roman"/>
      <w:b/>
      <w:color w:val="000000"/>
      <w:sz w:val="25"/>
      <w:szCs w:val="26"/>
    </w:rPr>
  </w:style>
  <w:style w:type="paragraph" w:styleId="Heading3">
    <w:name w:val="heading 3"/>
    <w:basedOn w:val="Normal"/>
    <w:next w:val="Normal"/>
    <w:pPr>
      <w:keepNext/>
      <w:pageBreakBefore w:val="0"/>
      <w:spacing w:after="80" w:before="160" w:lineRule="auto"/>
      <w:ind w:left="0" w:firstLine="0"/>
    </w:pPr>
    <w:rPr>
      <w:rFonts w:ascii="Times New Roman" w:cs="Liberation Sans" w:eastAsia="Times New Roman" w:hAnsi="Times New Roman"/>
      <w:b/>
      <w:bCs w:val="1"/>
      <w:color w:val="000000"/>
      <w:sz w:val="22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/>
      <w:pageBreakBefore w:val="0"/>
      <w:spacing w:after="240" w:before="0" w:lineRule="auto"/>
      <w:jc w:val="center"/>
    </w:pPr>
    <w:rPr>
      <w:rFonts w:ascii="Times New Roman" w:cs="Liberation Sans" w:eastAsia="Times New Roman" w:hAnsi="Times New Roman"/>
      <w:b/>
      <w:color w:val="000000"/>
      <w:sz w:val="46"/>
      <w:szCs w:val="28"/>
    </w:rPr>
  </w:style>
  <w:style w:type="paragraph" w:styleId="Subtitle">
    <w:name w:val="Subtitle"/>
    <w:basedOn w:val="Normal"/>
    <w:next w:val="Normal"/>
    <w:pPr>
      <w:keepNext/>
      <w:keepLines w:val="1"/>
      <w:pageBreakBefore w:val="0"/>
      <w:spacing w:after="200" w:before="0" w:lineRule="auto"/>
      <w:jc w:val="center"/>
    </w:pPr>
    <w:rPr>
      <w:rFonts w:ascii="Times New Roman" w:cs="Georgia" w:eastAsia="Times New Roman" w:hAnsi="Times New Roman"/>
      <w:b w:val="0"/>
      <w:i w:val="1"/>
      <w:iCs w:val="1"/>
      <w:color w:val="000000"/>
      <w:sz w:val="26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/exQPLXUmyoi9GRqm59JVri5Ng==">CgMxLjAyDmgueTN0ZmJwbXViODQ4Mg5oLjdsN3hja3Nud3gwazIOaC5lcTJzajNwNXdjc2oyDmguMnZmdmhyNTN4NDdnMg5oLnM3Ymo4Z2h2dHMwNDIOaC5sbWludnBpNDFhNmEyDmguaGlha2djcmJ3Y2hoMg5oLmJxbzNyOXBvY3FnYzIOaC5zb2ZpbThiZWlseXAyDmgubWFycHBvNTh5OHMwMgxoLmt1anFrdGlmb2U4AHIhMTZMeGJpN3kwRlE0WklGQmhQVjNzUWltSGhicE1faV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implementación y despliegue de Finanza</dc:title>
  <cp:lastModifiedBy>python-docx</cp:lastModifiedBy>
  <cp:revision>1</cp:revision>
  <dcterms:modified xsi:type="dcterms:W3CDTF">2026-09-25T03:45:44Z</dcterms:modified>
  <dc:subject>Documentación del sistema Finanza</dc:subject>
  <dc:creator>Equipo del proyecto Finanza</dc:creator>
  <cp:keywords>Finanza, Flutter, ASP.NET Core, PostgreSQL, manual</cp:keywords>
</cp:coreProperties>
</file>