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EA286">
      <w:pPr>
        <w:pStyle w:val="4"/>
        <w:jc w:val="center"/>
        <w:rPr>
          <w:rFonts w:hint="eastAsia" w:ascii="黑体" w:hAnsi="黑体" w:eastAsia="黑体" w:cs="黑体"/>
          <w:color w:val="auto"/>
          <w:sz w:val="36"/>
          <w:szCs w:val="36"/>
        </w:rPr>
      </w:pPr>
      <w:bookmarkStart w:id="0" w:name="第六章-生物质能发电厂厂区建设用地指标"/>
      <w:bookmarkStart w:id="16" w:name="_GoBack"/>
      <w:r>
        <w:rPr>
          <w:rFonts w:hint="eastAsia" w:ascii="黑体" w:hAnsi="黑体" w:eastAsia="黑体" w:cs="黑体"/>
          <w:color w:val="auto"/>
          <w:sz w:val="36"/>
          <w:szCs w:val="36"/>
        </w:rPr>
        <w:t>第六章</w:t>
      </w:r>
      <w:r>
        <w:rPr>
          <w:rFonts w:hint="eastAsia" w:ascii="黑体" w:hAnsi="黑体" w:eastAsia="黑体" w:cs="黑体"/>
          <w:color w:val="auto"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color w:val="auto"/>
          <w:sz w:val="36"/>
          <w:szCs w:val="36"/>
        </w:rPr>
        <w:t>生物质能发电厂厂区建设用地指标</w:t>
      </w:r>
      <w:bookmarkEnd w:id="16"/>
    </w:p>
    <w:bookmarkEnd w:id="0"/>
    <w:p w14:paraId="297AB846">
      <w:pPr>
        <w:pStyle w:val="4"/>
        <w:jc w:val="center"/>
        <w:rPr>
          <w:color w:val="auto"/>
        </w:rPr>
      </w:pPr>
      <w:bookmarkStart w:id="1" w:name="第一节-秸秆发电厂厂区建设用地指标"/>
      <w:r>
        <w:rPr>
          <w:rFonts w:hint="eastAsia"/>
          <w:color w:val="auto"/>
        </w:rPr>
        <w:t>第一节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秸秆发电厂厂区建设用地指标</w:t>
      </w:r>
    </w:p>
    <w:p w14:paraId="3C1E9EA5">
      <w:pPr>
        <w:pStyle w:val="5"/>
      </w:pPr>
      <w:bookmarkStart w:id="2" w:name="表6.1.1-秸秆发电厂厂区建设用地基本指标的技术条件"/>
      <w:r>
        <w:rPr>
          <w:rFonts w:hint="eastAsia"/>
        </w:rPr>
        <w:t>表6.1.1</w:t>
      </w:r>
      <w:r>
        <w:t xml:space="preserve"> </w:t>
      </w:r>
      <w:r>
        <w:rPr>
          <w:rFonts w:hint="eastAsia"/>
        </w:rPr>
        <w:t>秸秆发电厂厂区建设用地基本指标的技术条件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5738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4DA17C">
            <w:pPr>
              <w:pStyle w:val="24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p w14:paraId="5ACB7825">
            <w:pPr>
              <w:pStyle w:val="24"/>
              <w:jc w:val="left"/>
            </w:pPr>
            <w:r>
              <w:rPr>
                <w:rFonts w:hint="eastAsia"/>
              </w:rPr>
              <w:t>项目名称</w:t>
            </w:r>
          </w:p>
        </w:tc>
        <w:tc>
          <w:p w14:paraId="41E771C3">
            <w:pPr>
              <w:pStyle w:val="24"/>
              <w:jc w:val="left"/>
            </w:pPr>
            <w:r>
              <w:rPr>
                <w:rFonts w:hint="eastAsia"/>
              </w:rPr>
              <w:t>技术条件</w:t>
            </w:r>
          </w:p>
        </w:tc>
      </w:tr>
      <w:tr w14:paraId="54252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91B7F">
            <w:pPr>
              <w:pStyle w:val="24"/>
              <w:jc w:val="left"/>
            </w:pPr>
            <w:r>
              <w:t>1</w:t>
            </w:r>
          </w:p>
        </w:tc>
        <w:tc>
          <w:p w14:paraId="1DCD5688">
            <w:pPr>
              <w:pStyle w:val="24"/>
              <w:jc w:val="left"/>
            </w:pPr>
            <w:r>
              <w:rPr>
                <w:rFonts w:hint="eastAsia"/>
              </w:rPr>
              <w:t>装机容量</w:t>
            </w:r>
          </w:p>
        </w:tc>
        <w:tc>
          <w:p w14:paraId="1374ED4A">
            <w:pPr>
              <w:pStyle w:val="24"/>
              <w:jc w:val="left"/>
            </w:pPr>
            <w:r>
              <w:rPr>
                <w:rFonts w:hint="eastAsia"/>
              </w:rPr>
              <w:t>1台或2台凝汽或抽凝机组</w:t>
            </w:r>
          </w:p>
        </w:tc>
      </w:tr>
      <w:tr w14:paraId="1EF30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1988A">
            <w:pPr>
              <w:pStyle w:val="24"/>
              <w:jc w:val="left"/>
            </w:pPr>
            <w:r>
              <w:t>2</w:t>
            </w:r>
          </w:p>
        </w:tc>
        <w:tc>
          <w:p w14:paraId="30ED7FE2">
            <w:pPr>
              <w:pStyle w:val="24"/>
              <w:jc w:val="left"/>
            </w:pPr>
            <w:r>
              <w:rPr>
                <w:rFonts w:hint="eastAsia"/>
              </w:rPr>
              <w:t>主厂房布置</w:t>
            </w:r>
          </w:p>
        </w:tc>
        <w:tc>
          <w:p w14:paraId="1C364119">
            <w:pPr>
              <w:pStyle w:val="24"/>
              <w:jc w:val="left"/>
            </w:pPr>
            <w:r>
              <w:rPr>
                <w:rFonts w:hint="eastAsia"/>
              </w:rPr>
              <w:t>汽机房-除氧间-锅炉房三列式布置或汽机房-锅炉房（除氧器在锅炉房）两列式布置，汽机纵向布置、锅炉室内布置，炉前上料，炉后布置烟囱</w:t>
            </w:r>
          </w:p>
        </w:tc>
      </w:tr>
      <w:tr w14:paraId="31D96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B6C90">
            <w:pPr>
              <w:pStyle w:val="24"/>
              <w:jc w:val="left"/>
            </w:pPr>
            <w:r>
              <w:t>3</w:t>
            </w:r>
          </w:p>
        </w:tc>
        <w:tc>
          <w:p w14:paraId="48A048A1">
            <w:pPr>
              <w:pStyle w:val="24"/>
              <w:jc w:val="left"/>
            </w:pPr>
            <w:r>
              <w:rPr>
                <w:rFonts w:hint="eastAsia"/>
              </w:rPr>
              <w:t>配电装置</w:t>
            </w:r>
          </w:p>
        </w:tc>
        <w:tc>
          <w:p w14:paraId="58D01A54">
            <w:pPr>
              <w:pStyle w:val="24"/>
              <w:jc w:val="left"/>
            </w:pPr>
            <w:r>
              <w:rPr>
                <w:rFonts w:hint="eastAsia"/>
              </w:rPr>
              <w:t>110kV屋外布置或110kV发变线路组</w:t>
            </w:r>
          </w:p>
        </w:tc>
      </w:tr>
      <w:tr w14:paraId="198C7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67DE6">
            <w:pPr>
              <w:pStyle w:val="24"/>
              <w:jc w:val="left"/>
            </w:pPr>
            <w:r>
              <w:t>4</w:t>
            </w:r>
          </w:p>
        </w:tc>
        <w:tc>
          <w:p w14:paraId="23452CD2">
            <w:pPr>
              <w:pStyle w:val="24"/>
              <w:jc w:val="left"/>
            </w:pPr>
            <w:r>
              <w:rPr>
                <w:rFonts w:hint="eastAsia"/>
              </w:rPr>
              <w:t>冷却系统</w:t>
            </w:r>
          </w:p>
        </w:tc>
        <w:tc>
          <w:p w14:paraId="05A6D6B0">
            <w:pPr>
              <w:pStyle w:val="24"/>
              <w:jc w:val="left"/>
            </w:pPr>
            <w:r>
              <w:rPr>
                <w:rFonts w:hint="eastAsia"/>
              </w:rPr>
              <w:t>机械通风冷却塔</w:t>
            </w:r>
          </w:p>
        </w:tc>
      </w:tr>
      <w:tr w14:paraId="48023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035F3">
            <w:pPr>
              <w:pStyle w:val="24"/>
              <w:jc w:val="left"/>
            </w:pPr>
            <w:r>
              <w:t>5</w:t>
            </w:r>
          </w:p>
        </w:tc>
        <w:tc>
          <w:p w14:paraId="1C23E5D8">
            <w:pPr>
              <w:pStyle w:val="24"/>
              <w:jc w:val="left"/>
            </w:pPr>
            <w:r>
              <w:rPr>
                <w:rFonts w:hint="eastAsia"/>
              </w:rPr>
              <w:t>燃料运卸</w:t>
            </w:r>
          </w:p>
        </w:tc>
        <w:tc>
          <w:p w14:paraId="6B2EA637">
            <w:pPr>
              <w:pStyle w:val="24"/>
              <w:jc w:val="left"/>
            </w:pPr>
            <w:r>
              <w:rPr>
                <w:rFonts w:hint="eastAsia"/>
              </w:rPr>
              <w:t>厂外设燃料收购站，黄色秸秆打包、灰色秸秆破碎后汽车运输入厂</w:t>
            </w:r>
          </w:p>
        </w:tc>
      </w:tr>
      <w:tr w14:paraId="60657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2DF14">
            <w:pPr>
              <w:pStyle w:val="24"/>
              <w:jc w:val="left"/>
            </w:pPr>
            <w:r>
              <w:t>6</w:t>
            </w:r>
          </w:p>
        </w:tc>
        <w:tc>
          <w:p w14:paraId="66969584">
            <w:pPr>
              <w:pStyle w:val="24"/>
              <w:jc w:val="left"/>
            </w:pPr>
            <w:r>
              <w:rPr>
                <w:rFonts w:hint="eastAsia"/>
              </w:rPr>
              <w:t>燃料贮存天数</w:t>
            </w:r>
          </w:p>
        </w:tc>
        <w:tc>
          <w:p w14:paraId="4922B073">
            <w:pPr>
              <w:pStyle w:val="24"/>
              <w:jc w:val="left"/>
            </w:pPr>
            <w:r>
              <w:rPr>
                <w:rFonts w:hint="eastAsia"/>
              </w:rPr>
              <w:t>燃料储存10d；黄色秸秆段料仓，秸秆抓斗起重机（链条输送机）；灰色秸秆段料棚，螺旋给料机皮带输送</w:t>
            </w:r>
          </w:p>
        </w:tc>
      </w:tr>
      <w:tr w14:paraId="7079B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90454">
            <w:pPr>
              <w:pStyle w:val="24"/>
              <w:jc w:val="left"/>
            </w:pPr>
            <w:r>
              <w:t>7</w:t>
            </w:r>
          </w:p>
        </w:tc>
        <w:tc>
          <w:p w14:paraId="497D6D09">
            <w:pPr>
              <w:pStyle w:val="24"/>
              <w:jc w:val="left"/>
            </w:pPr>
            <w:r>
              <w:rPr>
                <w:rFonts w:hint="eastAsia"/>
              </w:rPr>
              <w:t>除尘</w:t>
            </w:r>
          </w:p>
        </w:tc>
        <w:tc>
          <w:p w14:paraId="2BF129F3">
            <w:pPr>
              <w:pStyle w:val="24"/>
              <w:jc w:val="left"/>
            </w:pPr>
            <w:r>
              <w:rPr>
                <w:rFonts w:hint="eastAsia"/>
              </w:rPr>
              <w:t>布袋除尘</w:t>
            </w:r>
          </w:p>
        </w:tc>
      </w:tr>
      <w:tr w14:paraId="07719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B6428">
            <w:pPr>
              <w:pStyle w:val="24"/>
              <w:jc w:val="left"/>
            </w:pPr>
            <w:r>
              <w:t>8</w:t>
            </w:r>
          </w:p>
        </w:tc>
        <w:tc>
          <w:p w14:paraId="69DDA27F">
            <w:pPr>
              <w:pStyle w:val="24"/>
              <w:jc w:val="left"/>
            </w:pPr>
            <w:r>
              <w:rPr>
                <w:rFonts w:hint="eastAsia"/>
              </w:rPr>
              <w:t>除灰</w:t>
            </w:r>
          </w:p>
        </w:tc>
        <w:tc>
          <w:p w14:paraId="54D67DCC">
            <w:pPr>
              <w:pStyle w:val="24"/>
              <w:jc w:val="left"/>
            </w:pPr>
            <w:r>
              <w:rPr>
                <w:rFonts w:hint="eastAsia"/>
              </w:rPr>
              <w:t>灰渣全部综合利用，汽车运输，厂内设3d储量的事故灰库</w:t>
            </w:r>
          </w:p>
        </w:tc>
      </w:tr>
      <w:tr w14:paraId="5D855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122F6">
            <w:pPr>
              <w:pStyle w:val="24"/>
              <w:jc w:val="left"/>
            </w:pPr>
            <w:r>
              <w:t>9</w:t>
            </w:r>
          </w:p>
        </w:tc>
        <w:tc>
          <w:p w14:paraId="4FA6C2B5">
            <w:pPr>
              <w:pStyle w:val="24"/>
              <w:jc w:val="left"/>
            </w:pPr>
            <w:r>
              <w:rPr>
                <w:rFonts w:hint="eastAsia"/>
              </w:rPr>
              <w:t>工业、生活、消防水</w:t>
            </w:r>
          </w:p>
        </w:tc>
        <w:tc>
          <w:p w14:paraId="2CC08183">
            <w:pPr>
              <w:pStyle w:val="24"/>
              <w:jc w:val="left"/>
            </w:pPr>
            <w:r>
              <w:rPr>
                <w:rFonts w:hint="eastAsia"/>
              </w:rPr>
              <w:t>常规水泵房、水池及贮水箱</w:t>
            </w:r>
          </w:p>
        </w:tc>
      </w:tr>
      <w:tr w14:paraId="58353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73486">
            <w:pPr>
              <w:pStyle w:val="24"/>
              <w:jc w:val="left"/>
            </w:pPr>
            <w:r>
              <w:t>10</w:t>
            </w:r>
          </w:p>
        </w:tc>
        <w:tc>
          <w:p w14:paraId="6AB2DA47">
            <w:pPr>
              <w:pStyle w:val="24"/>
              <w:jc w:val="left"/>
            </w:pPr>
            <w:r>
              <w:rPr>
                <w:rFonts w:hint="eastAsia"/>
              </w:rPr>
              <w:t>化学水处理</w:t>
            </w:r>
          </w:p>
        </w:tc>
        <w:tc>
          <w:p w14:paraId="676BC33E">
            <w:pPr>
              <w:pStyle w:val="24"/>
              <w:jc w:val="left"/>
            </w:pPr>
            <w:r>
              <w:rPr>
                <w:rFonts w:hint="eastAsia"/>
              </w:rPr>
              <w:t>两级反渗透加全膜法，循环水加酸、加阻垢剂、加氯或两级反渗透加混床</w:t>
            </w:r>
          </w:p>
        </w:tc>
      </w:tr>
      <w:tr w14:paraId="1D1EF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6E1AA">
            <w:pPr>
              <w:pStyle w:val="24"/>
              <w:jc w:val="left"/>
            </w:pPr>
            <w:r>
              <w:t>11</w:t>
            </w:r>
          </w:p>
        </w:tc>
        <w:tc>
          <w:p w14:paraId="3C01DA77">
            <w:pPr>
              <w:pStyle w:val="24"/>
              <w:jc w:val="left"/>
            </w:pPr>
            <w:r>
              <w:rPr>
                <w:rFonts w:hint="eastAsia"/>
              </w:rPr>
              <w:t>启动锅炉房</w:t>
            </w:r>
          </w:p>
        </w:tc>
        <w:tc>
          <w:p w14:paraId="195DA8E1">
            <w:pPr>
              <w:pStyle w:val="24"/>
              <w:jc w:val="left"/>
            </w:pPr>
            <w:r>
              <w:rPr>
                <w:rFonts w:hint="eastAsia"/>
              </w:rPr>
              <w:t>电加热锅炉或生物质燃料锅炉1台，设在主厂房区域</w:t>
            </w:r>
          </w:p>
        </w:tc>
      </w:tr>
      <w:tr w14:paraId="16E32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55BCD">
            <w:pPr>
              <w:pStyle w:val="24"/>
              <w:jc w:val="left"/>
            </w:pPr>
            <w:r>
              <w:t>12</w:t>
            </w:r>
          </w:p>
        </w:tc>
        <w:tc>
          <w:p w14:paraId="308C5610">
            <w:pPr>
              <w:pStyle w:val="24"/>
              <w:jc w:val="left"/>
            </w:pPr>
            <w:r>
              <w:rPr>
                <w:rFonts w:hint="eastAsia"/>
              </w:rPr>
              <w:t>污水处理</w:t>
            </w:r>
          </w:p>
        </w:tc>
        <w:tc>
          <w:p w14:paraId="36EA02F7">
            <w:pPr>
              <w:pStyle w:val="24"/>
              <w:jc w:val="left"/>
            </w:pPr>
            <w:r>
              <w:rPr>
                <w:rFonts w:hint="eastAsia"/>
              </w:rPr>
              <w:t>工业废水集中在化学水处理区域处理；生活污水采用生物处理</w:t>
            </w:r>
          </w:p>
        </w:tc>
      </w:tr>
      <w:tr w14:paraId="2C099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E3108">
            <w:pPr>
              <w:pStyle w:val="24"/>
              <w:jc w:val="left"/>
            </w:pPr>
            <w:r>
              <w:t>13</w:t>
            </w:r>
          </w:p>
        </w:tc>
        <w:tc>
          <w:p w14:paraId="6912314E">
            <w:pPr>
              <w:pStyle w:val="24"/>
              <w:jc w:val="left"/>
            </w:pPr>
            <w:r>
              <w:rPr>
                <w:rFonts w:hint="eastAsia"/>
              </w:rPr>
              <w:t>附属建筑</w:t>
            </w:r>
          </w:p>
        </w:tc>
        <w:tc>
          <w:p w14:paraId="6B06D3C3">
            <w:pPr>
              <w:pStyle w:val="24"/>
              <w:jc w:val="left"/>
            </w:pPr>
            <w:r>
              <w:rPr>
                <w:rFonts w:hint="eastAsia"/>
              </w:rPr>
              <w:t>检修车间、材料库联合布置；值班宿舍设在综合办公楼内</w:t>
            </w:r>
          </w:p>
        </w:tc>
      </w:tr>
      <w:tr w14:paraId="77D69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00DF8">
            <w:pPr>
              <w:pStyle w:val="24"/>
              <w:jc w:val="left"/>
            </w:pPr>
            <w:r>
              <w:t>14</w:t>
            </w:r>
          </w:p>
        </w:tc>
        <w:tc>
          <w:p w14:paraId="4CD1D6F8">
            <w:pPr>
              <w:pStyle w:val="24"/>
              <w:jc w:val="left"/>
            </w:pPr>
            <w:r>
              <w:rPr>
                <w:rFonts w:hint="eastAsia"/>
              </w:rPr>
              <w:t>厂前建筑</w:t>
            </w:r>
          </w:p>
        </w:tc>
        <w:tc>
          <w:p w14:paraId="7FF48B97">
            <w:pPr>
              <w:pStyle w:val="24"/>
              <w:jc w:val="left"/>
            </w:pPr>
            <w:r>
              <w:rPr>
                <w:rFonts w:hint="eastAsia"/>
              </w:rPr>
              <w:t>综合办公楼、职工食堂、浴室等联合建筑</w:t>
            </w:r>
          </w:p>
        </w:tc>
      </w:tr>
      <w:tr w14:paraId="638BF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4D231">
            <w:pPr>
              <w:pStyle w:val="24"/>
              <w:jc w:val="left"/>
            </w:pPr>
            <w:r>
              <w:t>15</w:t>
            </w:r>
          </w:p>
        </w:tc>
        <w:tc>
          <w:p w14:paraId="5ABC3B2C">
            <w:pPr>
              <w:pStyle w:val="24"/>
              <w:jc w:val="left"/>
            </w:pPr>
            <w:r>
              <w:rPr>
                <w:rFonts w:hint="eastAsia"/>
              </w:rPr>
              <w:t>地形</w:t>
            </w:r>
          </w:p>
        </w:tc>
        <w:tc>
          <w:p w14:paraId="0656C9BA">
            <w:pPr>
              <w:pStyle w:val="24"/>
              <w:jc w:val="left"/>
            </w:pPr>
            <w:r>
              <w:rPr>
                <w:rFonts w:hint="eastAsia"/>
              </w:rPr>
              <w:t>厂区自然地形坡度小于3%</w:t>
            </w:r>
          </w:p>
        </w:tc>
      </w:tr>
      <w:tr w14:paraId="06172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F9FEB">
            <w:pPr>
              <w:pStyle w:val="24"/>
              <w:jc w:val="left"/>
            </w:pPr>
            <w:r>
              <w:t>16</w:t>
            </w:r>
          </w:p>
        </w:tc>
        <w:tc>
          <w:p w14:paraId="293C560C">
            <w:pPr>
              <w:pStyle w:val="24"/>
              <w:jc w:val="left"/>
            </w:pPr>
            <w:r>
              <w:rPr>
                <w:rFonts w:hint="eastAsia"/>
              </w:rPr>
              <w:t>地震、地质</w:t>
            </w:r>
          </w:p>
        </w:tc>
        <w:tc>
          <w:p w14:paraId="4CFD7C53">
            <w:pPr>
              <w:pStyle w:val="24"/>
              <w:jc w:val="left"/>
            </w:pPr>
            <w:r>
              <w:rPr>
                <w:rFonts w:hint="eastAsia"/>
              </w:rPr>
              <w:t>地震基本烈度7度及以下，非湿陷性黄土地区和非膨胀土地区</w:t>
            </w:r>
          </w:p>
        </w:tc>
      </w:tr>
      <w:tr w14:paraId="08B5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E95E5">
            <w:pPr>
              <w:pStyle w:val="24"/>
              <w:jc w:val="left"/>
            </w:pPr>
            <w:r>
              <w:t>17</w:t>
            </w:r>
          </w:p>
        </w:tc>
        <w:tc>
          <w:p w14:paraId="54671D0D">
            <w:pPr>
              <w:pStyle w:val="24"/>
              <w:jc w:val="left"/>
            </w:pPr>
            <w:r>
              <w:rPr>
                <w:rFonts w:hint="eastAsia"/>
              </w:rPr>
              <w:t>气候</w:t>
            </w:r>
          </w:p>
        </w:tc>
        <w:tc>
          <w:p w14:paraId="3931CA12">
            <w:pPr>
              <w:pStyle w:val="24"/>
              <w:jc w:val="left"/>
            </w:pPr>
            <w:r>
              <w:rPr>
                <w:rFonts w:hint="eastAsia"/>
              </w:rPr>
              <w:t>非采暖区</w:t>
            </w:r>
          </w:p>
        </w:tc>
      </w:tr>
    </w:tbl>
    <w:p w14:paraId="3029034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74D93A5">
      <w:pPr>
        <w:pStyle w:val="5"/>
      </w:pPr>
      <w:bookmarkStart w:id="3" w:name="表6.1.2-秸秆发电厂厂区建设用地基本指标"/>
      <w:r>
        <w:rPr>
          <w:rFonts w:hint="eastAsia"/>
        </w:rPr>
        <w:t>表6.1.2</w:t>
      </w:r>
      <w:r>
        <w:t xml:space="preserve"> </w:t>
      </w:r>
      <w:r>
        <w:rPr>
          <w:rFonts w:hint="eastAsia"/>
        </w:rPr>
        <w:t>秸秆发电厂厂区建设用地基本指标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6A89B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915611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506B5EFF">
            <w:pPr>
              <w:pStyle w:val="24"/>
              <w:jc w:val="left"/>
            </w:pPr>
            <w:r>
              <w:rPr>
                <w:rFonts w:hint="eastAsia"/>
              </w:rPr>
              <w:t>黄色秸秆</w:t>
            </w:r>
          </w:p>
        </w:tc>
        <w:tc>
          <w:p w14:paraId="20FB10C1">
            <w:pPr>
              <w:pStyle w:val="24"/>
              <w:jc w:val="left"/>
            </w:pPr>
            <w:r>
              <w:rPr>
                <w:rFonts w:hint="eastAsia"/>
              </w:rPr>
              <w:t>灰色秸秆</w:t>
            </w:r>
          </w:p>
        </w:tc>
        <w:tc>
          <w:p w14:paraId="41D11904">
            <w:pPr>
              <w:pStyle w:val="24"/>
              <w:jc w:val="left"/>
            </w:pPr>
            <w:r>
              <w:rPr>
                <w:rFonts w:hint="eastAsia"/>
              </w:rPr>
              <w:t>厂区用地(hm²)</w:t>
            </w:r>
          </w:p>
        </w:tc>
        <w:tc>
          <w:p w14:paraId="5E03F4F9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1C74F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80EC3">
            <w:pPr>
              <w:pStyle w:val="24"/>
            </w:pPr>
          </w:p>
        </w:tc>
        <w:tc>
          <w:p w14:paraId="022C8790">
            <w:pPr>
              <w:pStyle w:val="24"/>
              <w:jc w:val="left"/>
            </w:pPr>
            <w:r>
              <w:rPr>
                <w:rFonts w:hint="eastAsia"/>
              </w:rPr>
              <w:t>生产区</w:t>
            </w:r>
          </w:p>
        </w:tc>
        <w:tc>
          <w:p w14:paraId="05541DF9">
            <w:pPr>
              <w:pStyle w:val="24"/>
              <w:jc w:val="left"/>
            </w:pPr>
            <w:r>
              <w:rPr>
                <w:rFonts w:hint="eastAsia"/>
              </w:rPr>
              <w:t>厂前建筑</w:t>
            </w:r>
          </w:p>
        </w:tc>
        <w:tc>
          <w:p w14:paraId="4BC42561">
            <w:pPr>
              <w:pStyle w:val="24"/>
              <w:jc w:val="left"/>
            </w:pPr>
            <w:r>
              <w:rPr>
                <w:rFonts w:hint="eastAsia"/>
              </w:rPr>
              <w:t>合计</w:t>
            </w:r>
          </w:p>
        </w:tc>
        <w:tc>
          <w:p w14:paraId="00A8DE80">
            <w:pPr>
              <w:pStyle w:val="24"/>
              <w:jc w:val="left"/>
            </w:pPr>
            <w:r>
              <w:rPr>
                <w:rFonts w:hint="eastAsia"/>
              </w:rPr>
              <w:t>生产区</w:t>
            </w:r>
          </w:p>
        </w:tc>
      </w:tr>
      <w:tr w14:paraId="695AA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D6BFF">
            <w:pPr>
              <w:pStyle w:val="24"/>
              <w:jc w:val="left"/>
            </w:pPr>
            <w:r>
              <w:t>1×12</w:t>
            </w:r>
          </w:p>
        </w:tc>
        <w:tc>
          <w:p w14:paraId="2C6639A0">
            <w:pPr>
              <w:pStyle w:val="24"/>
              <w:jc w:val="left"/>
            </w:pPr>
            <w:r>
              <w:t>3.40</w:t>
            </w:r>
          </w:p>
        </w:tc>
        <w:tc>
          <w:p w14:paraId="23E9F2A0">
            <w:pPr>
              <w:pStyle w:val="24"/>
              <w:jc w:val="left"/>
            </w:pPr>
            <w:r>
              <w:t>0.30</w:t>
            </w:r>
          </w:p>
        </w:tc>
        <w:tc>
          <w:p w14:paraId="06B69E52">
            <w:pPr>
              <w:pStyle w:val="24"/>
              <w:jc w:val="left"/>
            </w:pPr>
            <w:r>
              <w:t>3.70</w:t>
            </w:r>
          </w:p>
        </w:tc>
        <w:tc>
          <w:p w14:paraId="5DBEE49E">
            <w:pPr>
              <w:pStyle w:val="24"/>
              <w:jc w:val="left"/>
            </w:pPr>
            <w:r>
              <w:t>3.08</w:t>
            </w:r>
          </w:p>
        </w:tc>
      </w:tr>
      <w:tr w14:paraId="30F74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538C2">
            <w:pPr>
              <w:pStyle w:val="24"/>
              <w:jc w:val="left"/>
            </w:pPr>
            <w:r>
              <w:t>2×12</w:t>
            </w:r>
          </w:p>
        </w:tc>
        <w:tc>
          <w:p w14:paraId="06268A26">
            <w:pPr>
              <w:pStyle w:val="24"/>
              <w:jc w:val="left"/>
            </w:pPr>
            <w:r>
              <w:t>5.16</w:t>
            </w:r>
          </w:p>
        </w:tc>
        <w:tc>
          <w:p w14:paraId="6ED8749E">
            <w:pPr>
              <w:pStyle w:val="24"/>
              <w:jc w:val="left"/>
            </w:pPr>
            <w:r>
              <w:t>0.30</w:t>
            </w:r>
          </w:p>
        </w:tc>
        <w:tc>
          <w:p w14:paraId="7909D0A0">
            <w:pPr>
              <w:pStyle w:val="24"/>
              <w:jc w:val="left"/>
            </w:pPr>
            <w:r>
              <w:t>5.46</w:t>
            </w:r>
          </w:p>
        </w:tc>
        <w:tc>
          <w:p w14:paraId="5D4ED78A">
            <w:pPr>
              <w:pStyle w:val="24"/>
              <w:jc w:val="left"/>
            </w:pPr>
            <w:r>
              <w:t>2.28</w:t>
            </w:r>
          </w:p>
        </w:tc>
      </w:tr>
      <w:tr w14:paraId="0DA72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4BE32">
            <w:pPr>
              <w:pStyle w:val="24"/>
              <w:jc w:val="left"/>
            </w:pPr>
            <w:r>
              <w:t>1×15</w:t>
            </w:r>
          </w:p>
        </w:tc>
        <w:tc>
          <w:p w14:paraId="57EA40FD">
            <w:pPr>
              <w:pStyle w:val="24"/>
              <w:jc w:val="left"/>
            </w:pPr>
            <w:r>
              <w:t>3.56</w:t>
            </w:r>
          </w:p>
        </w:tc>
        <w:tc>
          <w:p w14:paraId="32FE77CA">
            <w:pPr>
              <w:pStyle w:val="24"/>
              <w:jc w:val="left"/>
            </w:pPr>
            <w:r>
              <w:t>0.30</w:t>
            </w:r>
          </w:p>
        </w:tc>
        <w:tc>
          <w:p w14:paraId="583ACEE4">
            <w:pPr>
              <w:pStyle w:val="24"/>
              <w:jc w:val="left"/>
            </w:pPr>
            <w:r>
              <w:t>3.86</w:t>
            </w:r>
          </w:p>
        </w:tc>
        <w:tc>
          <w:p w14:paraId="31BE81F4">
            <w:pPr>
              <w:pStyle w:val="24"/>
              <w:jc w:val="left"/>
            </w:pPr>
            <w:r>
              <w:t>2.57</w:t>
            </w:r>
          </w:p>
        </w:tc>
      </w:tr>
      <w:tr w14:paraId="03B6B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9368E">
            <w:pPr>
              <w:pStyle w:val="24"/>
              <w:jc w:val="left"/>
            </w:pPr>
            <w:r>
              <w:t>2×15</w:t>
            </w:r>
          </w:p>
        </w:tc>
        <w:tc>
          <w:p w14:paraId="02FB3B09">
            <w:pPr>
              <w:pStyle w:val="24"/>
              <w:jc w:val="left"/>
            </w:pPr>
            <w:r>
              <w:t>5.40</w:t>
            </w:r>
          </w:p>
        </w:tc>
        <w:tc>
          <w:p w14:paraId="52851FB4">
            <w:pPr>
              <w:pStyle w:val="24"/>
              <w:jc w:val="left"/>
            </w:pPr>
            <w:r>
              <w:t>0.30</w:t>
            </w:r>
          </w:p>
        </w:tc>
        <w:tc>
          <w:p w14:paraId="13896157">
            <w:pPr>
              <w:pStyle w:val="24"/>
              <w:jc w:val="left"/>
            </w:pPr>
            <w:r>
              <w:t>5.70</w:t>
            </w:r>
          </w:p>
        </w:tc>
        <w:tc>
          <w:p w14:paraId="3C68E20E">
            <w:pPr>
              <w:pStyle w:val="24"/>
              <w:jc w:val="left"/>
            </w:pPr>
            <w:r>
              <w:t>1.90</w:t>
            </w:r>
          </w:p>
        </w:tc>
      </w:tr>
      <w:tr w14:paraId="40246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426BB">
            <w:pPr>
              <w:pStyle w:val="24"/>
              <w:jc w:val="left"/>
            </w:pPr>
            <w:r>
              <w:t>1×25</w:t>
            </w:r>
          </w:p>
        </w:tc>
        <w:tc>
          <w:p w14:paraId="621963D8">
            <w:pPr>
              <w:pStyle w:val="24"/>
              <w:jc w:val="left"/>
            </w:pPr>
            <w:r>
              <w:t>5.35</w:t>
            </w:r>
          </w:p>
        </w:tc>
        <w:tc>
          <w:p w14:paraId="67A839C7">
            <w:pPr>
              <w:pStyle w:val="24"/>
              <w:jc w:val="left"/>
            </w:pPr>
            <w:r>
              <w:t>0.30</w:t>
            </w:r>
          </w:p>
        </w:tc>
        <w:tc>
          <w:p w14:paraId="7FBD13F4">
            <w:pPr>
              <w:pStyle w:val="24"/>
              <w:jc w:val="left"/>
            </w:pPr>
            <w:r>
              <w:t>5.65</w:t>
            </w:r>
          </w:p>
        </w:tc>
        <w:tc>
          <w:p w14:paraId="3C1A9D89">
            <w:pPr>
              <w:pStyle w:val="24"/>
              <w:jc w:val="left"/>
            </w:pPr>
            <w:r>
              <w:t>2.26*</w:t>
            </w:r>
          </w:p>
        </w:tc>
      </w:tr>
      <w:tr w14:paraId="6C43D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66787">
            <w:pPr>
              <w:pStyle w:val="24"/>
              <w:jc w:val="left"/>
            </w:pPr>
            <w:r>
              <w:t>2×25</w:t>
            </w:r>
          </w:p>
        </w:tc>
        <w:tc>
          <w:p w14:paraId="6D8577C4">
            <w:pPr>
              <w:pStyle w:val="24"/>
              <w:jc w:val="left"/>
            </w:pPr>
            <w:r>
              <w:t>8.67</w:t>
            </w:r>
          </w:p>
        </w:tc>
        <w:tc>
          <w:p w14:paraId="5A439F0B">
            <w:pPr>
              <w:pStyle w:val="24"/>
              <w:jc w:val="left"/>
            </w:pPr>
            <w:r>
              <w:t>0.30</w:t>
            </w:r>
          </w:p>
        </w:tc>
        <w:tc>
          <w:p w14:paraId="6987D118">
            <w:pPr>
              <w:pStyle w:val="24"/>
              <w:jc w:val="left"/>
            </w:pPr>
            <w:r>
              <w:t>8.97</w:t>
            </w:r>
          </w:p>
        </w:tc>
        <w:tc>
          <w:p w14:paraId="4427264A">
            <w:pPr>
              <w:pStyle w:val="24"/>
              <w:jc w:val="left"/>
            </w:pPr>
            <w:r>
              <w:t>1.80</w:t>
            </w:r>
          </w:p>
        </w:tc>
      </w:tr>
    </w:tbl>
    <w:p w14:paraId="25A979E3">
      <w:pPr>
        <w:pStyle w:val="13"/>
      </w:pPr>
      <w:r>
        <w:rPr>
          <w:rFonts w:hint="eastAsia"/>
        </w:rPr>
        <w:t>注：秸秆发电厂厂区建设用地基本指标为厂区围墙内用地，不包括厂外的燃料收购站用地。带*号数据原文如此。</w:t>
      </w:r>
    </w:p>
    <w:p w14:paraId="610F2B6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A664AB">
      <w:pPr>
        <w:pStyle w:val="5"/>
      </w:pPr>
      <w:bookmarkStart w:id="4" w:name="表6.1.3-1-主厂房区建设用地单项指标"/>
      <w:r>
        <w:rPr>
          <w:rFonts w:hint="eastAsia"/>
        </w:rPr>
        <w:t>表6.1.3-1</w:t>
      </w:r>
      <w:r>
        <w:t xml:space="preserve"> </w:t>
      </w:r>
      <w:r>
        <w:rPr>
          <w:rFonts w:hint="eastAsia"/>
        </w:rPr>
        <w:t>主厂房区建设用地单项指标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1DE8A9CA">
        <w:trPr>
          <w:tblHeader/>
        </w:trPr>
        <w:tc>
          <w:p w14:paraId="0E3A509D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70F08D9C">
            <w:pPr>
              <w:pStyle w:val="24"/>
              <w:jc w:val="left"/>
            </w:pPr>
            <w:r>
              <w:rPr>
                <w:rFonts w:hint="eastAsia"/>
              </w:rPr>
              <w:t>汽机布置形式</w:t>
            </w:r>
          </w:p>
        </w:tc>
        <w:tc>
          <w:p w14:paraId="09C52FC0">
            <w:pPr>
              <w:pStyle w:val="24"/>
              <w:jc w:val="left"/>
            </w:pPr>
            <w:r>
              <w:rPr>
                <w:rFonts w:hint="eastAsia"/>
              </w:rPr>
              <w:t>汽机房跨度(m)</w:t>
            </w:r>
          </w:p>
        </w:tc>
        <w:tc>
          <w:p w14:paraId="7F0FBA52">
            <w:pPr>
              <w:pStyle w:val="24"/>
              <w:jc w:val="left"/>
            </w:pPr>
            <w:r>
              <w:rPr>
                <w:rFonts w:hint="eastAsia"/>
              </w:rPr>
              <w:t>除氧间跨度(m)</w:t>
            </w:r>
          </w:p>
        </w:tc>
        <w:tc>
          <w:p w14:paraId="7D958592">
            <w:pPr>
              <w:pStyle w:val="24"/>
              <w:jc w:val="left"/>
            </w:pPr>
            <w:r>
              <w:rPr>
                <w:rFonts w:hint="eastAsia"/>
              </w:rPr>
              <w:t>锅炉房跨度(m)</w:t>
            </w:r>
          </w:p>
        </w:tc>
        <w:tc>
          <w:p w14:paraId="269B79B1">
            <w:pPr>
              <w:pStyle w:val="24"/>
              <w:jc w:val="left"/>
            </w:pPr>
            <w:r>
              <w:rPr>
                <w:rFonts w:hint="eastAsia"/>
              </w:rPr>
              <w:t>主厂房纵向尺寸(m)</w:t>
            </w:r>
          </w:p>
        </w:tc>
        <w:tc>
          <w:p w14:paraId="12A2870A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27EDD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8D6BE">
            <w:pPr>
              <w:pStyle w:val="24"/>
              <w:jc w:val="left"/>
            </w:pPr>
            <w:r>
              <w:t>1×12</w:t>
            </w:r>
          </w:p>
        </w:tc>
        <w:tc>
          <w:p w14:paraId="05AA9BB8">
            <w:pPr>
              <w:pStyle w:val="24"/>
              <w:jc w:val="left"/>
            </w:pPr>
            <w:r>
              <w:rPr>
                <w:rFonts w:hint="eastAsia"/>
              </w:rPr>
              <w:t>纵向</w:t>
            </w:r>
          </w:p>
        </w:tc>
        <w:tc>
          <w:p w14:paraId="170CD4C9">
            <w:pPr>
              <w:pStyle w:val="24"/>
              <w:jc w:val="left"/>
            </w:pPr>
            <w:r>
              <w:t>15.00</w:t>
            </w:r>
          </w:p>
        </w:tc>
        <w:tc>
          <w:p w14:paraId="334AF447">
            <w:pPr>
              <w:pStyle w:val="24"/>
              <w:jc w:val="left"/>
            </w:pPr>
            <w:r>
              <w:t>—</w:t>
            </w:r>
          </w:p>
        </w:tc>
        <w:tc>
          <w:p w14:paraId="255F2121">
            <w:pPr>
              <w:pStyle w:val="24"/>
              <w:jc w:val="left"/>
            </w:pPr>
            <w:r>
              <w:t>21.00</w:t>
            </w:r>
          </w:p>
        </w:tc>
        <w:tc>
          <w:p w14:paraId="4BED9379">
            <w:pPr>
              <w:pStyle w:val="24"/>
              <w:jc w:val="left"/>
            </w:pPr>
            <w:r>
              <w:t>39.00</w:t>
            </w:r>
          </w:p>
        </w:tc>
        <w:tc>
          <w:p w14:paraId="64C4A5F2">
            <w:pPr>
              <w:pStyle w:val="24"/>
              <w:jc w:val="left"/>
            </w:pPr>
            <w:r>
              <w:t>0.70</w:t>
            </w:r>
          </w:p>
        </w:tc>
      </w:tr>
      <w:tr w14:paraId="4DB58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EB5F8">
            <w:pPr>
              <w:pStyle w:val="24"/>
              <w:jc w:val="left"/>
            </w:pPr>
            <w:r>
              <w:t>2×12</w:t>
            </w:r>
          </w:p>
        </w:tc>
        <w:tc>
          <w:p w14:paraId="51FD2507">
            <w:pPr>
              <w:pStyle w:val="24"/>
              <w:jc w:val="left"/>
            </w:pPr>
            <w:r>
              <w:rPr>
                <w:rFonts w:hint="eastAsia"/>
              </w:rPr>
              <w:t>纵向</w:t>
            </w:r>
          </w:p>
        </w:tc>
        <w:tc>
          <w:p w14:paraId="7EE0E376">
            <w:pPr>
              <w:pStyle w:val="24"/>
              <w:jc w:val="left"/>
            </w:pPr>
            <w:r>
              <w:t>15.00</w:t>
            </w:r>
          </w:p>
        </w:tc>
        <w:tc>
          <w:p w14:paraId="08BE7C2E">
            <w:pPr>
              <w:pStyle w:val="24"/>
              <w:jc w:val="left"/>
            </w:pPr>
            <w:r>
              <w:t>—</w:t>
            </w:r>
          </w:p>
        </w:tc>
        <w:tc>
          <w:p w14:paraId="1E1BE13A">
            <w:pPr>
              <w:pStyle w:val="24"/>
              <w:jc w:val="left"/>
            </w:pPr>
            <w:r>
              <w:t>21.00</w:t>
            </w:r>
          </w:p>
        </w:tc>
        <w:tc>
          <w:p w14:paraId="426D7A2C">
            <w:pPr>
              <w:pStyle w:val="24"/>
              <w:jc w:val="left"/>
            </w:pPr>
            <w:r>
              <w:t>78.00</w:t>
            </w:r>
          </w:p>
        </w:tc>
        <w:tc>
          <w:p w14:paraId="6E4FE218">
            <w:pPr>
              <w:pStyle w:val="24"/>
              <w:jc w:val="left"/>
            </w:pPr>
            <w:r>
              <w:t>1.30</w:t>
            </w:r>
          </w:p>
        </w:tc>
      </w:tr>
      <w:tr w14:paraId="70A66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7E095">
            <w:pPr>
              <w:pStyle w:val="24"/>
              <w:jc w:val="left"/>
            </w:pPr>
            <w:r>
              <w:t>1×15</w:t>
            </w:r>
          </w:p>
        </w:tc>
        <w:tc>
          <w:p w14:paraId="4606C605">
            <w:pPr>
              <w:pStyle w:val="24"/>
              <w:jc w:val="left"/>
            </w:pPr>
            <w:r>
              <w:rPr>
                <w:rFonts w:hint="eastAsia"/>
              </w:rPr>
              <w:t>纵向</w:t>
            </w:r>
          </w:p>
        </w:tc>
        <w:tc>
          <w:p w14:paraId="1CB0C74B">
            <w:pPr>
              <w:pStyle w:val="24"/>
              <w:jc w:val="left"/>
            </w:pPr>
            <w:r>
              <w:t>18.00</w:t>
            </w:r>
          </w:p>
        </w:tc>
        <w:tc>
          <w:p w14:paraId="304083A4">
            <w:pPr>
              <w:pStyle w:val="24"/>
              <w:jc w:val="left"/>
            </w:pPr>
            <w:r>
              <w:t>7.00</w:t>
            </w:r>
          </w:p>
        </w:tc>
        <w:tc>
          <w:p w14:paraId="2CC58435">
            <w:pPr>
              <w:pStyle w:val="24"/>
              <w:jc w:val="left"/>
            </w:pPr>
            <w:r>
              <w:t>24.39</w:t>
            </w:r>
          </w:p>
        </w:tc>
        <w:tc>
          <w:p w14:paraId="72DE2A26">
            <w:pPr>
              <w:pStyle w:val="24"/>
              <w:jc w:val="left"/>
            </w:pPr>
            <w:r>
              <w:t>39.00</w:t>
            </w:r>
          </w:p>
        </w:tc>
        <w:tc>
          <w:p w14:paraId="7C569515">
            <w:pPr>
              <w:pStyle w:val="24"/>
              <w:jc w:val="left"/>
            </w:pPr>
            <w:r>
              <w:t>0.70</w:t>
            </w:r>
          </w:p>
        </w:tc>
      </w:tr>
      <w:tr w14:paraId="4CFF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931CB">
            <w:pPr>
              <w:pStyle w:val="24"/>
              <w:jc w:val="left"/>
            </w:pPr>
            <w:r>
              <w:t>2×15</w:t>
            </w:r>
          </w:p>
        </w:tc>
        <w:tc>
          <w:p w14:paraId="21B5FD6F">
            <w:pPr>
              <w:pStyle w:val="24"/>
              <w:jc w:val="left"/>
            </w:pPr>
            <w:r>
              <w:rPr>
                <w:rFonts w:hint="eastAsia"/>
              </w:rPr>
              <w:t>纵向</w:t>
            </w:r>
          </w:p>
        </w:tc>
        <w:tc>
          <w:p w14:paraId="277C9B72">
            <w:pPr>
              <w:pStyle w:val="24"/>
              <w:jc w:val="left"/>
            </w:pPr>
            <w:r>
              <w:t>18.00</w:t>
            </w:r>
          </w:p>
        </w:tc>
        <w:tc>
          <w:p w14:paraId="6B55B26E">
            <w:pPr>
              <w:pStyle w:val="24"/>
              <w:jc w:val="left"/>
            </w:pPr>
            <w:r>
              <w:t>7.00</w:t>
            </w:r>
          </w:p>
        </w:tc>
        <w:tc>
          <w:p w14:paraId="36B031A3">
            <w:pPr>
              <w:pStyle w:val="24"/>
              <w:jc w:val="left"/>
            </w:pPr>
            <w:r>
              <w:t>24.39</w:t>
            </w:r>
          </w:p>
        </w:tc>
        <w:tc>
          <w:p w14:paraId="164443E8">
            <w:pPr>
              <w:pStyle w:val="24"/>
              <w:jc w:val="left"/>
            </w:pPr>
            <w:r>
              <w:t>60.00</w:t>
            </w:r>
          </w:p>
        </w:tc>
        <w:tc>
          <w:p w14:paraId="03A9DC86">
            <w:pPr>
              <w:pStyle w:val="24"/>
              <w:jc w:val="left"/>
            </w:pPr>
            <w:r>
              <w:t>1.34</w:t>
            </w:r>
          </w:p>
        </w:tc>
      </w:tr>
      <w:tr w14:paraId="6BD9B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7A065">
            <w:pPr>
              <w:pStyle w:val="24"/>
              <w:jc w:val="left"/>
            </w:pPr>
            <w:r>
              <w:t>1×25</w:t>
            </w:r>
          </w:p>
        </w:tc>
        <w:tc>
          <w:p w14:paraId="77509AB5">
            <w:pPr>
              <w:pStyle w:val="24"/>
              <w:jc w:val="left"/>
            </w:pPr>
            <w:r>
              <w:rPr>
                <w:rFonts w:hint="eastAsia"/>
              </w:rPr>
              <w:t>纵向</w:t>
            </w:r>
          </w:p>
        </w:tc>
        <w:tc>
          <w:p w14:paraId="6710F9CA">
            <w:pPr>
              <w:pStyle w:val="24"/>
              <w:jc w:val="left"/>
            </w:pPr>
            <w:r>
              <w:t>18.00</w:t>
            </w:r>
          </w:p>
        </w:tc>
        <w:tc>
          <w:p w14:paraId="4EB48EC8">
            <w:pPr>
              <w:pStyle w:val="24"/>
              <w:jc w:val="left"/>
            </w:pPr>
            <w:r>
              <w:t>8.00</w:t>
            </w:r>
          </w:p>
        </w:tc>
        <w:tc>
          <w:p w14:paraId="29412546">
            <w:pPr>
              <w:pStyle w:val="24"/>
              <w:jc w:val="left"/>
            </w:pPr>
            <w:r>
              <w:t>26.60</w:t>
            </w:r>
          </w:p>
        </w:tc>
        <w:tc>
          <w:p w14:paraId="6F3F35F2">
            <w:pPr>
              <w:pStyle w:val="24"/>
              <w:jc w:val="left"/>
            </w:pPr>
            <w:r>
              <w:t>43.00</w:t>
            </w:r>
          </w:p>
        </w:tc>
        <w:tc>
          <w:p w14:paraId="5C3AAF96">
            <w:pPr>
              <w:pStyle w:val="24"/>
              <w:jc w:val="left"/>
            </w:pPr>
            <w:r>
              <w:t>1.00</w:t>
            </w:r>
          </w:p>
        </w:tc>
      </w:tr>
      <w:tr w14:paraId="3AC3D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1E086">
            <w:pPr>
              <w:pStyle w:val="24"/>
              <w:jc w:val="left"/>
            </w:pPr>
            <w:r>
              <w:t>2×25</w:t>
            </w:r>
          </w:p>
        </w:tc>
        <w:tc>
          <w:p w14:paraId="51DEE924">
            <w:pPr>
              <w:pStyle w:val="24"/>
              <w:jc w:val="left"/>
            </w:pPr>
            <w:r>
              <w:rPr>
                <w:rFonts w:hint="eastAsia"/>
              </w:rPr>
              <w:t>纵向</w:t>
            </w:r>
          </w:p>
        </w:tc>
        <w:tc>
          <w:p w14:paraId="3B11A7D8">
            <w:pPr>
              <w:pStyle w:val="24"/>
              <w:jc w:val="left"/>
            </w:pPr>
            <w:r>
              <w:t>18.00</w:t>
            </w:r>
          </w:p>
        </w:tc>
        <w:tc>
          <w:p w14:paraId="24799A84">
            <w:pPr>
              <w:pStyle w:val="24"/>
              <w:jc w:val="left"/>
            </w:pPr>
            <w:r>
              <w:t>8.00</w:t>
            </w:r>
          </w:p>
        </w:tc>
        <w:tc>
          <w:p w14:paraId="382E6FA1">
            <w:pPr>
              <w:pStyle w:val="24"/>
              <w:jc w:val="left"/>
            </w:pPr>
            <w:r>
              <w:t>26.60</w:t>
            </w:r>
          </w:p>
        </w:tc>
        <w:tc>
          <w:p w14:paraId="52B42ACE">
            <w:pPr>
              <w:pStyle w:val="24"/>
              <w:jc w:val="left"/>
            </w:pPr>
            <w:r>
              <w:t>88.00</w:t>
            </w:r>
          </w:p>
        </w:tc>
        <w:tc>
          <w:p w14:paraId="72712D8D">
            <w:pPr>
              <w:pStyle w:val="24"/>
              <w:jc w:val="left"/>
            </w:pPr>
            <w:r>
              <w:t>1.85</w:t>
            </w:r>
          </w:p>
        </w:tc>
      </w:tr>
    </w:tbl>
    <w:p w14:paraId="00C0C957">
      <w:pPr>
        <w:pStyle w:val="13"/>
      </w:pPr>
      <w:r>
        <w:rPr>
          <w:rFonts w:hint="eastAsia"/>
        </w:rPr>
        <w:t>注：1.主厂房区包括汽机房A列外侧电气设施、循环水泵房以及烟囱外侧的环形消防道路中心所围成的区域。2.1×12MW机组和1×15MW机组主厂房区域包含化学水处理设施用地。</w:t>
      </w:r>
    </w:p>
    <w:p w14:paraId="2215F56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C3F56BE">
      <w:pPr>
        <w:pStyle w:val="5"/>
      </w:pPr>
      <w:bookmarkStart w:id="5" w:name="表6.1.3-2-机械通风冷却塔区建设用地单项指标"/>
      <w:r>
        <w:rPr>
          <w:rFonts w:hint="eastAsia"/>
        </w:rPr>
        <w:t>表6.1.3-2</w:t>
      </w:r>
      <w:r>
        <w:t xml:space="preserve"> </w:t>
      </w:r>
      <w:r>
        <w:rPr>
          <w:rFonts w:hint="eastAsia"/>
        </w:rPr>
        <w:t>机械通风冷却塔区建设用地单项指标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3910"/>
        <w:gridCol w:w="1841"/>
      </w:tblGrid>
      <w:tr w14:paraId="6A5DA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736A3D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532A5559">
            <w:pPr>
              <w:pStyle w:val="24"/>
              <w:jc w:val="left"/>
            </w:pPr>
            <w:r>
              <w:rPr>
                <w:rFonts w:hint="eastAsia"/>
              </w:rPr>
              <w:t>机械通风冷却塔尺寸（段×m×m）</w:t>
            </w:r>
          </w:p>
        </w:tc>
        <w:tc>
          <w:p w14:paraId="10737293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19F6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2F8A0">
            <w:pPr>
              <w:pStyle w:val="24"/>
              <w:jc w:val="left"/>
            </w:pPr>
            <w:r>
              <w:t>1×12</w:t>
            </w:r>
          </w:p>
        </w:tc>
        <w:tc>
          <w:p w14:paraId="499C468A">
            <w:pPr>
              <w:pStyle w:val="24"/>
              <w:jc w:val="left"/>
            </w:pPr>
            <w:r>
              <w:t>1×(18.27×9.25)</w:t>
            </w:r>
          </w:p>
        </w:tc>
        <w:tc>
          <w:p w14:paraId="46412B78">
            <w:pPr>
              <w:pStyle w:val="24"/>
              <w:jc w:val="left"/>
            </w:pPr>
            <w:r>
              <w:t>0.20</w:t>
            </w:r>
          </w:p>
        </w:tc>
      </w:tr>
      <w:tr w14:paraId="0AE52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7ED21">
            <w:pPr>
              <w:pStyle w:val="24"/>
              <w:jc w:val="left"/>
            </w:pPr>
            <w:r>
              <w:t>2×12</w:t>
            </w:r>
          </w:p>
        </w:tc>
        <w:tc>
          <w:p w14:paraId="571F83FB">
            <w:pPr>
              <w:pStyle w:val="24"/>
              <w:jc w:val="left"/>
            </w:pPr>
            <w:r>
              <w:t>1×(31.70×17.50)</w:t>
            </w:r>
          </w:p>
        </w:tc>
        <w:tc>
          <w:p w14:paraId="4B6F3B7A">
            <w:pPr>
              <w:pStyle w:val="24"/>
              <w:jc w:val="left"/>
            </w:pPr>
            <w:r>
              <w:t>0.24</w:t>
            </w:r>
          </w:p>
        </w:tc>
      </w:tr>
      <w:tr w14:paraId="4EE4B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FFFEE">
            <w:pPr>
              <w:pStyle w:val="24"/>
              <w:jc w:val="left"/>
            </w:pPr>
            <w:r>
              <w:t>1×15</w:t>
            </w:r>
          </w:p>
        </w:tc>
        <w:tc>
          <w:p w14:paraId="23BBFBF3">
            <w:pPr>
              <w:pStyle w:val="24"/>
              <w:jc w:val="left"/>
            </w:pPr>
            <w:r>
              <w:t>1×(18.27×9.25)</w:t>
            </w:r>
          </w:p>
        </w:tc>
        <w:tc>
          <w:p w14:paraId="328A2B84">
            <w:pPr>
              <w:pStyle w:val="24"/>
              <w:jc w:val="left"/>
            </w:pPr>
            <w:r>
              <w:t>0.20</w:t>
            </w:r>
          </w:p>
        </w:tc>
      </w:tr>
      <w:tr w14:paraId="0CA0A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7A26F">
            <w:pPr>
              <w:pStyle w:val="24"/>
              <w:jc w:val="left"/>
            </w:pPr>
            <w:r>
              <w:t>2×15</w:t>
            </w:r>
          </w:p>
        </w:tc>
        <w:tc>
          <w:p w14:paraId="60E0518A">
            <w:pPr>
              <w:pStyle w:val="24"/>
              <w:jc w:val="left"/>
            </w:pPr>
            <w:r>
              <w:t>1×(31.70×17.50)</w:t>
            </w:r>
          </w:p>
        </w:tc>
        <w:tc>
          <w:p w14:paraId="64891995">
            <w:pPr>
              <w:pStyle w:val="24"/>
              <w:jc w:val="left"/>
            </w:pPr>
            <w:r>
              <w:t>0.32</w:t>
            </w:r>
          </w:p>
        </w:tc>
      </w:tr>
      <w:tr w14:paraId="22636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45F0B">
            <w:pPr>
              <w:pStyle w:val="24"/>
              <w:jc w:val="left"/>
            </w:pPr>
            <w:r>
              <w:t>1×25</w:t>
            </w:r>
          </w:p>
        </w:tc>
        <w:tc>
          <w:p w14:paraId="7A51990F">
            <w:pPr>
              <w:pStyle w:val="24"/>
              <w:jc w:val="left"/>
            </w:pPr>
            <w:r>
              <w:t>1×(31.70×17.50)</w:t>
            </w:r>
          </w:p>
        </w:tc>
        <w:tc>
          <w:p w14:paraId="62F8D862">
            <w:pPr>
              <w:pStyle w:val="24"/>
              <w:jc w:val="left"/>
            </w:pPr>
            <w:r>
              <w:t>0.32</w:t>
            </w:r>
          </w:p>
        </w:tc>
      </w:tr>
      <w:tr w14:paraId="3C8FE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52445">
            <w:pPr>
              <w:pStyle w:val="24"/>
              <w:jc w:val="left"/>
            </w:pPr>
            <w:r>
              <w:t>2×25</w:t>
            </w:r>
          </w:p>
        </w:tc>
        <w:tc>
          <w:p w14:paraId="2288FCD1">
            <w:pPr>
              <w:pStyle w:val="24"/>
              <w:jc w:val="left"/>
            </w:pPr>
            <w:r>
              <w:t>2×(31.70×17.50)</w:t>
            </w:r>
          </w:p>
        </w:tc>
        <w:tc>
          <w:p w14:paraId="422C1A41">
            <w:pPr>
              <w:pStyle w:val="24"/>
              <w:jc w:val="left"/>
            </w:pPr>
            <w:r>
              <w:t>0.40</w:t>
            </w:r>
          </w:p>
        </w:tc>
      </w:tr>
    </w:tbl>
    <w:p w14:paraId="3CF5FDCE">
      <w:pPr>
        <w:pStyle w:val="13"/>
      </w:pPr>
      <w:r>
        <w:rPr>
          <w:rFonts w:hint="eastAsia"/>
        </w:rPr>
        <w:t>注：机械通风冷却塔的尺寸是指池最外边缘之间的尺寸。</w:t>
      </w:r>
    </w:p>
    <w:p w14:paraId="23EBD75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7C5DA1D">
      <w:pPr>
        <w:pStyle w:val="5"/>
      </w:pPr>
      <w:bookmarkStart w:id="6" w:name="表6.1.3-3-燃料设施区建设用地单项指标hm²"/>
      <w:r>
        <w:rPr>
          <w:rFonts w:hint="eastAsia"/>
        </w:rPr>
        <w:t>表6.1.3-3</w:t>
      </w:r>
      <w:r>
        <w:t xml:space="preserve"> </w:t>
      </w:r>
      <w:r>
        <w:rPr>
          <w:rFonts w:hint="eastAsia"/>
        </w:rPr>
        <w:t>燃料设施区建设用地单项指标（hm²）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3096"/>
        <w:gridCol w:w="3096"/>
      </w:tblGrid>
      <w:tr w14:paraId="59ECA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0C8856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42C1FF6F">
            <w:pPr>
              <w:pStyle w:val="24"/>
              <w:jc w:val="left"/>
            </w:pPr>
            <w:r>
              <w:rPr>
                <w:rFonts w:hint="eastAsia"/>
              </w:rPr>
              <w:t>黄色秸秆燃料设施单项用地</w:t>
            </w:r>
          </w:p>
        </w:tc>
        <w:tc>
          <w:p w14:paraId="3CEF502E">
            <w:pPr>
              <w:pStyle w:val="24"/>
              <w:jc w:val="left"/>
            </w:pPr>
            <w:r>
              <w:rPr>
                <w:rFonts w:hint="eastAsia"/>
              </w:rPr>
              <w:t>灰色秸秆燃料设施单项用地</w:t>
            </w:r>
          </w:p>
        </w:tc>
      </w:tr>
      <w:tr w14:paraId="20DFC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08863">
            <w:pPr>
              <w:pStyle w:val="24"/>
              <w:jc w:val="left"/>
            </w:pPr>
            <w:r>
              <w:t>1×12</w:t>
            </w:r>
          </w:p>
        </w:tc>
        <w:tc>
          <w:p w14:paraId="2BDF48AA">
            <w:pPr>
              <w:pStyle w:val="24"/>
              <w:jc w:val="left"/>
            </w:pPr>
            <w:r>
              <w:t>1.53</w:t>
            </w:r>
          </w:p>
        </w:tc>
        <w:tc>
          <w:p w14:paraId="370C46D1">
            <w:pPr>
              <w:pStyle w:val="24"/>
              <w:jc w:val="left"/>
            </w:pPr>
            <w:r>
              <w:t>1.79</w:t>
            </w:r>
          </w:p>
        </w:tc>
      </w:tr>
      <w:tr w14:paraId="4E698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23658">
            <w:pPr>
              <w:pStyle w:val="24"/>
              <w:jc w:val="left"/>
            </w:pPr>
            <w:r>
              <w:t>2×12</w:t>
            </w:r>
          </w:p>
        </w:tc>
        <w:tc>
          <w:p w14:paraId="670827F8">
            <w:pPr>
              <w:pStyle w:val="24"/>
              <w:jc w:val="left"/>
            </w:pPr>
            <w:r>
              <w:t>2.20</w:t>
            </w:r>
          </w:p>
        </w:tc>
        <w:tc>
          <w:p w14:paraId="0C8231C4">
            <w:pPr>
              <w:pStyle w:val="24"/>
              <w:jc w:val="left"/>
            </w:pPr>
            <w:r>
              <w:t>2.64</w:t>
            </w:r>
          </w:p>
        </w:tc>
      </w:tr>
      <w:tr w14:paraId="70E4E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9A790">
            <w:pPr>
              <w:pStyle w:val="24"/>
              <w:jc w:val="left"/>
            </w:pPr>
            <w:r>
              <w:t>1×15</w:t>
            </w:r>
          </w:p>
        </w:tc>
        <w:tc>
          <w:p w14:paraId="702FF7C6">
            <w:pPr>
              <w:pStyle w:val="24"/>
              <w:jc w:val="left"/>
            </w:pPr>
            <w:r>
              <w:t>1.69</w:t>
            </w:r>
          </w:p>
        </w:tc>
        <w:tc>
          <w:p w14:paraId="711540FD">
            <w:pPr>
              <w:pStyle w:val="24"/>
              <w:jc w:val="left"/>
            </w:pPr>
            <w:r>
              <w:t>1.79</w:t>
            </w:r>
          </w:p>
        </w:tc>
      </w:tr>
      <w:tr w14:paraId="14E6C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8BB4F">
            <w:pPr>
              <w:pStyle w:val="24"/>
              <w:jc w:val="left"/>
            </w:pPr>
            <w:r>
              <w:t>2×15</w:t>
            </w:r>
          </w:p>
        </w:tc>
        <w:tc>
          <w:p w14:paraId="26612B08">
            <w:pPr>
              <w:pStyle w:val="24"/>
              <w:jc w:val="left"/>
            </w:pPr>
            <w:r>
              <w:t>2.32</w:t>
            </w:r>
          </w:p>
        </w:tc>
        <w:tc>
          <w:p w14:paraId="3E77965D">
            <w:pPr>
              <w:pStyle w:val="24"/>
              <w:jc w:val="left"/>
            </w:pPr>
            <w:r>
              <w:t>3.31</w:t>
            </w:r>
          </w:p>
        </w:tc>
      </w:tr>
      <w:tr w14:paraId="5542E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F4798">
            <w:pPr>
              <w:pStyle w:val="24"/>
              <w:jc w:val="left"/>
            </w:pPr>
            <w:r>
              <w:t>1×25</w:t>
            </w:r>
          </w:p>
        </w:tc>
        <w:tc>
          <w:p w14:paraId="3CBCBB56">
            <w:pPr>
              <w:pStyle w:val="24"/>
              <w:jc w:val="left"/>
            </w:pPr>
            <w:r>
              <w:t>2.61</w:t>
            </w:r>
          </w:p>
        </w:tc>
        <w:tc>
          <w:p w14:paraId="6768E237">
            <w:pPr>
              <w:pStyle w:val="24"/>
              <w:jc w:val="left"/>
            </w:pPr>
            <w:r>
              <w:t>3.61</w:t>
            </w:r>
          </w:p>
        </w:tc>
      </w:tr>
      <w:tr w14:paraId="77631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49B8E">
            <w:pPr>
              <w:pStyle w:val="24"/>
              <w:jc w:val="left"/>
            </w:pPr>
            <w:r>
              <w:t>2×25</w:t>
            </w:r>
          </w:p>
        </w:tc>
        <w:tc>
          <w:p w14:paraId="24D82CCF">
            <w:pPr>
              <w:pStyle w:val="24"/>
              <w:jc w:val="left"/>
            </w:pPr>
            <w:r>
              <w:t>4.75</w:t>
            </w:r>
          </w:p>
        </w:tc>
        <w:tc>
          <w:p w14:paraId="1EBF04A4">
            <w:pPr>
              <w:pStyle w:val="24"/>
              <w:jc w:val="left"/>
            </w:pPr>
            <w:r>
              <w:t>7.44</w:t>
            </w:r>
          </w:p>
        </w:tc>
      </w:tr>
    </w:tbl>
    <w:p w14:paraId="1948A677">
      <w:pPr>
        <w:pStyle w:val="13"/>
      </w:pPr>
      <w:r>
        <w:rPr>
          <w:rFonts w:hint="eastAsia"/>
        </w:rPr>
        <w:t>注：灰色秸秆用地包含部分燃料输送栈桥用地。</w:t>
      </w:r>
    </w:p>
    <w:p w14:paraId="1DA7DCA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84374F5">
      <w:pPr>
        <w:pStyle w:val="5"/>
      </w:pPr>
      <w:bookmarkStart w:id="7" w:name="表6.1.3-4-化学水处理设施区建设用地单项指标"/>
      <w:r>
        <w:rPr>
          <w:rFonts w:hint="eastAsia"/>
        </w:rPr>
        <w:t>表6.1.3-4</w:t>
      </w:r>
      <w:r>
        <w:t xml:space="preserve"> </w:t>
      </w:r>
      <w:r>
        <w:rPr>
          <w:rFonts w:hint="eastAsia"/>
        </w:rPr>
        <w:t>化学水处理设施区建设用地单项指标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52B6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2D3054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2376EF42">
            <w:pPr>
              <w:pStyle w:val="24"/>
              <w:jc w:val="left"/>
            </w:pPr>
            <w:r>
              <w:rPr>
                <w:rFonts w:hint="eastAsia"/>
              </w:rPr>
              <w:t>技术条件</w:t>
            </w:r>
          </w:p>
        </w:tc>
        <w:tc>
          <w:p w14:paraId="690F166E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22608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6D984">
            <w:pPr>
              <w:pStyle w:val="24"/>
              <w:jc w:val="left"/>
            </w:pPr>
            <w:r>
              <w:t>1×12</w:t>
            </w:r>
          </w:p>
        </w:tc>
        <w:tc>
          <w:p w14:paraId="50643BE3">
            <w:pPr>
              <w:pStyle w:val="24"/>
              <w:jc w:val="left"/>
            </w:pPr>
            <w:r>
              <w:rPr>
                <w:rFonts w:hint="eastAsia"/>
              </w:rPr>
              <w:t>化学水处理：两级反渗透加全膜法，循环水加酸、加阻垢剂、加氯或两级反渗透加混床</w:t>
            </w:r>
          </w:p>
        </w:tc>
        <w:tc>
          <w:p w14:paraId="1B0AA7D4">
            <w:pPr>
              <w:pStyle w:val="24"/>
              <w:jc w:val="left"/>
            </w:pPr>
            <w:r>
              <w:t>—</w:t>
            </w:r>
          </w:p>
        </w:tc>
      </w:tr>
      <w:tr w14:paraId="55389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C8013">
            <w:pPr>
              <w:pStyle w:val="24"/>
              <w:jc w:val="left"/>
            </w:pPr>
            <w:r>
              <w:t>2×12</w:t>
            </w:r>
          </w:p>
        </w:tc>
        <w:tc>
          <w:p w14:paraId="1F0B7F1D">
            <w:pPr>
              <w:pStyle w:val="24"/>
            </w:pPr>
          </w:p>
        </w:tc>
        <w:tc>
          <w:p w14:paraId="3FE09C53">
            <w:pPr>
              <w:pStyle w:val="24"/>
              <w:jc w:val="left"/>
            </w:pPr>
            <w:r>
              <w:t>0.35</w:t>
            </w:r>
          </w:p>
        </w:tc>
      </w:tr>
      <w:tr w14:paraId="53AA7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795F3">
            <w:pPr>
              <w:pStyle w:val="24"/>
              <w:jc w:val="left"/>
            </w:pPr>
            <w:r>
              <w:t>1×15</w:t>
            </w:r>
          </w:p>
        </w:tc>
        <w:tc>
          <w:p w14:paraId="6E1AEFD5">
            <w:pPr>
              <w:pStyle w:val="24"/>
            </w:pPr>
          </w:p>
        </w:tc>
        <w:tc>
          <w:p w14:paraId="10F5DEE7">
            <w:pPr>
              <w:pStyle w:val="24"/>
              <w:jc w:val="left"/>
            </w:pPr>
            <w:r>
              <w:t>—</w:t>
            </w:r>
          </w:p>
        </w:tc>
      </w:tr>
      <w:tr w14:paraId="31929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139D0">
            <w:pPr>
              <w:pStyle w:val="24"/>
              <w:jc w:val="left"/>
            </w:pPr>
            <w:r>
              <w:t>2×15</w:t>
            </w:r>
          </w:p>
        </w:tc>
        <w:tc>
          <w:p w14:paraId="110744C7">
            <w:pPr>
              <w:pStyle w:val="24"/>
            </w:pPr>
          </w:p>
        </w:tc>
        <w:tc>
          <w:p w14:paraId="3A7851F1">
            <w:pPr>
              <w:pStyle w:val="24"/>
              <w:jc w:val="left"/>
            </w:pPr>
            <w:r>
              <w:t>0.35</w:t>
            </w:r>
          </w:p>
        </w:tc>
      </w:tr>
      <w:tr w14:paraId="6CA01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A620F">
            <w:pPr>
              <w:pStyle w:val="24"/>
              <w:jc w:val="left"/>
            </w:pPr>
            <w:r>
              <w:t>1×25</w:t>
            </w:r>
          </w:p>
        </w:tc>
        <w:tc>
          <w:p w14:paraId="70A7B8CE">
            <w:pPr>
              <w:pStyle w:val="24"/>
            </w:pPr>
          </w:p>
        </w:tc>
        <w:tc>
          <w:p w14:paraId="14B18A78">
            <w:pPr>
              <w:pStyle w:val="24"/>
              <w:jc w:val="left"/>
            </w:pPr>
            <w:r>
              <w:t>0.40</w:t>
            </w:r>
          </w:p>
        </w:tc>
      </w:tr>
    </w:tbl>
    <w:p w14:paraId="327B3155">
      <w:pPr>
        <w:pStyle w:val="13"/>
      </w:pPr>
      <w:r>
        <w:rPr>
          <w:rFonts w:hint="eastAsia"/>
        </w:rPr>
        <w:t>注：1×12MW机组和1×15MW机组化学水处理设施布置在主厂房区域。</w:t>
      </w:r>
    </w:p>
    <w:p w14:paraId="2A30608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12CA147">
      <w:pPr>
        <w:pStyle w:val="5"/>
      </w:pPr>
      <w:bookmarkStart w:id="8" w:name="表6.1.3-5-工业生活消防水设施区建设用地单项指标"/>
      <w:r>
        <w:rPr>
          <w:rFonts w:hint="eastAsia"/>
        </w:rPr>
        <w:t>表6.1.3-5</w:t>
      </w:r>
      <w:r>
        <w:t xml:space="preserve"> </w:t>
      </w:r>
      <w:r>
        <w:rPr>
          <w:rFonts w:hint="eastAsia"/>
        </w:rPr>
        <w:t>工业、生活、消防水设施区建设用地单项指标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5274"/>
        <w:gridCol w:w="1797"/>
      </w:tblGrid>
      <w:tr w14:paraId="1F014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877E8B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6DF555CB">
            <w:pPr>
              <w:pStyle w:val="24"/>
              <w:jc w:val="left"/>
            </w:pPr>
            <w:r>
              <w:rPr>
                <w:rFonts w:hint="eastAsia"/>
              </w:rPr>
              <w:t>技术条件</w:t>
            </w:r>
          </w:p>
        </w:tc>
        <w:tc>
          <w:p w14:paraId="0EB096BA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6579B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AE7B9">
            <w:pPr>
              <w:pStyle w:val="24"/>
              <w:jc w:val="left"/>
            </w:pPr>
            <w:r>
              <w:t>1×12</w:t>
            </w:r>
          </w:p>
        </w:tc>
        <w:tc>
          <w:p w14:paraId="6AAEEBE6">
            <w:pPr>
              <w:pStyle w:val="24"/>
              <w:jc w:val="left"/>
            </w:pPr>
            <w:r>
              <w:rPr>
                <w:rFonts w:hint="eastAsia"/>
              </w:rPr>
              <w:t>水工设施：常规水泵房、水池及贮水箱、水预处理</w:t>
            </w:r>
          </w:p>
        </w:tc>
        <w:tc>
          <w:p w14:paraId="493E9C90">
            <w:pPr>
              <w:pStyle w:val="24"/>
              <w:jc w:val="left"/>
            </w:pPr>
            <w:r>
              <w:t>0.30</w:t>
            </w:r>
          </w:p>
        </w:tc>
      </w:tr>
      <w:tr w14:paraId="4BD9F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BB40A">
            <w:pPr>
              <w:pStyle w:val="24"/>
              <w:jc w:val="left"/>
            </w:pPr>
            <w:r>
              <w:t>2×12</w:t>
            </w:r>
          </w:p>
        </w:tc>
        <w:tc>
          <w:p w14:paraId="42B5838C">
            <w:pPr>
              <w:pStyle w:val="24"/>
            </w:pPr>
          </w:p>
        </w:tc>
        <w:tc>
          <w:p w14:paraId="085F7BE0">
            <w:pPr>
              <w:pStyle w:val="24"/>
              <w:jc w:val="left"/>
            </w:pPr>
            <w:r>
              <w:t>0.35</w:t>
            </w:r>
          </w:p>
        </w:tc>
      </w:tr>
      <w:tr w14:paraId="01077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319AD">
            <w:pPr>
              <w:pStyle w:val="24"/>
              <w:jc w:val="left"/>
            </w:pPr>
            <w:r>
              <w:t>1×15</w:t>
            </w:r>
          </w:p>
        </w:tc>
        <w:tc>
          <w:p w14:paraId="3203CFC3">
            <w:pPr>
              <w:pStyle w:val="24"/>
            </w:pPr>
          </w:p>
        </w:tc>
        <w:tc>
          <w:p w14:paraId="4E716A0F">
            <w:pPr>
              <w:pStyle w:val="24"/>
              <w:jc w:val="left"/>
            </w:pPr>
            <w:r>
              <w:t>0.30</w:t>
            </w:r>
          </w:p>
        </w:tc>
      </w:tr>
      <w:tr w14:paraId="4F089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C1695">
            <w:pPr>
              <w:pStyle w:val="24"/>
              <w:jc w:val="left"/>
            </w:pPr>
            <w:r>
              <w:t>2×15</w:t>
            </w:r>
          </w:p>
        </w:tc>
        <w:tc>
          <w:p w14:paraId="71DD7D93">
            <w:pPr>
              <w:pStyle w:val="24"/>
            </w:pPr>
          </w:p>
        </w:tc>
        <w:tc>
          <w:p w14:paraId="6772BA75">
            <w:pPr>
              <w:pStyle w:val="24"/>
              <w:jc w:val="left"/>
            </w:pPr>
            <w:r>
              <w:t>0.35</w:t>
            </w:r>
          </w:p>
        </w:tc>
      </w:tr>
      <w:tr w14:paraId="1F993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D822E">
            <w:pPr>
              <w:pStyle w:val="24"/>
              <w:jc w:val="left"/>
            </w:pPr>
            <w:r>
              <w:t>1×25</w:t>
            </w:r>
          </w:p>
        </w:tc>
        <w:tc>
          <w:p w14:paraId="7934ED01">
            <w:pPr>
              <w:pStyle w:val="24"/>
            </w:pPr>
          </w:p>
        </w:tc>
        <w:tc>
          <w:p w14:paraId="355B32A6">
            <w:pPr>
              <w:pStyle w:val="24"/>
              <w:jc w:val="left"/>
            </w:pPr>
            <w:r>
              <w:t>0.35</w:t>
            </w:r>
          </w:p>
        </w:tc>
      </w:tr>
      <w:tr w14:paraId="0CC31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847B0">
            <w:pPr>
              <w:pStyle w:val="24"/>
              <w:jc w:val="left"/>
            </w:pPr>
            <w:r>
              <w:t>2×25</w:t>
            </w:r>
          </w:p>
        </w:tc>
        <w:tc>
          <w:p w14:paraId="6B5520B1">
            <w:pPr>
              <w:pStyle w:val="24"/>
            </w:pPr>
          </w:p>
        </w:tc>
        <w:tc>
          <w:p w14:paraId="3615E69E">
            <w:pPr>
              <w:pStyle w:val="24"/>
              <w:jc w:val="left"/>
            </w:pPr>
            <w:r>
              <w:t>0.40</w:t>
            </w:r>
          </w:p>
        </w:tc>
      </w:tr>
    </w:tbl>
    <w:p w14:paraId="16218A2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283C669">
      <w:pPr>
        <w:pStyle w:val="5"/>
      </w:pPr>
      <w:bookmarkStart w:id="9" w:name="表6.1.3-6-废污水排水处理区建设用地单项指标"/>
      <w:r>
        <w:rPr>
          <w:rFonts w:hint="eastAsia"/>
        </w:rPr>
        <w:t>表6.1.3-6</w:t>
      </w:r>
      <w:r>
        <w:t xml:space="preserve"> </w:t>
      </w:r>
      <w:r>
        <w:rPr>
          <w:rFonts w:hint="eastAsia"/>
        </w:rPr>
        <w:t>废污水、排水处理区建设用地单项指标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4AD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058EBD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3DBCD53B">
            <w:pPr>
              <w:pStyle w:val="24"/>
              <w:jc w:val="left"/>
            </w:pPr>
            <w:r>
              <w:rPr>
                <w:rFonts w:hint="eastAsia"/>
              </w:rPr>
              <w:t>技术条件</w:t>
            </w:r>
          </w:p>
        </w:tc>
        <w:tc>
          <w:p w14:paraId="04A5A5F3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72345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E93ED">
            <w:pPr>
              <w:pStyle w:val="24"/>
              <w:jc w:val="left"/>
            </w:pPr>
            <w:r>
              <w:t>1×12</w:t>
            </w:r>
          </w:p>
        </w:tc>
        <w:tc>
          <w:p w14:paraId="3F06636D">
            <w:pPr>
              <w:pStyle w:val="24"/>
              <w:jc w:val="left"/>
            </w:pPr>
            <w:r>
              <w:rPr>
                <w:rFonts w:hint="eastAsia"/>
              </w:rPr>
              <w:t>废污水处理、生活污水采用生物处理</w:t>
            </w:r>
          </w:p>
        </w:tc>
        <w:tc>
          <w:p w14:paraId="426EBF15">
            <w:pPr>
              <w:pStyle w:val="24"/>
              <w:jc w:val="left"/>
            </w:pPr>
            <w:r>
              <w:t>0.20</w:t>
            </w:r>
          </w:p>
        </w:tc>
      </w:tr>
      <w:tr w14:paraId="60E01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FF0C3">
            <w:pPr>
              <w:pStyle w:val="24"/>
              <w:jc w:val="left"/>
            </w:pPr>
            <w:r>
              <w:t>2×12</w:t>
            </w:r>
          </w:p>
        </w:tc>
        <w:tc>
          <w:p w14:paraId="13F0CEDE">
            <w:pPr>
              <w:pStyle w:val="24"/>
            </w:pPr>
          </w:p>
        </w:tc>
        <w:tc>
          <w:p w14:paraId="5171F03B">
            <w:pPr>
              <w:pStyle w:val="24"/>
              <w:jc w:val="left"/>
            </w:pPr>
            <w:r>
              <w:t>0.25</w:t>
            </w:r>
          </w:p>
        </w:tc>
      </w:tr>
      <w:tr w14:paraId="23B20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3D4D8">
            <w:pPr>
              <w:pStyle w:val="24"/>
              <w:jc w:val="left"/>
            </w:pPr>
            <w:r>
              <w:t>1×15</w:t>
            </w:r>
          </w:p>
        </w:tc>
        <w:tc>
          <w:p w14:paraId="7BADAFB3">
            <w:pPr>
              <w:pStyle w:val="24"/>
            </w:pPr>
          </w:p>
        </w:tc>
        <w:tc>
          <w:p w14:paraId="0DFBA485">
            <w:pPr>
              <w:pStyle w:val="24"/>
              <w:jc w:val="left"/>
            </w:pPr>
            <w:r>
              <w:t>0.20</w:t>
            </w:r>
          </w:p>
        </w:tc>
      </w:tr>
      <w:tr w14:paraId="5846E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67549">
            <w:pPr>
              <w:pStyle w:val="24"/>
              <w:jc w:val="left"/>
            </w:pPr>
            <w:r>
              <w:t>2×15</w:t>
            </w:r>
          </w:p>
        </w:tc>
        <w:tc>
          <w:p w14:paraId="1F24D2B7">
            <w:pPr>
              <w:pStyle w:val="24"/>
            </w:pPr>
          </w:p>
        </w:tc>
        <w:tc>
          <w:p w14:paraId="7E0F718E">
            <w:pPr>
              <w:pStyle w:val="24"/>
              <w:jc w:val="left"/>
            </w:pPr>
            <w:r>
              <w:t>0.25</w:t>
            </w:r>
          </w:p>
        </w:tc>
      </w:tr>
      <w:tr w14:paraId="4E1F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F4A92">
            <w:pPr>
              <w:pStyle w:val="24"/>
              <w:jc w:val="left"/>
            </w:pPr>
            <w:r>
              <w:t>1×25</w:t>
            </w:r>
          </w:p>
        </w:tc>
        <w:tc>
          <w:p w14:paraId="559C900E">
            <w:pPr>
              <w:pStyle w:val="24"/>
            </w:pPr>
          </w:p>
        </w:tc>
        <w:tc>
          <w:p w14:paraId="6F6273BE">
            <w:pPr>
              <w:pStyle w:val="24"/>
              <w:jc w:val="left"/>
            </w:pPr>
            <w:r>
              <w:t>0.30</w:t>
            </w:r>
          </w:p>
        </w:tc>
      </w:tr>
    </w:tbl>
    <w:p w14:paraId="1AD72BD9">
      <w:pPr>
        <w:pStyle w:val="13"/>
      </w:pPr>
      <w:r>
        <w:rPr>
          <w:rFonts w:hint="eastAsia"/>
          <w:b/>
          <w:bCs/>
        </w:rPr>
        <w:t>辅助生产及附属建筑区建设用地单项指标</w:t>
      </w:r>
      <w:r>
        <w:rPr>
          <w:rFonts w:hint="eastAsia"/>
        </w:rPr>
        <w:t>为</w:t>
      </w:r>
      <w:r>
        <w:t xml:space="preserve"> </w:t>
      </w:r>
      <w:r>
        <w:rPr>
          <w:b/>
          <w:bCs/>
        </w:rPr>
        <w:t>0.25hm²</w:t>
      </w:r>
      <w:r>
        <w:rPr>
          <w:rFonts w:hint="eastAsia"/>
        </w:rPr>
        <w:t>（原文未给表号）。</w:t>
      </w:r>
      <w:r>
        <w:br w:type="textWrapping"/>
      </w:r>
      <w:r>
        <w:rPr>
          <w:rFonts w:hint="eastAsia"/>
          <w:b/>
          <w:bCs/>
        </w:rPr>
        <w:t>厂前建筑区建设用地单项指标</w:t>
      </w:r>
      <w:r>
        <w:rPr>
          <w:rFonts w:hint="eastAsia"/>
        </w:rPr>
        <w:t>为</w:t>
      </w:r>
      <w:r>
        <w:t xml:space="preserve"> </w:t>
      </w:r>
      <w:r>
        <w:rPr>
          <w:b/>
          <w:bCs/>
        </w:rPr>
        <w:t>0.30hm²</w:t>
      </w:r>
      <w:r>
        <w:rPr>
          <w:rFonts w:hint="eastAsia"/>
        </w:rPr>
        <w:t>（原文未给表号）。</w:t>
      </w:r>
    </w:p>
    <w:p w14:paraId="3EC09EB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40AAD41">
      <w:pPr>
        <w:pStyle w:val="5"/>
      </w:pPr>
      <w:bookmarkStart w:id="10" w:name="表6.1.4-秸秆发电厂厂区建设用地调整指标"/>
      <w:r>
        <w:rPr>
          <w:rFonts w:hint="eastAsia"/>
        </w:rPr>
        <w:t>表6.1.4</w:t>
      </w:r>
      <w:r>
        <w:t xml:space="preserve"> </w:t>
      </w:r>
      <w:r>
        <w:rPr>
          <w:rFonts w:hint="eastAsia"/>
        </w:rPr>
        <w:t>秸秆发电厂厂区建设用地调整指标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14:paraId="0E4CB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973442">
            <w:pPr>
              <w:pStyle w:val="24"/>
              <w:jc w:val="left"/>
            </w:pPr>
            <w:r>
              <w:rPr>
                <w:rFonts w:hint="eastAsia"/>
              </w:rPr>
              <w:t>调整项目</w:t>
            </w:r>
          </w:p>
        </w:tc>
        <w:tc>
          <w:p w14:paraId="3B9C2527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3D8C4579">
            <w:pPr>
              <w:pStyle w:val="24"/>
              <w:jc w:val="left"/>
            </w:pPr>
            <w:r>
              <w:t>1×12</w:t>
            </w:r>
          </w:p>
        </w:tc>
        <w:tc>
          <w:p w14:paraId="484DB7E1">
            <w:pPr>
              <w:pStyle w:val="24"/>
              <w:jc w:val="left"/>
            </w:pPr>
            <w:r>
              <w:t>2×12</w:t>
            </w:r>
          </w:p>
        </w:tc>
        <w:tc>
          <w:p w14:paraId="34A8E21D">
            <w:pPr>
              <w:pStyle w:val="24"/>
              <w:jc w:val="left"/>
            </w:pPr>
            <w:r>
              <w:t>1×15</w:t>
            </w:r>
          </w:p>
        </w:tc>
        <w:tc>
          <w:p w14:paraId="580CE233">
            <w:pPr>
              <w:pStyle w:val="24"/>
              <w:jc w:val="left"/>
            </w:pPr>
            <w:r>
              <w:t>2×15</w:t>
            </w:r>
          </w:p>
        </w:tc>
        <w:tc>
          <w:p w14:paraId="638C4AD9">
            <w:pPr>
              <w:pStyle w:val="24"/>
              <w:jc w:val="left"/>
            </w:pPr>
            <w:r>
              <w:t>1×25</w:t>
            </w:r>
          </w:p>
        </w:tc>
        <w:tc>
          <w:p w14:paraId="69414F06">
            <w:pPr>
              <w:pStyle w:val="24"/>
              <w:jc w:val="left"/>
            </w:pPr>
            <w:r>
              <w:t>2×25</w:t>
            </w:r>
          </w:p>
        </w:tc>
      </w:tr>
      <w:tr w14:paraId="110B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563DE">
            <w:pPr>
              <w:pStyle w:val="24"/>
              <w:jc w:val="left"/>
            </w:pPr>
            <w:r>
              <w:rPr>
                <w:rFonts w:hint="eastAsia"/>
              </w:rPr>
              <w:t>供水方式</w:t>
            </w:r>
          </w:p>
        </w:tc>
        <w:tc>
          <w:p w14:paraId="6F0667D8">
            <w:pPr>
              <w:pStyle w:val="24"/>
              <w:jc w:val="left"/>
            </w:pPr>
            <w:r>
              <w:rPr>
                <w:rFonts w:hint="eastAsia"/>
              </w:rPr>
              <w:t>自然通风冷却塔淋水面积(m²)</w:t>
            </w:r>
          </w:p>
        </w:tc>
        <w:tc>
          <w:p w14:paraId="2CB20CAC">
            <w:pPr>
              <w:pStyle w:val="24"/>
              <w:jc w:val="left"/>
            </w:pPr>
            <w:r>
              <w:t>600</w:t>
            </w:r>
          </w:p>
        </w:tc>
        <w:tc>
          <w:p w14:paraId="17DCA119">
            <w:pPr>
              <w:pStyle w:val="24"/>
              <w:jc w:val="left"/>
            </w:pPr>
            <w:r>
              <w:t>1200</w:t>
            </w:r>
          </w:p>
        </w:tc>
        <w:tc>
          <w:p w14:paraId="3E143479">
            <w:pPr>
              <w:pStyle w:val="24"/>
              <w:jc w:val="left"/>
            </w:pPr>
            <w:r>
              <w:t>600</w:t>
            </w:r>
          </w:p>
        </w:tc>
        <w:tc>
          <w:p w14:paraId="51603B20">
            <w:pPr>
              <w:pStyle w:val="24"/>
              <w:jc w:val="left"/>
            </w:pPr>
            <w:r>
              <w:t>1200</w:t>
            </w:r>
          </w:p>
        </w:tc>
        <w:tc>
          <w:p w14:paraId="2B2EE219">
            <w:pPr>
              <w:pStyle w:val="24"/>
              <w:jc w:val="left"/>
            </w:pPr>
            <w:r>
              <w:t>1200</w:t>
            </w:r>
          </w:p>
        </w:tc>
        <w:tc>
          <w:p w14:paraId="04EEA64D">
            <w:pPr>
              <w:pStyle w:val="24"/>
              <w:jc w:val="left"/>
            </w:pPr>
            <w:r>
              <w:t>—</w:t>
            </w:r>
          </w:p>
        </w:tc>
      </w:tr>
      <w:tr w14:paraId="71AEF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63BB4">
            <w:pPr>
              <w:pStyle w:val="24"/>
            </w:pPr>
          </w:p>
        </w:tc>
        <w:tc>
          <w:p w14:paraId="5E079447">
            <w:pPr>
              <w:pStyle w:val="24"/>
              <w:jc w:val="left"/>
            </w:pPr>
            <w:r>
              <w:rPr>
                <w:rFonts w:hint="eastAsia"/>
              </w:rPr>
              <w:t>数值(hm²)</w:t>
            </w:r>
          </w:p>
        </w:tc>
        <w:tc>
          <w:p w14:paraId="4C6FD544">
            <w:pPr>
              <w:pStyle w:val="24"/>
              <w:jc w:val="left"/>
            </w:pPr>
            <w:r>
              <w:t>+0.40</w:t>
            </w:r>
          </w:p>
        </w:tc>
        <w:tc>
          <w:p w14:paraId="09D62584">
            <w:pPr>
              <w:pStyle w:val="24"/>
              <w:jc w:val="left"/>
            </w:pPr>
            <w:r>
              <w:t>+0.56</w:t>
            </w:r>
          </w:p>
        </w:tc>
        <w:tc>
          <w:p w14:paraId="7FA4ACA0">
            <w:pPr>
              <w:pStyle w:val="24"/>
              <w:jc w:val="left"/>
            </w:pPr>
            <w:r>
              <w:t>+0.40</w:t>
            </w:r>
          </w:p>
        </w:tc>
        <w:tc>
          <w:p w14:paraId="2B18B244">
            <w:pPr>
              <w:pStyle w:val="24"/>
              <w:jc w:val="left"/>
            </w:pPr>
            <w:r>
              <w:t>+0.56</w:t>
            </w:r>
          </w:p>
        </w:tc>
        <w:tc>
          <w:p w14:paraId="1EC4A79B">
            <w:pPr>
              <w:pStyle w:val="24"/>
              <w:jc w:val="left"/>
            </w:pPr>
            <w:r>
              <w:t>+0.56</w:t>
            </w:r>
          </w:p>
        </w:tc>
        <w:tc>
          <w:p w14:paraId="37A20C81">
            <w:pPr>
              <w:pStyle w:val="24"/>
              <w:jc w:val="left"/>
            </w:pPr>
            <w:r>
              <w:t>—</w:t>
            </w:r>
          </w:p>
        </w:tc>
      </w:tr>
      <w:tr w14:paraId="74DEF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F6362">
            <w:pPr>
              <w:pStyle w:val="24"/>
              <w:jc w:val="left"/>
            </w:pPr>
            <w:r>
              <w:rPr>
                <w:rFonts w:hint="eastAsia"/>
              </w:rPr>
              <w:t>配电装置</w:t>
            </w:r>
          </w:p>
        </w:tc>
        <w:tc>
          <w:p w14:paraId="648112B1">
            <w:pPr>
              <w:pStyle w:val="24"/>
              <w:jc w:val="left"/>
            </w:pPr>
            <w:r>
              <w:rPr>
                <w:rFonts w:hint="eastAsia"/>
              </w:rPr>
              <w:t>直流循环(hm²)</w:t>
            </w:r>
          </w:p>
        </w:tc>
        <w:tc>
          <w:p w14:paraId="0C1F9FCB">
            <w:pPr>
              <w:pStyle w:val="24"/>
              <w:jc w:val="left"/>
            </w:pPr>
            <w:r>
              <w:t>-0.20</w:t>
            </w:r>
          </w:p>
        </w:tc>
        <w:tc>
          <w:p w14:paraId="7CB22F64">
            <w:pPr>
              <w:pStyle w:val="24"/>
              <w:jc w:val="left"/>
            </w:pPr>
            <w:r>
              <w:t>-0.24</w:t>
            </w:r>
          </w:p>
        </w:tc>
        <w:tc>
          <w:p w14:paraId="62F1C024">
            <w:pPr>
              <w:pStyle w:val="24"/>
              <w:jc w:val="left"/>
            </w:pPr>
            <w:r>
              <w:t>-0.20</w:t>
            </w:r>
          </w:p>
        </w:tc>
        <w:tc>
          <w:p w14:paraId="398553C6">
            <w:pPr>
              <w:pStyle w:val="24"/>
              <w:jc w:val="left"/>
            </w:pPr>
            <w:r>
              <w:t>-0.32</w:t>
            </w:r>
          </w:p>
        </w:tc>
        <w:tc>
          <w:p w14:paraId="1FEE3764">
            <w:pPr>
              <w:pStyle w:val="24"/>
              <w:jc w:val="left"/>
            </w:pPr>
            <w:r>
              <w:t>-0.32</w:t>
            </w:r>
          </w:p>
        </w:tc>
        <w:tc>
          <w:p w14:paraId="428CFA6C">
            <w:pPr>
              <w:pStyle w:val="24"/>
              <w:jc w:val="left"/>
            </w:pPr>
            <w:r>
              <w:t>-0.40</w:t>
            </w:r>
          </w:p>
        </w:tc>
      </w:tr>
      <w:tr w14:paraId="1B67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60015">
            <w:pPr>
              <w:pStyle w:val="24"/>
            </w:pPr>
          </w:p>
        </w:tc>
        <w:tc>
          <w:p w14:paraId="67740E56">
            <w:pPr>
              <w:pStyle w:val="24"/>
              <w:jc w:val="left"/>
            </w:pPr>
            <w:r>
              <w:rPr>
                <w:rFonts w:hint="eastAsia"/>
              </w:rPr>
              <w:t>66kV屋外配电装置(单母线)(hm²)</w:t>
            </w:r>
          </w:p>
        </w:tc>
        <w:tc>
          <w:p w14:paraId="44E150B2">
            <w:pPr>
              <w:pStyle w:val="24"/>
              <w:jc w:val="left"/>
            </w:pPr>
            <w:r>
              <w:t>+0.08</w:t>
            </w:r>
          </w:p>
        </w:tc>
        <w:tc>
          <w:p w14:paraId="583CAFB6">
            <w:pPr>
              <w:pStyle w:val="24"/>
              <w:jc w:val="left"/>
            </w:pPr>
            <w:r>
              <w:t>+0.08</w:t>
            </w:r>
          </w:p>
        </w:tc>
        <w:tc>
          <w:p w14:paraId="2F763B79">
            <w:pPr>
              <w:pStyle w:val="24"/>
              <w:jc w:val="left"/>
            </w:pPr>
            <w:r>
              <w:t>+0.08</w:t>
            </w:r>
          </w:p>
        </w:tc>
        <w:tc>
          <w:p w14:paraId="3E27F305">
            <w:pPr>
              <w:pStyle w:val="24"/>
              <w:jc w:val="left"/>
            </w:pPr>
            <w:r>
              <w:t>+0.08</w:t>
            </w:r>
          </w:p>
        </w:tc>
        <w:tc>
          <w:p w14:paraId="07DA5433">
            <w:pPr>
              <w:pStyle w:val="24"/>
              <w:jc w:val="left"/>
            </w:pPr>
            <w:r>
              <w:t>-0.08</w:t>
            </w:r>
          </w:p>
        </w:tc>
        <w:tc>
          <w:p w14:paraId="04692D2D">
            <w:pPr>
              <w:pStyle w:val="24"/>
              <w:jc w:val="left"/>
            </w:pPr>
            <w:r>
              <w:t>+0.08</w:t>
            </w:r>
          </w:p>
        </w:tc>
      </w:tr>
      <w:tr w14:paraId="3C754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C6700">
            <w:pPr>
              <w:pStyle w:val="24"/>
            </w:pPr>
          </w:p>
        </w:tc>
        <w:tc>
          <w:p w14:paraId="494D4E50">
            <w:pPr>
              <w:pStyle w:val="24"/>
              <w:jc w:val="left"/>
            </w:pPr>
            <w:r>
              <w:rPr>
                <w:rFonts w:hint="eastAsia"/>
              </w:rPr>
              <w:t>110kV出线增加1回(hm²)</w:t>
            </w:r>
          </w:p>
        </w:tc>
        <w:tc>
          <w:p w14:paraId="304F4004">
            <w:pPr>
              <w:pStyle w:val="24"/>
              <w:jc w:val="left"/>
            </w:pPr>
            <w:r>
              <w:t>—</w:t>
            </w:r>
          </w:p>
        </w:tc>
        <w:tc>
          <w:p w14:paraId="045EB567">
            <w:pPr>
              <w:pStyle w:val="24"/>
              <w:jc w:val="left"/>
            </w:pPr>
            <w:r>
              <w:t>—</w:t>
            </w:r>
          </w:p>
        </w:tc>
        <w:tc>
          <w:p w14:paraId="63426A39">
            <w:pPr>
              <w:pStyle w:val="24"/>
              <w:jc w:val="left"/>
            </w:pPr>
            <w:r>
              <w:t>—</w:t>
            </w:r>
          </w:p>
        </w:tc>
        <w:tc>
          <w:p w14:paraId="16A56A30">
            <w:pPr>
              <w:pStyle w:val="24"/>
              <w:jc w:val="left"/>
            </w:pPr>
            <w:r>
              <w:t>—</w:t>
            </w:r>
          </w:p>
        </w:tc>
        <w:tc>
          <w:p w14:paraId="778D2243">
            <w:pPr>
              <w:pStyle w:val="24"/>
              <w:jc w:val="left"/>
            </w:pPr>
            <w:r>
              <w:t>—</w:t>
            </w:r>
          </w:p>
        </w:tc>
        <w:tc>
          <w:p w14:paraId="11C29689">
            <w:pPr>
              <w:pStyle w:val="24"/>
              <w:jc w:val="left"/>
            </w:pPr>
            <w:r>
              <w:t>+0.10</w:t>
            </w:r>
          </w:p>
        </w:tc>
      </w:tr>
      <w:tr w14:paraId="58C62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EECC1">
            <w:pPr>
              <w:pStyle w:val="24"/>
              <w:jc w:val="left"/>
            </w:pPr>
            <w:r>
              <w:rPr>
                <w:rFonts w:hint="eastAsia"/>
              </w:rPr>
              <w:t>燃料设施</w:t>
            </w:r>
          </w:p>
        </w:tc>
        <w:tc>
          <w:p w14:paraId="22AF846C">
            <w:pPr>
              <w:pStyle w:val="24"/>
              <w:jc w:val="left"/>
            </w:pPr>
            <w:r>
              <w:rPr>
                <w:rFonts w:hint="eastAsia"/>
              </w:rPr>
              <w:t>黄色秸秆每增加1d(或减少1d)储量增加(或减少)用地(hm²)</w:t>
            </w:r>
          </w:p>
        </w:tc>
        <w:tc>
          <w:p w14:paraId="48541AC7">
            <w:pPr>
              <w:pStyle w:val="24"/>
              <w:jc w:val="left"/>
            </w:pPr>
            <w:r>
              <w:t>±0.06</w:t>
            </w:r>
          </w:p>
        </w:tc>
        <w:tc>
          <w:p w14:paraId="220D874A">
            <w:pPr>
              <w:pStyle w:val="24"/>
              <w:jc w:val="left"/>
            </w:pPr>
            <w:r>
              <w:t>±0.10</w:t>
            </w:r>
          </w:p>
        </w:tc>
        <w:tc>
          <w:p w14:paraId="00B7785E">
            <w:pPr>
              <w:pStyle w:val="24"/>
              <w:jc w:val="left"/>
            </w:pPr>
            <w:r>
              <w:t>±0.08</w:t>
            </w:r>
          </w:p>
        </w:tc>
        <w:tc>
          <w:p w14:paraId="7C925384">
            <w:pPr>
              <w:pStyle w:val="24"/>
              <w:jc w:val="left"/>
            </w:pPr>
            <w:r>
              <w:t>±0.12</w:t>
            </w:r>
          </w:p>
        </w:tc>
        <w:tc>
          <w:p w14:paraId="55C99221">
            <w:pPr>
              <w:pStyle w:val="24"/>
              <w:jc w:val="left"/>
            </w:pPr>
            <w:r>
              <w:t>±0.16</w:t>
            </w:r>
          </w:p>
        </w:tc>
        <w:tc>
          <w:p w14:paraId="57CFA8FD">
            <w:pPr>
              <w:pStyle w:val="24"/>
              <w:jc w:val="left"/>
            </w:pPr>
            <w:r>
              <w:t>±0.24</w:t>
            </w:r>
          </w:p>
        </w:tc>
      </w:tr>
      <w:tr w14:paraId="434E6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91A26">
            <w:pPr>
              <w:pStyle w:val="24"/>
            </w:pPr>
          </w:p>
        </w:tc>
        <w:tc>
          <w:p w14:paraId="126D30FC">
            <w:pPr>
              <w:pStyle w:val="24"/>
              <w:jc w:val="left"/>
            </w:pPr>
            <w:r>
              <w:rPr>
                <w:rFonts w:hint="eastAsia"/>
              </w:rPr>
              <w:t>灰色秸秆每增加1d(或减少1d)储量增加(或减少)用地(hm²)</w:t>
            </w:r>
          </w:p>
        </w:tc>
        <w:tc>
          <w:p w14:paraId="667AEF62">
            <w:pPr>
              <w:pStyle w:val="24"/>
              <w:jc w:val="left"/>
            </w:pPr>
            <w:r>
              <w:t>±0.06</w:t>
            </w:r>
          </w:p>
        </w:tc>
        <w:tc>
          <w:p w14:paraId="5E3F06C6">
            <w:pPr>
              <w:pStyle w:val="24"/>
              <w:jc w:val="left"/>
            </w:pPr>
            <w:r>
              <w:t>±0.12</w:t>
            </w:r>
          </w:p>
        </w:tc>
        <w:tc>
          <w:p w14:paraId="2181BF04">
            <w:pPr>
              <w:pStyle w:val="24"/>
              <w:jc w:val="left"/>
            </w:pPr>
            <w:r>
              <w:t>±0.07</w:t>
            </w:r>
          </w:p>
        </w:tc>
        <w:tc>
          <w:p w14:paraId="0457447E">
            <w:pPr>
              <w:pStyle w:val="24"/>
              <w:jc w:val="left"/>
            </w:pPr>
            <w:r>
              <w:t>±0.13</w:t>
            </w:r>
          </w:p>
        </w:tc>
        <w:tc>
          <w:p w14:paraId="37F34AAC">
            <w:pPr>
              <w:pStyle w:val="24"/>
              <w:jc w:val="left"/>
            </w:pPr>
            <w:r>
              <w:t>±0.22</w:t>
            </w:r>
          </w:p>
        </w:tc>
        <w:tc>
          <w:p w14:paraId="67EF6489">
            <w:pPr>
              <w:pStyle w:val="24"/>
              <w:jc w:val="left"/>
            </w:pPr>
            <w:r>
              <w:t>±0.33</w:t>
            </w:r>
          </w:p>
        </w:tc>
      </w:tr>
      <w:tr w14:paraId="5293B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49E98">
            <w:pPr>
              <w:pStyle w:val="24"/>
            </w:pPr>
          </w:p>
        </w:tc>
        <w:tc>
          <w:p w14:paraId="3F0208FD">
            <w:pPr>
              <w:pStyle w:val="24"/>
              <w:jc w:val="left"/>
            </w:pPr>
            <w:r>
              <w:rPr>
                <w:rFonts w:hint="eastAsia"/>
              </w:rPr>
              <w:t>设消防车库(hm²)</w:t>
            </w:r>
          </w:p>
        </w:tc>
        <w:tc>
          <w:p w14:paraId="2E13194B">
            <w:pPr>
              <w:pStyle w:val="24"/>
              <w:jc w:val="left"/>
            </w:pPr>
            <w:r>
              <w:t>+0.08</w:t>
            </w:r>
          </w:p>
        </w:tc>
        <w:tc>
          <w:p w14:paraId="1BA1FD3B">
            <w:pPr>
              <w:pStyle w:val="24"/>
              <w:jc w:val="left"/>
            </w:pPr>
            <w:r>
              <w:t>+0.08</w:t>
            </w:r>
          </w:p>
        </w:tc>
        <w:tc>
          <w:p w14:paraId="5ECA562B">
            <w:pPr>
              <w:pStyle w:val="24"/>
              <w:jc w:val="left"/>
            </w:pPr>
            <w:r>
              <w:t>+0.08</w:t>
            </w:r>
          </w:p>
        </w:tc>
        <w:tc>
          <w:p w14:paraId="346465BA">
            <w:pPr>
              <w:pStyle w:val="24"/>
              <w:jc w:val="left"/>
            </w:pPr>
            <w:r>
              <w:t>+0.08</w:t>
            </w:r>
          </w:p>
        </w:tc>
        <w:tc>
          <w:p w14:paraId="0339FCD0">
            <w:pPr>
              <w:pStyle w:val="24"/>
              <w:jc w:val="left"/>
            </w:pPr>
            <w:r>
              <w:t>-0.08</w:t>
            </w:r>
          </w:p>
        </w:tc>
        <w:tc>
          <w:p w14:paraId="5A9E92C8">
            <w:pPr>
              <w:pStyle w:val="24"/>
              <w:jc w:val="left"/>
            </w:pPr>
            <w:r>
              <w:t>+0.08</w:t>
            </w:r>
          </w:p>
        </w:tc>
      </w:tr>
      <w:tr w14:paraId="5B712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8E6CD">
            <w:pPr>
              <w:pStyle w:val="24"/>
            </w:pPr>
          </w:p>
        </w:tc>
        <w:tc>
          <w:p w14:paraId="27C08402">
            <w:pPr>
              <w:pStyle w:val="24"/>
              <w:jc w:val="left"/>
            </w:pPr>
            <w:r>
              <w:rPr>
                <w:rFonts w:hint="eastAsia"/>
              </w:rPr>
              <w:t>不设检修车间、材料库(hm²)</w:t>
            </w:r>
          </w:p>
        </w:tc>
        <w:tc>
          <w:p w14:paraId="435EECC0">
            <w:pPr>
              <w:pStyle w:val="24"/>
              <w:jc w:val="left"/>
            </w:pPr>
            <w:r>
              <w:t>-0.20</w:t>
            </w:r>
          </w:p>
        </w:tc>
        <w:tc>
          <w:p w14:paraId="2CBA26A2">
            <w:pPr>
              <w:pStyle w:val="24"/>
              <w:jc w:val="left"/>
            </w:pPr>
            <w:r>
              <w:t>-0.20</w:t>
            </w:r>
          </w:p>
        </w:tc>
        <w:tc>
          <w:p w14:paraId="00E08BA8">
            <w:pPr>
              <w:pStyle w:val="24"/>
              <w:jc w:val="left"/>
            </w:pPr>
            <w:r>
              <w:t>-0.20</w:t>
            </w:r>
          </w:p>
        </w:tc>
        <w:tc>
          <w:p w14:paraId="7C87E2D9">
            <w:pPr>
              <w:pStyle w:val="24"/>
              <w:jc w:val="left"/>
            </w:pPr>
            <w:r>
              <w:t>-0.20</w:t>
            </w:r>
          </w:p>
        </w:tc>
        <w:tc>
          <w:p w14:paraId="064405EA">
            <w:pPr>
              <w:pStyle w:val="24"/>
              <w:jc w:val="left"/>
            </w:pPr>
            <w:r>
              <w:t>0.20</w:t>
            </w:r>
          </w:p>
        </w:tc>
        <w:tc>
          <w:p w14:paraId="4807E827">
            <w:pPr>
              <w:pStyle w:val="24"/>
              <w:jc w:val="left"/>
            </w:pPr>
            <w:r>
              <w:t>-0.20</w:t>
            </w:r>
          </w:p>
        </w:tc>
      </w:tr>
    </w:tbl>
    <w:p w14:paraId="33867B52">
      <w:pPr>
        <w:pStyle w:val="13"/>
      </w:pPr>
      <w:r>
        <w:rPr>
          <w:rFonts w:hint="eastAsia"/>
        </w:rPr>
        <w:t>注：1.对于采暖地区、地形坡度较大地区、地震基本烈度7度以上地区、湿陷性黄土地区以及膨胀土地区等电厂用地可按1.05的系数进行调整。2.当燃料单堆储量超过5000t时，应在堆场周围增设消防道路，由此增加的堆场面积按审定的初步设计方案据实计列。</w:t>
      </w:r>
    </w:p>
    <w:p w14:paraId="2E11ABA3">
      <w:r>
        <w:br w:type="page"/>
      </w:r>
    </w:p>
    <w:bookmarkEnd w:id="1"/>
    <w:bookmarkEnd w:id="10"/>
    <w:p w14:paraId="461876C7">
      <w:pPr>
        <w:pStyle w:val="4"/>
        <w:jc w:val="center"/>
        <w:rPr>
          <w:rFonts w:hint="eastAsia"/>
          <w:color w:val="auto"/>
        </w:rPr>
      </w:pPr>
      <w:bookmarkStart w:id="11" w:name="第二节-垃圾发电厂厂区建设用地指标"/>
      <w:r>
        <w:rPr>
          <w:rFonts w:hint="eastAsia"/>
          <w:color w:val="auto"/>
        </w:rPr>
        <w:t>第二节 垃圾发电厂厂区建设用地指标</w:t>
      </w:r>
    </w:p>
    <w:p w14:paraId="03716356">
      <w:pPr>
        <w:pStyle w:val="5"/>
      </w:pPr>
      <w:bookmarkStart w:id="12" w:name="表6.2.1-垃圾发电厂厂区建设用地基本指标的技术条件"/>
      <w:r>
        <w:rPr>
          <w:rFonts w:hint="eastAsia"/>
        </w:rPr>
        <w:t>表6.2.1</w:t>
      </w:r>
      <w:r>
        <w:t xml:space="preserve"> </w:t>
      </w:r>
      <w:r>
        <w:rPr>
          <w:rFonts w:hint="eastAsia"/>
        </w:rPr>
        <w:t>垃圾发电厂厂区建设用地基本指标的技术条件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64CC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EF054F">
            <w:pPr>
              <w:pStyle w:val="24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p w14:paraId="58FD2068">
            <w:pPr>
              <w:pStyle w:val="24"/>
              <w:jc w:val="left"/>
            </w:pPr>
            <w:r>
              <w:rPr>
                <w:rFonts w:hint="eastAsia"/>
              </w:rPr>
              <w:t>项目名称</w:t>
            </w:r>
          </w:p>
        </w:tc>
        <w:tc>
          <w:p w14:paraId="492BBEA7">
            <w:pPr>
              <w:pStyle w:val="24"/>
              <w:jc w:val="left"/>
            </w:pPr>
            <w:r>
              <w:rPr>
                <w:rFonts w:hint="eastAsia"/>
              </w:rPr>
              <w:t>技术条件</w:t>
            </w:r>
          </w:p>
        </w:tc>
      </w:tr>
      <w:tr w14:paraId="65A81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6AFF6">
            <w:pPr>
              <w:pStyle w:val="24"/>
              <w:jc w:val="left"/>
            </w:pPr>
            <w:r>
              <w:t>1</w:t>
            </w:r>
          </w:p>
        </w:tc>
        <w:tc>
          <w:p w14:paraId="209DB1FD">
            <w:pPr>
              <w:pStyle w:val="24"/>
              <w:jc w:val="left"/>
            </w:pPr>
            <w:r>
              <w:rPr>
                <w:rFonts w:hint="eastAsia"/>
              </w:rPr>
              <w:t>装机容量</w:t>
            </w:r>
          </w:p>
        </w:tc>
        <w:tc>
          <w:p w14:paraId="41BFD4C5">
            <w:pPr>
              <w:pStyle w:val="24"/>
              <w:jc w:val="left"/>
            </w:pPr>
            <w:r>
              <w:rPr>
                <w:rFonts w:hint="eastAsia"/>
              </w:rPr>
              <w:t>2台凝汽或供热机组</w:t>
            </w:r>
          </w:p>
        </w:tc>
      </w:tr>
      <w:tr w14:paraId="3246D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68576C">
            <w:pPr>
              <w:pStyle w:val="24"/>
              <w:jc w:val="left"/>
            </w:pPr>
            <w:r>
              <w:t>2</w:t>
            </w:r>
          </w:p>
        </w:tc>
        <w:tc>
          <w:p w14:paraId="3160DB57">
            <w:pPr>
              <w:pStyle w:val="24"/>
              <w:jc w:val="left"/>
            </w:pPr>
            <w:r>
              <w:rPr>
                <w:rFonts w:hint="eastAsia"/>
              </w:rPr>
              <w:t>主厂房布置</w:t>
            </w:r>
          </w:p>
        </w:tc>
        <w:tc>
          <w:p w14:paraId="647809FD">
            <w:pPr>
              <w:pStyle w:val="24"/>
              <w:jc w:val="left"/>
            </w:pPr>
            <w:r>
              <w:rPr>
                <w:rFonts w:hint="eastAsia"/>
              </w:rPr>
              <w:t>卸垃圾平台—垃圾处理车间—锅炉房及除尘装置（汽机间、除氧间）侧面布置</w:t>
            </w:r>
          </w:p>
        </w:tc>
      </w:tr>
      <w:tr w14:paraId="7E1FE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99631">
            <w:pPr>
              <w:pStyle w:val="24"/>
              <w:jc w:val="left"/>
            </w:pPr>
            <w:r>
              <w:t>3</w:t>
            </w:r>
          </w:p>
        </w:tc>
        <w:tc>
          <w:p w14:paraId="48ACAE4F">
            <w:pPr>
              <w:pStyle w:val="24"/>
              <w:jc w:val="left"/>
            </w:pPr>
            <w:r>
              <w:rPr>
                <w:rFonts w:hint="eastAsia"/>
              </w:rPr>
              <w:t>配电装置</w:t>
            </w:r>
          </w:p>
        </w:tc>
        <w:tc>
          <w:p w14:paraId="4F3F9BBD">
            <w:pPr>
              <w:pStyle w:val="24"/>
              <w:jc w:val="left"/>
            </w:pPr>
            <w:r>
              <w:rPr>
                <w:rFonts w:hint="eastAsia"/>
              </w:rPr>
              <w:t>35kV屋内布置</w:t>
            </w:r>
          </w:p>
        </w:tc>
      </w:tr>
      <w:tr w14:paraId="6C1C5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0F444">
            <w:pPr>
              <w:pStyle w:val="24"/>
              <w:jc w:val="left"/>
            </w:pPr>
            <w:r>
              <w:t>4</w:t>
            </w:r>
          </w:p>
        </w:tc>
        <w:tc>
          <w:p w14:paraId="61B7B281">
            <w:pPr>
              <w:pStyle w:val="24"/>
              <w:jc w:val="left"/>
            </w:pPr>
            <w:r>
              <w:rPr>
                <w:rFonts w:hint="eastAsia"/>
              </w:rPr>
              <w:t>供水系统</w:t>
            </w:r>
          </w:p>
        </w:tc>
        <w:tc>
          <w:p w14:paraId="3B127BC1">
            <w:pPr>
              <w:pStyle w:val="24"/>
              <w:jc w:val="left"/>
            </w:pPr>
            <w:r>
              <w:rPr>
                <w:rFonts w:hint="eastAsia"/>
              </w:rPr>
              <w:t>二次循环冷却系统：机械通风冷却塔</w:t>
            </w:r>
          </w:p>
        </w:tc>
      </w:tr>
      <w:tr w14:paraId="2AD0F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9BD9C">
            <w:pPr>
              <w:pStyle w:val="24"/>
              <w:jc w:val="left"/>
            </w:pPr>
            <w:r>
              <w:t>5</w:t>
            </w:r>
          </w:p>
        </w:tc>
        <w:tc>
          <w:p w14:paraId="0CFFE411">
            <w:pPr>
              <w:pStyle w:val="24"/>
              <w:jc w:val="left"/>
            </w:pPr>
            <w:r>
              <w:rPr>
                <w:rFonts w:hint="eastAsia"/>
              </w:rPr>
              <w:t>燃料运卸</w:t>
            </w:r>
          </w:p>
        </w:tc>
        <w:tc>
          <w:p w14:paraId="2FBB17FB">
            <w:pPr>
              <w:pStyle w:val="24"/>
              <w:jc w:val="left"/>
            </w:pPr>
            <w:r>
              <w:rPr>
                <w:rFonts w:hint="eastAsia"/>
              </w:rPr>
              <w:t>汽车运输</w:t>
            </w:r>
          </w:p>
        </w:tc>
      </w:tr>
      <w:tr w14:paraId="2BF7E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D8667">
            <w:pPr>
              <w:pStyle w:val="24"/>
              <w:jc w:val="left"/>
            </w:pPr>
            <w:r>
              <w:t>6</w:t>
            </w:r>
          </w:p>
        </w:tc>
        <w:tc>
          <w:p w14:paraId="410B1695">
            <w:pPr>
              <w:pStyle w:val="24"/>
              <w:jc w:val="left"/>
            </w:pPr>
            <w:r>
              <w:rPr>
                <w:rFonts w:hint="eastAsia"/>
              </w:rPr>
              <w:t>除尘</w:t>
            </w:r>
          </w:p>
        </w:tc>
        <w:tc>
          <w:p w14:paraId="7C101554">
            <w:pPr>
              <w:pStyle w:val="24"/>
              <w:jc w:val="left"/>
            </w:pPr>
            <w:r>
              <w:rPr>
                <w:rFonts w:hint="eastAsia"/>
              </w:rPr>
              <w:t>布袋除尘器</w:t>
            </w:r>
          </w:p>
        </w:tc>
      </w:tr>
      <w:tr w14:paraId="2674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61358">
            <w:pPr>
              <w:pStyle w:val="24"/>
              <w:jc w:val="left"/>
            </w:pPr>
            <w:r>
              <w:t>7</w:t>
            </w:r>
          </w:p>
        </w:tc>
        <w:tc>
          <w:p w14:paraId="0C975282">
            <w:pPr>
              <w:pStyle w:val="24"/>
              <w:jc w:val="left"/>
            </w:pPr>
            <w:r>
              <w:rPr>
                <w:rFonts w:hint="eastAsia"/>
              </w:rPr>
              <w:t>除灰</w:t>
            </w:r>
          </w:p>
        </w:tc>
        <w:tc>
          <w:p w14:paraId="2B42EC8A">
            <w:pPr>
              <w:pStyle w:val="24"/>
              <w:jc w:val="left"/>
            </w:pPr>
            <w:r>
              <w:rPr>
                <w:rFonts w:hint="eastAsia"/>
              </w:rPr>
              <w:t>灰渣分除，干式除灰，灰渣汽车运输</w:t>
            </w:r>
          </w:p>
        </w:tc>
      </w:tr>
      <w:tr w14:paraId="7F263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5267B">
            <w:pPr>
              <w:pStyle w:val="24"/>
              <w:jc w:val="left"/>
            </w:pPr>
            <w:r>
              <w:t>8</w:t>
            </w:r>
          </w:p>
        </w:tc>
        <w:tc>
          <w:p w14:paraId="5357E82E">
            <w:pPr>
              <w:pStyle w:val="24"/>
              <w:jc w:val="left"/>
            </w:pPr>
            <w:r>
              <w:rPr>
                <w:rFonts w:hint="eastAsia"/>
              </w:rPr>
              <w:t>工业、生活、消防水</w:t>
            </w:r>
          </w:p>
        </w:tc>
        <w:tc>
          <w:p w14:paraId="3A3BBE85">
            <w:pPr>
              <w:pStyle w:val="24"/>
              <w:jc w:val="left"/>
            </w:pPr>
            <w:r>
              <w:rPr>
                <w:rFonts w:hint="eastAsia"/>
              </w:rPr>
              <w:t>常规水泵房、水池及贮水箱</w:t>
            </w:r>
          </w:p>
        </w:tc>
      </w:tr>
      <w:tr w14:paraId="7B585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07E12">
            <w:pPr>
              <w:pStyle w:val="24"/>
              <w:jc w:val="left"/>
            </w:pPr>
            <w:r>
              <w:t>9</w:t>
            </w:r>
          </w:p>
        </w:tc>
        <w:tc>
          <w:p w14:paraId="6F6E9F10">
            <w:pPr>
              <w:pStyle w:val="24"/>
              <w:jc w:val="left"/>
            </w:pPr>
            <w:r>
              <w:rPr>
                <w:rFonts w:hint="eastAsia"/>
              </w:rPr>
              <w:t>化学水处理</w:t>
            </w:r>
          </w:p>
        </w:tc>
        <w:tc>
          <w:p w14:paraId="409B1F26">
            <w:pPr>
              <w:pStyle w:val="24"/>
              <w:jc w:val="left"/>
            </w:pPr>
            <w:r>
              <w:rPr>
                <w:rFonts w:hint="eastAsia"/>
              </w:rPr>
              <w:t>膜法预脱盐加离子交换除盐或全离子交换</w:t>
            </w:r>
          </w:p>
        </w:tc>
      </w:tr>
      <w:tr w14:paraId="2139E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AF134">
            <w:pPr>
              <w:pStyle w:val="24"/>
              <w:jc w:val="left"/>
            </w:pPr>
            <w:r>
              <w:t>10</w:t>
            </w:r>
          </w:p>
        </w:tc>
        <w:tc>
          <w:p w14:paraId="1FCFC560">
            <w:pPr>
              <w:pStyle w:val="24"/>
              <w:jc w:val="left"/>
            </w:pPr>
            <w:r>
              <w:rPr>
                <w:rFonts w:hint="eastAsia"/>
              </w:rPr>
              <w:t>点火油区设施</w:t>
            </w:r>
          </w:p>
        </w:tc>
        <w:tc>
          <w:p w14:paraId="6896653E">
            <w:pPr>
              <w:pStyle w:val="24"/>
              <w:jc w:val="left"/>
            </w:pPr>
            <w:r>
              <w:rPr>
                <w:rFonts w:hint="eastAsia"/>
              </w:rPr>
              <w:t>贮油罐、油泵房、汽车卸油设施、油污水处理装置</w:t>
            </w:r>
          </w:p>
        </w:tc>
      </w:tr>
      <w:tr w14:paraId="3F136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BBEC6">
            <w:pPr>
              <w:pStyle w:val="24"/>
              <w:jc w:val="left"/>
            </w:pPr>
            <w:r>
              <w:t>11</w:t>
            </w:r>
          </w:p>
        </w:tc>
        <w:tc>
          <w:p w14:paraId="46A92F7B">
            <w:pPr>
              <w:pStyle w:val="24"/>
              <w:jc w:val="left"/>
            </w:pPr>
            <w:r>
              <w:rPr>
                <w:rFonts w:hint="eastAsia"/>
              </w:rPr>
              <w:t>污水处理</w:t>
            </w:r>
          </w:p>
        </w:tc>
        <w:tc>
          <w:p w14:paraId="6A4DAD9D">
            <w:pPr>
              <w:pStyle w:val="24"/>
              <w:jc w:val="left"/>
            </w:pPr>
            <w:r>
              <w:rPr>
                <w:rFonts w:hint="eastAsia"/>
              </w:rPr>
              <w:t>工业废水集中处理，生活污水采用生物处理</w:t>
            </w:r>
          </w:p>
        </w:tc>
      </w:tr>
      <w:tr w14:paraId="138AD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68DE1">
            <w:pPr>
              <w:pStyle w:val="24"/>
              <w:jc w:val="left"/>
            </w:pPr>
            <w:r>
              <w:t>12</w:t>
            </w:r>
          </w:p>
        </w:tc>
        <w:tc>
          <w:p w14:paraId="01B32F51">
            <w:pPr>
              <w:pStyle w:val="24"/>
              <w:jc w:val="left"/>
            </w:pPr>
            <w:r>
              <w:rPr>
                <w:rFonts w:hint="eastAsia"/>
              </w:rPr>
              <w:t>其他辅助、附属生产设施</w:t>
            </w:r>
          </w:p>
        </w:tc>
        <w:tc>
          <w:p w14:paraId="2CAFF39C">
            <w:pPr>
              <w:pStyle w:val="24"/>
              <w:jc w:val="left"/>
            </w:pPr>
            <w:r>
              <w:rPr>
                <w:rFonts w:hint="eastAsia"/>
              </w:rPr>
              <w:t>空压站、雨水泵房、检修维护间、材料库等</w:t>
            </w:r>
          </w:p>
        </w:tc>
      </w:tr>
      <w:tr w14:paraId="6CDB6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BE67E">
            <w:pPr>
              <w:pStyle w:val="24"/>
              <w:jc w:val="left"/>
            </w:pPr>
            <w:r>
              <w:t>13</w:t>
            </w:r>
          </w:p>
        </w:tc>
        <w:tc>
          <w:p w14:paraId="43BD44F3">
            <w:pPr>
              <w:pStyle w:val="24"/>
              <w:jc w:val="left"/>
            </w:pPr>
            <w:r>
              <w:rPr>
                <w:rFonts w:hint="eastAsia"/>
              </w:rPr>
              <w:t>厂前建筑</w:t>
            </w:r>
          </w:p>
        </w:tc>
        <w:tc>
          <w:p w14:paraId="6C1B9D09">
            <w:pPr>
              <w:pStyle w:val="24"/>
              <w:jc w:val="left"/>
            </w:pPr>
            <w:r>
              <w:rPr>
                <w:rFonts w:hint="eastAsia"/>
              </w:rPr>
              <w:t>生产行政办公楼、检修宿舍、夜班宿舍、招待所、职工食堂、浴室等</w:t>
            </w:r>
          </w:p>
        </w:tc>
      </w:tr>
    </w:tbl>
    <w:p w14:paraId="67D6A35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63637BA">
      <w:pPr>
        <w:pStyle w:val="5"/>
      </w:pPr>
      <w:bookmarkStart w:id="13" w:name="表6.2.2-垃圾发电厂厂区建设用地基本指标"/>
      <w:r>
        <w:rPr>
          <w:rFonts w:hint="eastAsia"/>
        </w:rPr>
        <w:t>表6.2.2</w:t>
      </w:r>
      <w:r>
        <w:t xml:space="preserve"> </w:t>
      </w:r>
      <w:r>
        <w:rPr>
          <w:rFonts w:hint="eastAsia"/>
        </w:rPr>
        <w:t>垃圾发电厂厂区建设用地基本指标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E582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E8A7DA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62C4C76C">
            <w:pPr>
              <w:pStyle w:val="24"/>
              <w:jc w:val="left"/>
            </w:pPr>
            <w:r>
              <w:rPr>
                <w:rFonts w:hint="eastAsia"/>
              </w:rPr>
              <w:t>厂区用地(hm²)</w:t>
            </w:r>
          </w:p>
        </w:tc>
        <w:tc>
          <w:p w14:paraId="43C7CB43">
            <w:pPr>
              <w:pStyle w:val="24"/>
              <w:jc w:val="left"/>
            </w:pPr>
            <w:r>
              <w:rPr>
                <w:rFonts w:hint="eastAsia"/>
              </w:rPr>
              <w:t>单位装机容量用地(m²/kW)</w:t>
            </w:r>
          </w:p>
        </w:tc>
      </w:tr>
      <w:tr w14:paraId="72086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D0143">
            <w:pPr>
              <w:pStyle w:val="24"/>
              <w:jc w:val="left"/>
            </w:pPr>
            <w:r>
              <w:t>2×6</w:t>
            </w:r>
          </w:p>
        </w:tc>
        <w:tc>
          <w:p w14:paraId="4F61CCD5">
            <w:pPr>
              <w:pStyle w:val="24"/>
              <w:jc w:val="left"/>
            </w:pPr>
            <w:r>
              <w:t>2.96</w:t>
            </w:r>
          </w:p>
        </w:tc>
        <w:tc>
          <w:p w14:paraId="5E8B9D59">
            <w:pPr>
              <w:pStyle w:val="24"/>
              <w:jc w:val="left"/>
            </w:pPr>
            <w:r>
              <w:t>2.46</w:t>
            </w:r>
          </w:p>
        </w:tc>
      </w:tr>
      <w:tr w14:paraId="1D1F9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E5D24">
            <w:pPr>
              <w:pStyle w:val="24"/>
              <w:jc w:val="left"/>
            </w:pPr>
            <w:r>
              <w:t>2×12</w:t>
            </w:r>
          </w:p>
        </w:tc>
        <w:tc>
          <w:p w14:paraId="1BA1D53E">
            <w:pPr>
              <w:pStyle w:val="24"/>
              <w:jc w:val="left"/>
            </w:pPr>
            <w:r>
              <w:t>3.45</w:t>
            </w:r>
          </w:p>
        </w:tc>
        <w:tc>
          <w:p w14:paraId="4A0A5EFA">
            <w:pPr>
              <w:pStyle w:val="24"/>
              <w:jc w:val="left"/>
            </w:pPr>
            <w:r>
              <w:t>1.44</w:t>
            </w:r>
          </w:p>
        </w:tc>
      </w:tr>
    </w:tbl>
    <w:p w14:paraId="5703755E">
      <w:pPr>
        <w:pStyle w:val="13"/>
      </w:pPr>
      <w:r>
        <w:rPr>
          <w:rFonts w:hint="eastAsia"/>
        </w:rPr>
        <w:t>注：1.本表是按照全部焚烧垃圾计算厂区用地面积。2.对于有掺煤混烧的垃圾发电厂，可根据审定的初步设计方案实际煤场的用地调整厂区用地指标；厂区内如设置临时堆渣场地，按审定的初步设计方案据实计列其用地面积。</w:t>
      </w:r>
    </w:p>
    <w:p w14:paraId="3B39A9D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7D5E1FB">
      <w:pPr>
        <w:pStyle w:val="5"/>
      </w:pPr>
      <w:bookmarkStart w:id="14" w:name="表6.2.3-垃圾发电厂厂区建设用地单项指标"/>
      <w:r>
        <w:rPr>
          <w:rFonts w:hint="eastAsia"/>
        </w:rPr>
        <w:t>表6.2.3</w:t>
      </w:r>
      <w:r>
        <w:t xml:space="preserve"> </w:t>
      </w:r>
      <w:r>
        <w:rPr>
          <w:rFonts w:hint="eastAsia"/>
        </w:rPr>
        <w:t>垃圾发电厂厂区建设用地单项指标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 w14:paraId="6DE3EEA2">
        <w:trPr>
          <w:tblHeader/>
        </w:trPr>
        <w:tc>
          <w:p w14:paraId="337E051C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1F9F1FDC">
            <w:pPr>
              <w:pStyle w:val="24"/>
              <w:jc w:val="left"/>
            </w:pPr>
            <w:r>
              <w:rPr>
                <w:rFonts w:hint="eastAsia"/>
              </w:rPr>
              <w:t>主厂房区</w:t>
            </w:r>
          </w:p>
        </w:tc>
        <w:tc>
          <w:p w14:paraId="69DFB7B8">
            <w:pPr>
              <w:pStyle w:val="24"/>
              <w:jc w:val="left"/>
            </w:pPr>
            <w:r>
              <w:rPr>
                <w:rFonts w:hint="eastAsia"/>
              </w:rPr>
              <w:t>机械通风冷却塔区</w:t>
            </w:r>
          </w:p>
        </w:tc>
        <w:tc>
          <w:p w14:paraId="46C980BF">
            <w:pPr>
              <w:pStyle w:val="24"/>
              <w:jc w:val="left"/>
            </w:pPr>
            <w:r>
              <w:rPr>
                <w:rFonts w:hint="eastAsia"/>
              </w:rPr>
              <w:t>35kV屋内配电装置区</w:t>
            </w:r>
          </w:p>
        </w:tc>
        <w:tc>
          <w:p w14:paraId="0B7556E5">
            <w:pPr>
              <w:pStyle w:val="24"/>
              <w:jc w:val="left"/>
            </w:pPr>
            <w:r>
              <w:rPr>
                <w:rFonts w:hint="eastAsia"/>
              </w:rPr>
              <w:t>油库区设施区</w:t>
            </w:r>
          </w:p>
        </w:tc>
        <w:tc>
          <w:p w14:paraId="2780F759">
            <w:pPr>
              <w:pStyle w:val="24"/>
              <w:jc w:val="left"/>
            </w:pPr>
            <w:r>
              <w:rPr>
                <w:rFonts w:hint="eastAsia"/>
              </w:rPr>
              <w:t>工业消防水泵房设施区</w:t>
            </w:r>
          </w:p>
        </w:tc>
        <w:tc>
          <w:p w14:paraId="364C21B7">
            <w:pPr>
              <w:pStyle w:val="24"/>
              <w:jc w:val="left"/>
            </w:pPr>
            <w:r>
              <w:rPr>
                <w:rFonts w:hint="eastAsia"/>
              </w:rPr>
              <w:t>污、废水设施区</w:t>
            </w:r>
          </w:p>
        </w:tc>
        <w:tc>
          <w:p w14:paraId="30D66B90">
            <w:pPr>
              <w:pStyle w:val="24"/>
              <w:jc w:val="left"/>
            </w:pPr>
            <w:r>
              <w:rPr>
                <w:rFonts w:hint="eastAsia"/>
              </w:rPr>
              <w:t>汽车衡区</w:t>
            </w:r>
          </w:p>
        </w:tc>
        <w:tc>
          <w:p w14:paraId="1A541859">
            <w:pPr>
              <w:pStyle w:val="24"/>
              <w:jc w:val="left"/>
            </w:pPr>
            <w:r>
              <w:rPr>
                <w:rFonts w:hint="eastAsia"/>
              </w:rPr>
              <w:t>其他辅助生产及附属建筑区</w:t>
            </w:r>
          </w:p>
        </w:tc>
        <w:tc>
          <w:p w14:paraId="636193E1">
            <w:pPr>
              <w:pStyle w:val="24"/>
              <w:jc w:val="left"/>
            </w:pPr>
            <w:r>
              <w:rPr>
                <w:rFonts w:hint="eastAsia"/>
              </w:rPr>
              <w:t>厂前建筑</w:t>
            </w:r>
          </w:p>
        </w:tc>
      </w:tr>
      <w:tr w14:paraId="232D7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B9CDC">
            <w:pPr>
              <w:pStyle w:val="24"/>
              <w:jc w:val="left"/>
            </w:pPr>
            <w:r>
              <w:t>2×6</w:t>
            </w:r>
          </w:p>
        </w:tc>
        <w:tc>
          <w:p w14:paraId="09856732">
            <w:pPr>
              <w:pStyle w:val="24"/>
              <w:jc w:val="left"/>
            </w:pPr>
            <w:r>
              <w:t>1.40</w:t>
            </w:r>
          </w:p>
        </w:tc>
        <w:tc>
          <w:p w14:paraId="450FBA04">
            <w:pPr>
              <w:pStyle w:val="24"/>
              <w:jc w:val="left"/>
            </w:pPr>
            <w:r>
              <w:t>0.34</w:t>
            </w:r>
          </w:p>
        </w:tc>
        <w:tc>
          <w:p w14:paraId="35B130D1">
            <w:pPr>
              <w:pStyle w:val="24"/>
              <w:jc w:val="left"/>
            </w:pPr>
            <w:r>
              <w:t>0.10</w:t>
            </w:r>
          </w:p>
        </w:tc>
        <w:tc>
          <w:p w14:paraId="0638BD01">
            <w:pPr>
              <w:pStyle w:val="24"/>
              <w:jc w:val="left"/>
            </w:pPr>
            <w:r>
              <w:t>0.15</w:t>
            </w:r>
          </w:p>
        </w:tc>
        <w:tc>
          <w:p w14:paraId="0C6CF74C">
            <w:pPr>
              <w:pStyle w:val="24"/>
              <w:jc w:val="left"/>
            </w:pPr>
            <w:r>
              <w:t>0.14</w:t>
            </w:r>
          </w:p>
        </w:tc>
        <w:tc>
          <w:p w14:paraId="25374685">
            <w:pPr>
              <w:pStyle w:val="24"/>
              <w:jc w:val="left"/>
            </w:pPr>
            <w:r>
              <w:t>0.10</w:t>
            </w:r>
          </w:p>
        </w:tc>
        <w:tc>
          <w:p w14:paraId="78636216">
            <w:pPr>
              <w:pStyle w:val="24"/>
              <w:jc w:val="left"/>
            </w:pPr>
            <w:r>
              <w:t>0.15</w:t>
            </w:r>
          </w:p>
        </w:tc>
        <w:tc>
          <w:p w14:paraId="7BD161E7">
            <w:pPr>
              <w:pStyle w:val="24"/>
              <w:jc w:val="left"/>
            </w:pPr>
            <w:r>
              <w:t>0.28</w:t>
            </w:r>
          </w:p>
        </w:tc>
        <w:tc>
          <w:p w14:paraId="2F71D7EE">
            <w:pPr>
              <w:pStyle w:val="24"/>
              <w:jc w:val="left"/>
            </w:pPr>
            <w:r>
              <w:t>0.20</w:t>
            </w:r>
          </w:p>
        </w:tc>
      </w:tr>
      <w:tr w14:paraId="4340B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461E0">
            <w:pPr>
              <w:pStyle w:val="24"/>
              <w:jc w:val="left"/>
            </w:pPr>
            <w:r>
              <w:t>2×12</w:t>
            </w:r>
          </w:p>
        </w:tc>
        <w:tc>
          <w:p w14:paraId="259594A0">
            <w:pPr>
              <w:pStyle w:val="24"/>
              <w:jc w:val="left"/>
            </w:pPr>
            <w:r>
              <w:t>1.80</w:t>
            </w:r>
          </w:p>
        </w:tc>
        <w:tc>
          <w:p w14:paraId="179BDFC3">
            <w:pPr>
              <w:pStyle w:val="24"/>
              <w:jc w:val="left"/>
            </w:pPr>
            <w:r>
              <w:t>0.43</w:t>
            </w:r>
          </w:p>
        </w:tc>
        <w:tc>
          <w:p w14:paraId="199110B3">
            <w:pPr>
              <w:pStyle w:val="24"/>
              <w:jc w:val="left"/>
            </w:pPr>
            <w:r>
              <w:t>0.10</w:t>
            </w:r>
          </w:p>
        </w:tc>
        <w:tc>
          <w:p w14:paraId="5BC69BE5">
            <w:pPr>
              <w:pStyle w:val="24"/>
              <w:jc w:val="left"/>
            </w:pPr>
            <w:r>
              <w:t>0.15</w:t>
            </w:r>
          </w:p>
        </w:tc>
        <w:tc>
          <w:p w14:paraId="26D462C9">
            <w:pPr>
              <w:pStyle w:val="24"/>
              <w:jc w:val="left"/>
            </w:pPr>
            <w:r>
              <w:t>0.14</w:t>
            </w:r>
          </w:p>
        </w:tc>
        <w:tc>
          <w:p w14:paraId="66B4CAF1">
            <w:pPr>
              <w:pStyle w:val="24"/>
              <w:jc w:val="left"/>
            </w:pPr>
            <w:r>
              <w:t>0.10</w:t>
            </w:r>
          </w:p>
        </w:tc>
        <w:tc>
          <w:p w14:paraId="21654624">
            <w:pPr>
              <w:pStyle w:val="24"/>
              <w:jc w:val="left"/>
            </w:pPr>
            <w:r>
              <w:t>0.15</w:t>
            </w:r>
          </w:p>
        </w:tc>
        <w:tc>
          <w:p w14:paraId="7AEB407B">
            <w:pPr>
              <w:pStyle w:val="24"/>
              <w:jc w:val="left"/>
            </w:pPr>
            <w:r>
              <w:t>0.28</w:t>
            </w:r>
          </w:p>
        </w:tc>
        <w:tc>
          <w:p w14:paraId="358665D2">
            <w:pPr>
              <w:pStyle w:val="24"/>
              <w:jc w:val="left"/>
            </w:pPr>
            <w:r>
              <w:t>0.20</w:t>
            </w:r>
          </w:p>
        </w:tc>
      </w:tr>
    </w:tbl>
    <w:p w14:paraId="7D38A027">
      <w:pPr>
        <w:pStyle w:val="13"/>
      </w:pPr>
      <w:r>
        <w:rPr>
          <w:rFonts w:hint="eastAsia"/>
        </w:rPr>
        <w:t>注：1.35kV屋内配电装置区按2回进线，1回出线考虑。2.其他辅助生产及附属建筑区包括空气压缩机、雨水泵房设施、材料库及检修维护建筑等。3.6～12MW机组综合办公楼、食堂、夜班宿舍、浴室按联合建筑考虑。</w:t>
      </w:r>
    </w:p>
    <w:p w14:paraId="6DE93C2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029A30F">
      <w:pPr>
        <w:pStyle w:val="5"/>
      </w:pPr>
      <w:bookmarkStart w:id="15" w:name="表6.2.4-垃圾发电厂厂区建设用地调整指标hm²"/>
      <w:r>
        <w:rPr>
          <w:rFonts w:hint="eastAsia"/>
        </w:rPr>
        <w:t>表6.2.4</w:t>
      </w:r>
      <w:r>
        <w:t xml:space="preserve"> </w:t>
      </w:r>
      <w:r>
        <w:rPr>
          <w:rFonts w:hint="eastAsia"/>
        </w:rPr>
        <w:t>垃圾发电厂厂区建设用地调整指标（hm²）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9078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805786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64E4C74E">
            <w:pPr>
              <w:pStyle w:val="24"/>
              <w:jc w:val="left"/>
            </w:pPr>
            <w:r>
              <w:rPr>
                <w:rFonts w:hint="eastAsia"/>
              </w:rPr>
              <w:t>自然通风冷却塔区用地</w:t>
            </w:r>
          </w:p>
        </w:tc>
        <w:tc>
          <w:p w14:paraId="797F83FE">
            <w:pPr>
              <w:pStyle w:val="24"/>
              <w:jc w:val="left"/>
            </w:pPr>
            <w:r>
              <w:rPr>
                <w:rFonts w:hint="eastAsia"/>
              </w:rPr>
              <w:t>110kV屋外配电装置（2回进线、1回出线）</w:t>
            </w:r>
          </w:p>
        </w:tc>
      </w:tr>
      <w:tr w14:paraId="42AA8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0B009">
            <w:pPr>
              <w:pStyle w:val="24"/>
              <w:jc w:val="left"/>
            </w:pPr>
            <w:r>
              <w:t>2×6</w:t>
            </w:r>
          </w:p>
        </w:tc>
        <w:tc>
          <w:p w14:paraId="1FA6C090">
            <w:pPr>
              <w:pStyle w:val="24"/>
              <w:jc w:val="left"/>
            </w:pPr>
            <w:r>
              <w:t>0.40</w:t>
            </w:r>
          </w:p>
        </w:tc>
        <w:tc>
          <w:p w14:paraId="1371C629">
            <w:pPr>
              <w:pStyle w:val="24"/>
              <w:jc w:val="left"/>
            </w:pPr>
            <w:r>
              <w:t>0.28</w:t>
            </w:r>
          </w:p>
        </w:tc>
      </w:tr>
      <w:tr w14:paraId="48A2B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82EFD">
            <w:pPr>
              <w:pStyle w:val="24"/>
              <w:jc w:val="left"/>
            </w:pPr>
            <w:r>
              <w:t>2×12</w:t>
            </w:r>
          </w:p>
        </w:tc>
        <w:tc>
          <w:p w14:paraId="3A90B8D8">
            <w:pPr>
              <w:pStyle w:val="24"/>
              <w:jc w:val="left"/>
            </w:pPr>
            <w:r>
              <w:t>0.80</w:t>
            </w:r>
          </w:p>
        </w:tc>
        <w:tc>
          <w:p w14:paraId="2C2814D5">
            <w:pPr>
              <w:pStyle w:val="24"/>
              <w:jc w:val="left"/>
            </w:pPr>
            <w:r>
              <w:t>0.28</w:t>
            </w:r>
          </w:p>
        </w:tc>
      </w:tr>
    </w:tbl>
    <w:p w14:paraId="5C63FCAB">
      <w:pPr>
        <w:pStyle w:val="13"/>
      </w:pPr>
      <w:r>
        <w:rPr>
          <w:rFonts w:hint="eastAsia"/>
        </w:rPr>
        <w:t>注：2×6MW垃圾发电厂采用2台机组合用1座自然通风冷却塔，淋水面积按500m²计算；2×12MW垃圾发电厂采用1台机组配置1座自然通风冷却塔，淋水面积按500m²计算。</w:t>
      </w:r>
    </w:p>
    <w:p w14:paraId="59C66776">
      <w:pPr>
        <w:pStyle w:val="3"/>
      </w:pPr>
    </w:p>
    <w:bookmarkEnd w:id="11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C60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1334</Words>
  <Characters>1923</Characters>
  <Lines>12</Lines>
  <Paragraphs>8</Paragraphs>
  <TotalTime>7</TotalTime>
  <ScaleCrop>false</ScaleCrop>
  <LinksUpToDate>false</LinksUpToDate>
  <CharactersWithSpaces>1933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2026-05-09T03:54:00Z</dcterms:created>
  <dc:creator>晴失</dc:creator>
  <cp:lastModifiedBy>晴失</cp:lastModifiedBy>
  <dcterms:modified xsi:type="dcterms:W3CDTF">2026-05-09T03:55:40Z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0C8AB5A7B78B4727B55A5CF65A952775_13</vt:lpwstr>
  </property>
</Properties>
</file>