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EB977">
      <w:pPr>
        <w:pStyle w:val="2"/>
        <w:jc w:val="center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bookmarkStart w:id="0" w:name="电力工程项目建设用地指标风电场"/>
      <w:bookmarkStart w:id="9" w:name="_GoBack"/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电力工程项目建设用地指标（风电场）</w:t>
      </w:r>
    </w:p>
    <w:bookmarkEnd w:id="9"/>
    <w:p w14:paraId="6DC5709D">
      <w:pPr>
        <w:pStyle w:val="4"/>
      </w:pPr>
      <w:bookmarkStart w:id="1" w:name="第三章-风电机组及机组变电站用地指标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风电机组及机组变电站用地指标</w:t>
      </w:r>
    </w:p>
    <w:p w14:paraId="37D01953">
      <w:pPr>
        <w:pStyle w:val="5"/>
      </w:pPr>
      <w:bookmarkStart w:id="2" w:name="第一节-风电机组用地指标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风电机组用地指标</w:t>
      </w:r>
    </w:p>
    <w:p w14:paraId="72FDE4D2">
      <w:pPr>
        <w:pStyle w:val="3"/>
      </w:pPr>
      <w:r>
        <w:t xml:space="preserve">3.1.1 </w:t>
      </w:r>
      <w:r>
        <w:rPr>
          <w:rFonts w:hint="eastAsia"/>
        </w:rPr>
        <w:t>风电机组用地指标按单台机组计算，包括风电机组基础、箱式变电站基础、吊装平台等用地。</w:t>
      </w:r>
    </w:p>
    <w:p w14:paraId="624246E6">
      <w:pPr>
        <w:pStyle w:val="3"/>
      </w:pPr>
      <w:r>
        <w:t xml:space="preserve">3.1.2 </w:t>
      </w:r>
      <w:r>
        <w:rPr>
          <w:rFonts w:hint="eastAsia"/>
        </w:rPr>
        <w:t>风电机组用地指标不应超过表3.1.2的规定。</w:t>
      </w:r>
    </w:p>
    <w:p w14:paraId="31783B49">
      <w:pPr>
        <w:pStyle w:val="3"/>
      </w:pPr>
      <w:r>
        <w:rPr>
          <w:rFonts w:hint="eastAsia"/>
          <w:b/>
          <w:bCs/>
        </w:rPr>
        <w:t>表3.1.2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风电机组建设用地指标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656"/>
        <w:gridCol w:w="2365"/>
      </w:tblGrid>
      <w:tr w14:paraId="44C0D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66D7B2">
            <w:pPr>
              <w:pStyle w:val="24"/>
              <w:jc w:val="left"/>
            </w:pPr>
            <w:r>
              <w:rPr>
                <w:rFonts w:hint="eastAsia"/>
              </w:rPr>
              <w:t>单机容量（kW）</w:t>
            </w:r>
          </w:p>
        </w:tc>
        <w:tc>
          <w:p w14:paraId="6D7C3395">
            <w:pPr>
              <w:pStyle w:val="24"/>
              <w:jc w:val="left"/>
            </w:pPr>
            <w:r>
              <w:rPr>
                <w:rFonts w:hint="eastAsia"/>
              </w:rPr>
              <w:t>风机基础型式</w:t>
            </w:r>
          </w:p>
        </w:tc>
        <w:tc>
          <w:p w14:paraId="29D22B91">
            <w:pPr>
              <w:pStyle w:val="24"/>
              <w:jc w:val="left"/>
            </w:pPr>
            <w:r>
              <w:rPr>
                <w:rFonts w:hint="eastAsia"/>
              </w:rPr>
              <w:t>用地指标（m²/台）</w:t>
            </w:r>
          </w:p>
        </w:tc>
      </w:tr>
      <w:tr w14:paraId="45AB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509EC">
            <w:pPr>
              <w:pStyle w:val="24"/>
              <w:jc w:val="left"/>
            </w:pPr>
            <w:r>
              <w:t>750</w:t>
            </w:r>
          </w:p>
        </w:tc>
        <w:tc>
          <w:p w14:paraId="4861FF8A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3FA24BA6">
            <w:pPr>
              <w:pStyle w:val="24"/>
              <w:jc w:val="left"/>
            </w:pPr>
            <w:r>
              <w:t>400</w:t>
            </w:r>
          </w:p>
        </w:tc>
      </w:tr>
      <w:tr w14:paraId="2836C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8082A">
            <w:pPr>
              <w:pStyle w:val="24"/>
              <w:jc w:val="left"/>
            </w:pPr>
            <w:r>
              <w:t>800</w:t>
            </w:r>
          </w:p>
        </w:tc>
        <w:tc>
          <w:p w14:paraId="1A24EFB8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184E7491">
            <w:pPr>
              <w:pStyle w:val="24"/>
              <w:jc w:val="left"/>
            </w:pPr>
            <w:r>
              <w:t>420</w:t>
            </w:r>
          </w:p>
        </w:tc>
      </w:tr>
      <w:tr w14:paraId="20A6E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67E61">
            <w:pPr>
              <w:pStyle w:val="24"/>
              <w:jc w:val="left"/>
            </w:pPr>
            <w:r>
              <w:t>850</w:t>
            </w:r>
          </w:p>
        </w:tc>
        <w:tc>
          <w:p w14:paraId="04133E52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65EEC2BD">
            <w:pPr>
              <w:pStyle w:val="24"/>
              <w:jc w:val="left"/>
            </w:pPr>
            <w:r>
              <w:t>440</w:t>
            </w:r>
          </w:p>
        </w:tc>
      </w:tr>
      <w:tr w14:paraId="09E44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77C4F">
            <w:pPr>
              <w:pStyle w:val="24"/>
              <w:jc w:val="left"/>
            </w:pPr>
            <w:r>
              <w:t>900</w:t>
            </w:r>
          </w:p>
        </w:tc>
        <w:tc>
          <w:p w14:paraId="7EFA7EE0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4FF16FF6">
            <w:pPr>
              <w:pStyle w:val="24"/>
              <w:jc w:val="left"/>
            </w:pPr>
            <w:r>
              <w:t>460</w:t>
            </w:r>
          </w:p>
        </w:tc>
      </w:tr>
      <w:tr w14:paraId="6C3E2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833C1">
            <w:pPr>
              <w:pStyle w:val="24"/>
              <w:jc w:val="left"/>
            </w:pPr>
            <w:r>
              <w:t>1000</w:t>
            </w:r>
          </w:p>
        </w:tc>
        <w:tc>
          <w:p w14:paraId="29526AF5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7C9B496E">
            <w:pPr>
              <w:pStyle w:val="24"/>
              <w:jc w:val="left"/>
            </w:pPr>
            <w:r>
              <w:t>500</w:t>
            </w:r>
          </w:p>
        </w:tc>
      </w:tr>
      <w:tr w14:paraId="656A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B9A99">
            <w:pPr>
              <w:pStyle w:val="24"/>
              <w:jc w:val="left"/>
            </w:pPr>
            <w:r>
              <w:t>1250</w:t>
            </w:r>
          </w:p>
        </w:tc>
        <w:tc>
          <w:p w14:paraId="056BF904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20873C9D">
            <w:pPr>
              <w:pStyle w:val="24"/>
              <w:jc w:val="left"/>
            </w:pPr>
            <w:r>
              <w:t>550</w:t>
            </w:r>
          </w:p>
        </w:tc>
      </w:tr>
      <w:tr w14:paraId="3C11B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4A428">
            <w:pPr>
              <w:pStyle w:val="24"/>
              <w:jc w:val="left"/>
            </w:pPr>
            <w:r>
              <w:t>1500</w:t>
            </w:r>
          </w:p>
        </w:tc>
        <w:tc>
          <w:p w14:paraId="2926D407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0E26A8E5">
            <w:pPr>
              <w:pStyle w:val="24"/>
              <w:jc w:val="left"/>
            </w:pPr>
            <w:r>
              <w:t>600</w:t>
            </w:r>
          </w:p>
        </w:tc>
      </w:tr>
      <w:tr w14:paraId="35413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A08A2">
            <w:pPr>
              <w:pStyle w:val="24"/>
              <w:jc w:val="left"/>
            </w:pPr>
            <w:r>
              <w:t>2000</w:t>
            </w:r>
          </w:p>
        </w:tc>
        <w:tc>
          <w:p w14:paraId="3DA1FC85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15CA3F99">
            <w:pPr>
              <w:pStyle w:val="24"/>
              <w:jc w:val="left"/>
            </w:pPr>
            <w:r>
              <w:t>700</w:t>
            </w:r>
          </w:p>
        </w:tc>
      </w:tr>
      <w:tr w14:paraId="78917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D7E0F">
            <w:pPr>
              <w:pStyle w:val="24"/>
              <w:jc w:val="left"/>
            </w:pPr>
            <w:r>
              <w:t>2500</w:t>
            </w:r>
          </w:p>
        </w:tc>
        <w:tc>
          <w:p w14:paraId="3F766DDE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157807A8">
            <w:pPr>
              <w:pStyle w:val="24"/>
              <w:jc w:val="left"/>
            </w:pPr>
            <w:r>
              <w:t>800</w:t>
            </w:r>
          </w:p>
        </w:tc>
      </w:tr>
      <w:tr w14:paraId="6A71B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A9037">
            <w:pPr>
              <w:pStyle w:val="24"/>
              <w:jc w:val="left"/>
            </w:pPr>
            <w:r>
              <w:t>3000</w:t>
            </w:r>
          </w:p>
        </w:tc>
        <w:tc>
          <w:p w14:paraId="184110D8">
            <w:pPr>
              <w:pStyle w:val="24"/>
              <w:jc w:val="left"/>
            </w:pPr>
            <w:r>
              <w:rPr>
                <w:rFonts w:hint="eastAsia"/>
              </w:rPr>
              <w:t>扩展基础</w:t>
            </w:r>
          </w:p>
        </w:tc>
        <w:tc>
          <w:p w14:paraId="586BB9B1">
            <w:pPr>
              <w:pStyle w:val="24"/>
              <w:jc w:val="left"/>
            </w:pPr>
            <w:r>
              <w:t>900</w:t>
            </w:r>
          </w:p>
        </w:tc>
      </w:tr>
    </w:tbl>
    <w:p w14:paraId="664F9B77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表中指标适用于陆上风电场，单机容量介于两档之间时可采用插入法计算。</w:t>
      </w:r>
    </w:p>
    <w:p w14:paraId="59BA9A95">
      <w:pPr>
        <w:pStyle w:val="24"/>
        <w:numPr>
          <w:ilvl w:val="0"/>
          <w:numId w:val="1"/>
        </w:numPr>
      </w:pPr>
      <w:r>
        <w:rPr>
          <w:rFonts w:hint="eastAsia"/>
        </w:rPr>
        <w:t>当风机基础采用桩基础时，用地指标可适当减少，减少幅度不宜超过10%。</w:t>
      </w:r>
    </w:p>
    <w:p w14:paraId="7D622B70">
      <w:pPr>
        <w:pStyle w:val="24"/>
        <w:numPr>
          <w:ilvl w:val="0"/>
          <w:numId w:val="1"/>
        </w:numPr>
      </w:pPr>
      <w:r>
        <w:rPr>
          <w:rFonts w:hint="eastAsia"/>
        </w:rPr>
        <w:t>吊装平台用地已包含在指标内。</w:t>
      </w:r>
    </w:p>
    <w:bookmarkEnd w:id="2"/>
    <w:p w14:paraId="63239ADB">
      <w:pPr>
        <w:pStyle w:val="5"/>
      </w:pPr>
      <w:bookmarkStart w:id="3" w:name="第二节-机组变电站用地指标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机组变电站用地指标</w:t>
      </w:r>
    </w:p>
    <w:p w14:paraId="2F866E46">
      <w:pPr>
        <w:pStyle w:val="3"/>
      </w:pPr>
      <w:r>
        <w:t xml:space="preserve">3.2.1 </w:t>
      </w:r>
      <w:r>
        <w:rPr>
          <w:rFonts w:hint="eastAsia"/>
        </w:rPr>
        <w:t>机组变电站用地指标按每台机组配套的箱式变电站计算。</w:t>
      </w:r>
    </w:p>
    <w:p w14:paraId="5B381083">
      <w:pPr>
        <w:pStyle w:val="3"/>
      </w:pPr>
      <w:r>
        <w:t xml:space="preserve">3.2.2 </w:t>
      </w:r>
      <w:r>
        <w:rPr>
          <w:rFonts w:hint="eastAsia"/>
        </w:rPr>
        <w:t>机组变电站建设用地指标不应超过表3.2.2的规定。</w:t>
      </w:r>
    </w:p>
    <w:p w14:paraId="29C53E3F">
      <w:pPr>
        <w:pStyle w:val="3"/>
      </w:pPr>
      <w:r>
        <w:rPr>
          <w:rFonts w:hint="eastAsia"/>
          <w:b/>
          <w:bCs/>
        </w:rPr>
        <w:t>表3.2.2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机组变电站建设用地指标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365"/>
      </w:tblGrid>
      <w:tr w14:paraId="7F885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4A67B8">
            <w:pPr>
              <w:pStyle w:val="24"/>
              <w:jc w:val="left"/>
            </w:pPr>
            <w:r>
              <w:rPr>
                <w:rFonts w:hint="eastAsia"/>
              </w:rPr>
              <w:t>单机容量（kW）</w:t>
            </w:r>
          </w:p>
        </w:tc>
        <w:tc>
          <w:p w14:paraId="4FFAFC93">
            <w:pPr>
              <w:pStyle w:val="24"/>
              <w:jc w:val="left"/>
            </w:pPr>
            <w:r>
              <w:rPr>
                <w:rFonts w:hint="eastAsia"/>
              </w:rPr>
              <w:t>用地指标（m²/台）</w:t>
            </w:r>
          </w:p>
        </w:tc>
      </w:tr>
      <w:tr w14:paraId="07F8D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6DF5F">
            <w:pPr>
              <w:pStyle w:val="24"/>
              <w:jc w:val="left"/>
            </w:pPr>
            <w:r>
              <w:t>≤1000</w:t>
            </w:r>
          </w:p>
        </w:tc>
        <w:tc>
          <w:p w14:paraId="1926FA91">
            <w:pPr>
              <w:pStyle w:val="24"/>
              <w:jc w:val="left"/>
            </w:pPr>
            <w:r>
              <w:t>25</w:t>
            </w:r>
          </w:p>
        </w:tc>
      </w:tr>
      <w:tr w14:paraId="75EF4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DA1F6">
            <w:pPr>
              <w:pStyle w:val="24"/>
              <w:jc w:val="left"/>
            </w:pPr>
            <w:r>
              <w:rPr>
                <w:rFonts w:hint="eastAsia"/>
              </w:rPr>
              <w:t>1250～2000</w:t>
            </w:r>
          </w:p>
        </w:tc>
        <w:tc>
          <w:p w14:paraId="69BBC43C">
            <w:pPr>
              <w:pStyle w:val="24"/>
              <w:jc w:val="left"/>
            </w:pPr>
            <w:r>
              <w:t>30</w:t>
            </w:r>
          </w:p>
        </w:tc>
      </w:tr>
      <w:tr w14:paraId="6DA8F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FFAA7">
            <w:pPr>
              <w:pStyle w:val="24"/>
              <w:jc w:val="left"/>
            </w:pPr>
            <w:r>
              <w:t>≥2500</w:t>
            </w:r>
          </w:p>
        </w:tc>
        <w:tc>
          <w:p w14:paraId="1AA7A96D">
            <w:pPr>
              <w:pStyle w:val="24"/>
              <w:jc w:val="left"/>
            </w:pPr>
            <w:r>
              <w:t>35</w:t>
            </w:r>
          </w:p>
        </w:tc>
      </w:tr>
    </w:tbl>
    <w:p w14:paraId="5809C322">
      <w:pPr>
        <w:pStyle w:val="3"/>
      </w:pPr>
      <w:r>
        <w:rPr>
          <w:rFonts w:hint="eastAsia"/>
        </w:rPr>
        <w:t>注：当多台机组变电站合并布置时，用地指标可按合并后的数量相应核减，核减幅度不宜超过15%。</w:t>
      </w:r>
    </w:p>
    <w:bookmarkEnd w:id="1"/>
    <w:bookmarkEnd w:id="3"/>
    <w:p w14:paraId="10E834BC">
      <w:pPr>
        <w:pStyle w:val="4"/>
      </w:pPr>
      <w:bookmarkStart w:id="4" w:name="第四章-集电线路用地指标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集电线路用地指标</w:t>
      </w:r>
    </w:p>
    <w:p w14:paraId="08563361">
      <w:pPr>
        <w:pStyle w:val="5"/>
      </w:pPr>
      <w:bookmarkStart w:id="5" w:name="第一节-电缆线路用地指标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电缆线路用地指标</w:t>
      </w:r>
    </w:p>
    <w:p w14:paraId="2AA93A53">
      <w:pPr>
        <w:pStyle w:val="3"/>
      </w:pPr>
      <w:r>
        <w:t xml:space="preserve">4.1.1 </w:t>
      </w:r>
      <w:r>
        <w:rPr>
          <w:rFonts w:hint="eastAsia"/>
        </w:rPr>
        <w:t>电缆线路用地指标按电缆沟或直埋电缆的敷设长度计算。</w:t>
      </w:r>
    </w:p>
    <w:p w14:paraId="274B9BF1">
      <w:pPr>
        <w:pStyle w:val="3"/>
      </w:pPr>
      <w:r>
        <w:t xml:space="preserve">4.1.2 </w:t>
      </w:r>
      <w:r>
        <w:rPr>
          <w:rFonts w:hint="eastAsia"/>
        </w:rPr>
        <w:t>电缆线路建设用地指标不应超过表4.1.2的规定。</w:t>
      </w:r>
    </w:p>
    <w:p w14:paraId="4BDE0388">
      <w:pPr>
        <w:pStyle w:val="3"/>
      </w:pPr>
      <w:r>
        <w:rPr>
          <w:rFonts w:hint="eastAsia"/>
          <w:b/>
          <w:bCs/>
        </w:rPr>
        <w:t>表4.1.2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电缆线路建设用地指标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176"/>
        <w:gridCol w:w="2663"/>
      </w:tblGrid>
      <w:tr w14:paraId="4A18E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B48A2C">
            <w:pPr>
              <w:pStyle w:val="24"/>
              <w:jc w:val="left"/>
            </w:pPr>
            <w:r>
              <w:rPr>
                <w:rFonts w:hint="eastAsia"/>
              </w:rPr>
              <w:t>电压等级（kV）</w:t>
            </w:r>
          </w:p>
        </w:tc>
        <w:tc>
          <w:p w14:paraId="3E55301E">
            <w:pPr>
              <w:pStyle w:val="24"/>
              <w:jc w:val="left"/>
            </w:pPr>
            <w:r>
              <w:rPr>
                <w:rFonts w:hint="eastAsia"/>
              </w:rPr>
              <w:t>敷设方式</w:t>
            </w:r>
          </w:p>
        </w:tc>
        <w:tc>
          <w:p w14:paraId="16D50251">
            <w:pPr>
              <w:pStyle w:val="24"/>
              <w:jc w:val="left"/>
            </w:pPr>
            <w:r>
              <w:rPr>
                <w:rFonts w:hint="eastAsia"/>
              </w:rPr>
              <w:t>用地指标（hm²/km）</w:t>
            </w:r>
          </w:p>
        </w:tc>
      </w:tr>
      <w:tr w14:paraId="35F42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BAEB9">
            <w:pPr>
              <w:pStyle w:val="24"/>
              <w:jc w:val="left"/>
            </w:pPr>
            <w:r>
              <w:t>10</w:t>
            </w:r>
          </w:p>
        </w:tc>
        <w:tc>
          <w:p w14:paraId="5DD91AD6">
            <w:pPr>
              <w:pStyle w:val="24"/>
              <w:jc w:val="left"/>
            </w:pPr>
            <w:r>
              <w:rPr>
                <w:rFonts w:hint="eastAsia"/>
              </w:rPr>
              <w:t>直埋</w:t>
            </w:r>
          </w:p>
        </w:tc>
        <w:tc>
          <w:p w14:paraId="45DCB5AD">
            <w:pPr>
              <w:pStyle w:val="24"/>
              <w:jc w:val="left"/>
            </w:pPr>
            <w:r>
              <w:t>0.08</w:t>
            </w:r>
          </w:p>
        </w:tc>
      </w:tr>
      <w:tr w14:paraId="2B118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51BDE">
            <w:pPr>
              <w:pStyle w:val="24"/>
              <w:jc w:val="left"/>
            </w:pPr>
            <w:r>
              <w:t>10</w:t>
            </w:r>
          </w:p>
        </w:tc>
        <w:tc>
          <w:p w14:paraId="3EAEFB99">
            <w:pPr>
              <w:pStyle w:val="24"/>
              <w:jc w:val="left"/>
            </w:pPr>
            <w:r>
              <w:rPr>
                <w:rFonts w:hint="eastAsia"/>
              </w:rPr>
              <w:t>电缆沟</w:t>
            </w:r>
          </w:p>
        </w:tc>
        <w:tc>
          <w:p w14:paraId="20563E90">
            <w:pPr>
              <w:pStyle w:val="24"/>
              <w:jc w:val="left"/>
            </w:pPr>
            <w:r>
              <w:t>0.12</w:t>
            </w:r>
          </w:p>
        </w:tc>
      </w:tr>
      <w:tr w14:paraId="6CA54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2787F">
            <w:pPr>
              <w:pStyle w:val="24"/>
              <w:jc w:val="left"/>
            </w:pPr>
            <w:r>
              <w:t>35</w:t>
            </w:r>
          </w:p>
        </w:tc>
        <w:tc>
          <w:p w14:paraId="43983168">
            <w:pPr>
              <w:pStyle w:val="24"/>
              <w:jc w:val="left"/>
            </w:pPr>
            <w:r>
              <w:rPr>
                <w:rFonts w:hint="eastAsia"/>
              </w:rPr>
              <w:t>直埋</w:t>
            </w:r>
          </w:p>
        </w:tc>
        <w:tc>
          <w:p w14:paraId="7419BF61">
            <w:pPr>
              <w:pStyle w:val="24"/>
              <w:jc w:val="left"/>
            </w:pPr>
            <w:r>
              <w:t>0.10</w:t>
            </w:r>
          </w:p>
        </w:tc>
      </w:tr>
      <w:tr w14:paraId="62DC8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95161">
            <w:pPr>
              <w:pStyle w:val="24"/>
              <w:jc w:val="left"/>
            </w:pPr>
            <w:r>
              <w:t>35</w:t>
            </w:r>
          </w:p>
        </w:tc>
        <w:tc>
          <w:p w14:paraId="0A2D9242">
            <w:pPr>
              <w:pStyle w:val="24"/>
              <w:jc w:val="left"/>
            </w:pPr>
            <w:r>
              <w:rPr>
                <w:rFonts w:hint="eastAsia"/>
              </w:rPr>
              <w:t>电缆沟</w:t>
            </w:r>
          </w:p>
        </w:tc>
        <w:tc>
          <w:p w14:paraId="4A564EF6">
            <w:pPr>
              <w:pStyle w:val="24"/>
              <w:jc w:val="left"/>
            </w:pPr>
            <w:r>
              <w:t>0.15</w:t>
            </w:r>
          </w:p>
        </w:tc>
      </w:tr>
    </w:tbl>
    <w:p w14:paraId="72D29AB8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电缆线路用地宽度按电缆沟外缘或直埋电缆两侧各1m计算。</w:t>
      </w:r>
    </w:p>
    <w:p w14:paraId="14C4AE04">
      <w:pPr>
        <w:pStyle w:val="24"/>
        <w:numPr>
          <w:ilvl w:val="0"/>
          <w:numId w:val="2"/>
        </w:numPr>
      </w:pPr>
      <w:r>
        <w:rPr>
          <w:rFonts w:hint="eastAsia"/>
        </w:rPr>
        <w:t>当同沟敷设多条电缆时，用地指标可适当减少，减少幅度不宜超过20%。</w:t>
      </w:r>
    </w:p>
    <w:bookmarkEnd w:id="5"/>
    <w:p w14:paraId="3D8C54AD">
      <w:pPr>
        <w:pStyle w:val="5"/>
      </w:pPr>
      <w:bookmarkStart w:id="6" w:name="第二节-架空线路用地指标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架空线路用地指标</w:t>
      </w:r>
    </w:p>
    <w:p w14:paraId="3256CEC2">
      <w:pPr>
        <w:pStyle w:val="3"/>
      </w:pPr>
      <w:r>
        <w:t xml:space="preserve">4.2.1 </w:t>
      </w:r>
      <w:r>
        <w:rPr>
          <w:rFonts w:hint="eastAsia"/>
        </w:rPr>
        <w:t>架空线路用地指标按线路长度计算，包括杆塔基础、拉线基础等用地。</w:t>
      </w:r>
    </w:p>
    <w:p w14:paraId="65FC9AA7">
      <w:pPr>
        <w:pStyle w:val="3"/>
      </w:pPr>
      <w:r>
        <w:t xml:space="preserve">4.2.2 </w:t>
      </w:r>
      <w:r>
        <w:rPr>
          <w:rFonts w:hint="eastAsia"/>
        </w:rPr>
        <w:t>架空线路建设用地指标不应超过表4.2.2的规定。</w:t>
      </w:r>
    </w:p>
    <w:p w14:paraId="35A6B443">
      <w:pPr>
        <w:pStyle w:val="3"/>
      </w:pPr>
      <w:r>
        <w:rPr>
          <w:rFonts w:hint="eastAsia"/>
          <w:b/>
          <w:bCs/>
        </w:rPr>
        <w:t>表4.2.2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架空线路建设用地指标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936"/>
        <w:gridCol w:w="2663"/>
      </w:tblGrid>
      <w:tr w14:paraId="0A571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3C4443">
            <w:pPr>
              <w:pStyle w:val="24"/>
              <w:jc w:val="left"/>
            </w:pPr>
            <w:r>
              <w:rPr>
                <w:rFonts w:hint="eastAsia"/>
              </w:rPr>
              <w:t>电压等级（kV）</w:t>
            </w:r>
          </w:p>
        </w:tc>
        <w:tc>
          <w:p w14:paraId="1922B034">
            <w:pPr>
              <w:pStyle w:val="24"/>
              <w:jc w:val="left"/>
            </w:pPr>
            <w:r>
              <w:rPr>
                <w:rFonts w:hint="eastAsia"/>
              </w:rPr>
              <w:t>回路数</w:t>
            </w:r>
          </w:p>
        </w:tc>
        <w:tc>
          <w:p w14:paraId="116F0FBC">
            <w:pPr>
              <w:pStyle w:val="24"/>
              <w:jc w:val="left"/>
            </w:pPr>
            <w:r>
              <w:rPr>
                <w:rFonts w:hint="eastAsia"/>
              </w:rPr>
              <w:t>用地指标（hm²/km）</w:t>
            </w:r>
          </w:p>
        </w:tc>
      </w:tr>
      <w:tr w14:paraId="53AE7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FB18D">
            <w:pPr>
              <w:pStyle w:val="24"/>
              <w:jc w:val="left"/>
            </w:pPr>
            <w:r>
              <w:t>10</w:t>
            </w:r>
          </w:p>
        </w:tc>
        <w:tc>
          <w:p w14:paraId="5131F6FC">
            <w:pPr>
              <w:pStyle w:val="24"/>
              <w:jc w:val="left"/>
            </w:pPr>
            <w:r>
              <w:rPr>
                <w:rFonts w:hint="eastAsia"/>
              </w:rPr>
              <w:t>单回</w:t>
            </w:r>
          </w:p>
        </w:tc>
        <w:tc>
          <w:p w14:paraId="45752588">
            <w:pPr>
              <w:pStyle w:val="24"/>
              <w:jc w:val="left"/>
            </w:pPr>
            <w:r>
              <w:t>0.25</w:t>
            </w:r>
          </w:p>
        </w:tc>
      </w:tr>
      <w:tr w14:paraId="440C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4D8F8">
            <w:pPr>
              <w:pStyle w:val="24"/>
              <w:jc w:val="left"/>
            </w:pPr>
            <w:r>
              <w:t>10</w:t>
            </w:r>
          </w:p>
        </w:tc>
        <w:tc>
          <w:p w14:paraId="403DD162">
            <w:pPr>
              <w:pStyle w:val="24"/>
              <w:jc w:val="left"/>
            </w:pPr>
            <w:r>
              <w:rPr>
                <w:rFonts w:hint="eastAsia"/>
              </w:rPr>
              <w:t>双回</w:t>
            </w:r>
          </w:p>
        </w:tc>
        <w:tc>
          <w:p w14:paraId="05512E32">
            <w:pPr>
              <w:pStyle w:val="24"/>
              <w:jc w:val="left"/>
            </w:pPr>
            <w:r>
              <w:t>0.35</w:t>
            </w:r>
          </w:p>
        </w:tc>
      </w:tr>
      <w:tr w14:paraId="622FA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0ACC9">
            <w:pPr>
              <w:pStyle w:val="24"/>
              <w:jc w:val="left"/>
            </w:pPr>
            <w:r>
              <w:t>35</w:t>
            </w:r>
          </w:p>
        </w:tc>
        <w:tc>
          <w:p w14:paraId="7F51FBF3">
            <w:pPr>
              <w:pStyle w:val="24"/>
              <w:jc w:val="left"/>
            </w:pPr>
            <w:r>
              <w:rPr>
                <w:rFonts w:hint="eastAsia"/>
              </w:rPr>
              <w:t>单回</w:t>
            </w:r>
          </w:p>
        </w:tc>
        <w:tc>
          <w:p w14:paraId="6957EDC3">
            <w:pPr>
              <w:pStyle w:val="24"/>
              <w:jc w:val="left"/>
            </w:pPr>
            <w:r>
              <w:t>0.30</w:t>
            </w:r>
          </w:p>
        </w:tc>
      </w:tr>
      <w:tr w14:paraId="4AFAD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06AAB">
            <w:pPr>
              <w:pStyle w:val="24"/>
              <w:jc w:val="left"/>
            </w:pPr>
            <w:r>
              <w:t>35</w:t>
            </w:r>
          </w:p>
        </w:tc>
        <w:tc>
          <w:p w14:paraId="5AD30A37">
            <w:pPr>
              <w:pStyle w:val="24"/>
              <w:jc w:val="left"/>
            </w:pPr>
            <w:r>
              <w:rPr>
                <w:rFonts w:hint="eastAsia"/>
              </w:rPr>
              <w:t>双回</w:t>
            </w:r>
          </w:p>
        </w:tc>
        <w:tc>
          <w:p w14:paraId="2E3790FA">
            <w:pPr>
              <w:pStyle w:val="24"/>
              <w:jc w:val="left"/>
            </w:pPr>
            <w:r>
              <w:t>0.45</w:t>
            </w:r>
          </w:p>
        </w:tc>
      </w:tr>
    </w:tbl>
    <w:p w14:paraId="1F6C257D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架空线路用地宽度按杆塔基础外缘两侧各3m计算。</w:t>
      </w:r>
    </w:p>
    <w:p w14:paraId="192E944D">
      <w:pPr>
        <w:pStyle w:val="24"/>
        <w:numPr>
          <w:ilvl w:val="0"/>
          <w:numId w:val="3"/>
        </w:numPr>
      </w:pPr>
      <w:r>
        <w:rPr>
          <w:rFonts w:hint="eastAsia"/>
        </w:rPr>
        <w:t>指标已包含杆塔施工临时用地，但不包含线路通道内的永久征地。</w:t>
      </w:r>
    </w:p>
    <w:bookmarkEnd w:id="4"/>
    <w:bookmarkEnd w:id="6"/>
    <w:p w14:paraId="026D9717">
      <w:pPr>
        <w:pStyle w:val="4"/>
      </w:pPr>
      <w:bookmarkStart w:id="7" w:name="第五章-升压变电站及运行管理中心用地指标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升压变电站及运行管理中心用地指标</w:t>
      </w:r>
    </w:p>
    <w:p w14:paraId="55CEE490">
      <w:pPr>
        <w:pStyle w:val="3"/>
      </w:pPr>
      <w:r>
        <w:t xml:space="preserve">5.0.1 </w:t>
      </w:r>
      <w:r>
        <w:rPr>
          <w:rFonts w:hint="eastAsia"/>
        </w:rPr>
        <w:t>升压变电站及运行管理中心用地包括升压变电站场地、运行管理中心建筑物、道路、绿化等用地。</w:t>
      </w:r>
    </w:p>
    <w:p w14:paraId="3F61FF99">
      <w:pPr>
        <w:pStyle w:val="3"/>
      </w:pPr>
      <w:r>
        <w:t xml:space="preserve">5.0.2 </w:t>
      </w:r>
      <w:r>
        <w:rPr>
          <w:rFonts w:hint="eastAsia"/>
        </w:rPr>
        <w:t>升压变电站及运行管理中心建设用地指标不应超过表5.0.2的规定。</w:t>
      </w:r>
    </w:p>
    <w:p w14:paraId="58D4992F">
      <w:pPr>
        <w:pStyle w:val="3"/>
      </w:pPr>
      <w:r>
        <w:rPr>
          <w:rFonts w:hint="eastAsia"/>
          <w:b/>
          <w:bCs/>
        </w:rPr>
        <w:t>表5.0.2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升压变电站及运行管理中心建设用地指标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2722"/>
        <w:gridCol w:w="2137"/>
      </w:tblGrid>
      <w:tr w14:paraId="1D922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B7AC26">
            <w:pPr>
              <w:pStyle w:val="24"/>
              <w:jc w:val="left"/>
            </w:pPr>
            <w:r>
              <w:rPr>
                <w:rFonts w:hint="eastAsia"/>
              </w:rPr>
              <w:t>电压等级（kV）</w:t>
            </w:r>
          </w:p>
        </w:tc>
        <w:tc>
          <w:p w14:paraId="7E8EF169">
            <w:pPr>
              <w:pStyle w:val="24"/>
              <w:jc w:val="left"/>
            </w:pPr>
            <w:r>
              <w:rPr>
                <w:rFonts w:hint="eastAsia"/>
              </w:rPr>
              <w:t>主变压器容量（MVA）</w:t>
            </w:r>
          </w:p>
        </w:tc>
        <w:tc>
          <w:p w14:paraId="2988094E">
            <w:pPr>
              <w:pStyle w:val="24"/>
              <w:jc w:val="left"/>
            </w:pPr>
            <w:r>
              <w:rPr>
                <w:rFonts w:hint="eastAsia"/>
              </w:rPr>
              <w:t>用地指标（hm²）</w:t>
            </w:r>
          </w:p>
        </w:tc>
      </w:tr>
      <w:tr w14:paraId="3E68E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4D728">
            <w:pPr>
              <w:pStyle w:val="24"/>
              <w:jc w:val="left"/>
            </w:pPr>
            <w:r>
              <w:t>35</w:t>
            </w:r>
          </w:p>
        </w:tc>
        <w:tc>
          <w:p w14:paraId="378642D7">
            <w:pPr>
              <w:pStyle w:val="24"/>
              <w:jc w:val="left"/>
            </w:pPr>
            <w:r>
              <w:t>2×5</w:t>
            </w:r>
          </w:p>
        </w:tc>
        <w:tc>
          <w:p w14:paraId="675101E0">
            <w:pPr>
              <w:pStyle w:val="24"/>
              <w:jc w:val="left"/>
            </w:pPr>
            <w:r>
              <w:t>0.35</w:t>
            </w:r>
          </w:p>
        </w:tc>
      </w:tr>
      <w:tr w14:paraId="254C9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4CAEB">
            <w:pPr>
              <w:pStyle w:val="24"/>
              <w:jc w:val="left"/>
            </w:pPr>
            <w:r>
              <w:t>35</w:t>
            </w:r>
          </w:p>
        </w:tc>
        <w:tc>
          <w:p w14:paraId="142D9F9B">
            <w:pPr>
              <w:pStyle w:val="24"/>
              <w:jc w:val="left"/>
            </w:pPr>
            <w:r>
              <w:t>2×10</w:t>
            </w:r>
          </w:p>
        </w:tc>
        <w:tc>
          <w:p w14:paraId="6F28B0DB">
            <w:pPr>
              <w:pStyle w:val="24"/>
              <w:jc w:val="left"/>
            </w:pPr>
            <w:r>
              <w:t>0.45</w:t>
            </w:r>
          </w:p>
        </w:tc>
      </w:tr>
      <w:tr w14:paraId="0AFB6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6D4EF">
            <w:pPr>
              <w:pStyle w:val="24"/>
              <w:jc w:val="left"/>
            </w:pPr>
            <w:r>
              <w:t>35</w:t>
            </w:r>
          </w:p>
        </w:tc>
        <w:tc>
          <w:p w14:paraId="68AF89E6">
            <w:pPr>
              <w:pStyle w:val="24"/>
              <w:jc w:val="left"/>
            </w:pPr>
            <w:r>
              <w:t>2×20</w:t>
            </w:r>
          </w:p>
        </w:tc>
        <w:tc>
          <w:p w14:paraId="040609BC">
            <w:pPr>
              <w:pStyle w:val="24"/>
              <w:jc w:val="left"/>
            </w:pPr>
            <w:r>
              <w:t>0.60</w:t>
            </w:r>
          </w:p>
        </w:tc>
      </w:tr>
      <w:tr w14:paraId="416F6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4544E">
            <w:pPr>
              <w:pStyle w:val="24"/>
              <w:jc w:val="left"/>
            </w:pPr>
            <w:r>
              <w:t>66</w:t>
            </w:r>
          </w:p>
        </w:tc>
        <w:tc>
          <w:p w14:paraId="44BF07C5">
            <w:pPr>
              <w:pStyle w:val="24"/>
              <w:jc w:val="left"/>
            </w:pPr>
            <w:r>
              <w:t>2×10</w:t>
            </w:r>
          </w:p>
        </w:tc>
        <w:tc>
          <w:p w14:paraId="6A4847F9">
            <w:pPr>
              <w:pStyle w:val="24"/>
              <w:jc w:val="left"/>
            </w:pPr>
            <w:r>
              <w:t>0.55</w:t>
            </w:r>
          </w:p>
        </w:tc>
      </w:tr>
      <w:tr w14:paraId="2C064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50969">
            <w:pPr>
              <w:pStyle w:val="24"/>
              <w:jc w:val="left"/>
            </w:pPr>
            <w:r>
              <w:t>66</w:t>
            </w:r>
          </w:p>
        </w:tc>
        <w:tc>
          <w:p w14:paraId="53889FD0">
            <w:pPr>
              <w:pStyle w:val="24"/>
              <w:jc w:val="left"/>
            </w:pPr>
            <w:r>
              <w:t>2×20</w:t>
            </w:r>
          </w:p>
        </w:tc>
        <w:tc>
          <w:p w14:paraId="06420495">
            <w:pPr>
              <w:pStyle w:val="24"/>
              <w:jc w:val="left"/>
            </w:pPr>
            <w:r>
              <w:t>0.70</w:t>
            </w:r>
          </w:p>
        </w:tc>
      </w:tr>
      <w:tr w14:paraId="28496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F0BB4">
            <w:pPr>
              <w:pStyle w:val="24"/>
              <w:jc w:val="left"/>
            </w:pPr>
            <w:r>
              <w:t>66</w:t>
            </w:r>
          </w:p>
        </w:tc>
        <w:tc>
          <w:p w14:paraId="07D760C0">
            <w:pPr>
              <w:pStyle w:val="24"/>
              <w:jc w:val="left"/>
            </w:pPr>
            <w:r>
              <w:t>2×31.5</w:t>
            </w:r>
          </w:p>
        </w:tc>
        <w:tc>
          <w:p w14:paraId="30D8008E">
            <w:pPr>
              <w:pStyle w:val="24"/>
              <w:jc w:val="left"/>
            </w:pPr>
            <w:r>
              <w:t>0.85</w:t>
            </w:r>
          </w:p>
        </w:tc>
      </w:tr>
      <w:tr w14:paraId="553BE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1FA0F">
            <w:pPr>
              <w:pStyle w:val="24"/>
              <w:jc w:val="left"/>
            </w:pPr>
            <w:r>
              <w:t>110</w:t>
            </w:r>
          </w:p>
        </w:tc>
        <w:tc>
          <w:p w14:paraId="30FD3F66">
            <w:pPr>
              <w:pStyle w:val="24"/>
              <w:jc w:val="left"/>
            </w:pPr>
            <w:r>
              <w:t>2×20</w:t>
            </w:r>
          </w:p>
        </w:tc>
        <w:tc>
          <w:p w14:paraId="70BCE16D">
            <w:pPr>
              <w:pStyle w:val="24"/>
              <w:jc w:val="left"/>
            </w:pPr>
            <w:r>
              <w:t>0.80</w:t>
            </w:r>
          </w:p>
        </w:tc>
      </w:tr>
      <w:tr w14:paraId="76D26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F8485">
            <w:pPr>
              <w:pStyle w:val="24"/>
              <w:jc w:val="left"/>
            </w:pPr>
            <w:r>
              <w:t>110</w:t>
            </w:r>
          </w:p>
        </w:tc>
        <w:tc>
          <w:p w14:paraId="11FCC2B0">
            <w:pPr>
              <w:pStyle w:val="24"/>
              <w:jc w:val="left"/>
            </w:pPr>
            <w:r>
              <w:t>2×31.5</w:t>
            </w:r>
          </w:p>
        </w:tc>
        <w:tc>
          <w:p w14:paraId="480E67FA">
            <w:pPr>
              <w:pStyle w:val="24"/>
              <w:jc w:val="left"/>
            </w:pPr>
            <w:r>
              <w:t>1.00</w:t>
            </w:r>
          </w:p>
        </w:tc>
      </w:tr>
      <w:tr w14:paraId="1D37A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2BE9D">
            <w:pPr>
              <w:pStyle w:val="24"/>
              <w:jc w:val="left"/>
            </w:pPr>
            <w:r>
              <w:t>110</w:t>
            </w:r>
          </w:p>
        </w:tc>
        <w:tc>
          <w:p w14:paraId="6501DB42">
            <w:pPr>
              <w:pStyle w:val="24"/>
              <w:jc w:val="left"/>
            </w:pPr>
            <w:r>
              <w:t>2×50</w:t>
            </w:r>
          </w:p>
        </w:tc>
        <w:tc>
          <w:p w14:paraId="17A48F82">
            <w:pPr>
              <w:pStyle w:val="24"/>
              <w:jc w:val="left"/>
            </w:pPr>
            <w:r>
              <w:t>1.25</w:t>
            </w:r>
          </w:p>
        </w:tc>
      </w:tr>
      <w:tr w14:paraId="75A46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6562C">
            <w:pPr>
              <w:pStyle w:val="24"/>
              <w:jc w:val="left"/>
            </w:pPr>
            <w:r>
              <w:t>220</w:t>
            </w:r>
          </w:p>
        </w:tc>
        <w:tc>
          <w:p w14:paraId="669AC297">
            <w:pPr>
              <w:pStyle w:val="24"/>
              <w:jc w:val="left"/>
            </w:pPr>
            <w:r>
              <w:t>2×50</w:t>
            </w:r>
          </w:p>
        </w:tc>
        <w:tc>
          <w:p w14:paraId="4BBE9228">
            <w:pPr>
              <w:pStyle w:val="24"/>
              <w:jc w:val="left"/>
            </w:pPr>
            <w:r>
              <w:t>1.80</w:t>
            </w:r>
          </w:p>
        </w:tc>
      </w:tr>
      <w:tr w14:paraId="01905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141BC">
            <w:pPr>
              <w:pStyle w:val="24"/>
              <w:jc w:val="left"/>
            </w:pPr>
            <w:r>
              <w:t>220</w:t>
            </w:r>
          </w:p>
        </w:tc>
        <w:tc>
          <w:p w14:paraId="78E88E6D">
            <w:pPr>
              <w:pStyle w:val="24"/>
              <w:jc w:val="left"/>
            </w:pPr>
            <w:r>
              <w:t>2×100</w:t>
            </w:r>
          </w:p>
        </w:tc>
        <w:tc>
          <w:p w14:paraId="4FF6B142">
            <w:pPr>
              <w:pStyle w:val="24"/>
              <w:jc w:val="left"/>
            </w:pPr>
            <w:r>
              <w:t>2.20</w:t>
            </w:r>
          </w:p>
        </w:tc>
      </w:tr>
      <w:tr w14:paraId="3DB42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A9220">
            <w:pPr>
              <w:pStyle w:val="24"/>
              <w:jc w:val="left"/>
            </w:pPr>
            <w:r>
              <w:t>220</w:t>
            </w:r>
          </w:p>
        </w:tc>
        <w:tc>
          <w:p w14:paraId="280E5AEE">
            <w:pPr>
              <w:pStyle w:val="24"/>
              <w:jc w:val="left"/>
            </w:pPr>
            <w:r>
              <w:t>2×120</w:t>
            </w:r>
          </w:p>
        </w:tc>
        <w:tc>
          <w:p w14:paraId="3432E230">
            <w:pPr>
              <w:pStyle w:val="24"/>
              <w:jc w:val="left"/>
            </w:pPr>
            <w:r>
              <w:t>2.50</w:t>
            </w:r>
          </w:p>
        </w:tc>
      </w:tr>
    </w:tbl>
    <w:p w14:paraId="21EBABDF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表中指标为升压变电站与运行管理中心合建时的用地面积。</w:t>
      </w:r>
    </w:p>
    <w:p w14:paraId="24CB007E">
      <w:pPr>
        <w:pStyle w:val="24"/>
        <w:numPr>
          <w:ilvl w:val="0"/>
          <w:numId w:val="4"/>
        </w:numPr>
      </w:pPr>
      <w:r>
        <w:rPr>
          <w:rFonts w:hint="eastAsia"/>
        </w:rPr>
        <w:t>当升压变电站与运行管理中心分开建设时，可适当增加用地，增加幅度不宜超过20%。</w:t>
      </w:r>
    </w:p>
    <w:p w14:paraId="66B542CA">
      <w:pPr>
        <w:pStyle w:val="24"/>
        <w:numPr>
          <w:ilvl w:val="0"/>
          <w:numId w:val="4"/>
        </w:numPr>
      </w:pPr>
      <w:r>
        <w:rPr>
          <w:rFonts w:hint="eastAsia"/>
        </w:rPr>
        <w:t>指标已包含消防水池、事故油池等设施用地。</w:t>
      </w:r>
    </w:p>
    <w:bookmarkEnd w:id="7"/>
    <w:p w14:paraId="1A893339">
      <w:pPr>
        <w:pStyle w:val="4"/>
      </w:pPr>
      <w:bookmarkStart w:id="8" w:name="第六章-交通工程用地指标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交通工程用地指标</w:t>
      </w:r>
    </w:p>
    <w:p w14:paraId="3EFBF0A5">
      <w:pPr>
        <w:pStyle w:val="3"/>
      </w:pPr>
      <w:r>
        <w:t xml:space="preserve">6.0.1 </w:t>
      </w:r>
      <w:r>
        <w:rPr>
          <w:rFonts w:hint="eastAsia"/>
        </w:rPr>
        <w:t>交通工程用地包括进场道路、场内施工道路和检修道路的用地。</w:t>
      </w:r>
    </w:p>
    <w:p w14:paraId="23DDA5CF">
      <w:pPr>
        <w:pStyle w:val="3"/>
      </w:pPr>
      <w:r>
        <w:t xml:space="preserve">6.0.2 </w:t>
      </w:r>
      <w:r>
        <w:rPr>
          <w:rFonts w:hint="eastAsia"/>
        </w:rPr>
        <w:t>交通工程建设用地指标不应超过表6.0.2的规定。</w:t>
      </w:r>
    </w:p>
    <w:p w14:paraId="1EBDA1D5">
      <w:pPr>
        <w:pStyle w:val="3"/>
      </w:pPr>
      <w:r>
        <w:rPr>
          <w:rFonts w:hint="eastAsia"/>
          <w:b/>
          <w:bCs/>
        </w:rPr>
        <w:t>表6.0.2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交通工程建设用地指标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C384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14D2D0">
            <w:pPr>
              <w:pStyle w:val="24"/>
              <w:jc w:val="left"/>
            </w:pPr>
            <w:r>
              <w:rPr>
                <w:rFonts w:hint="eastAsia"/>
              </w:rPr>
              <w:t>道路类型</w:t>
            </w:r>
          </w:p>
        </w:tc>
        <w:tc>
          <w:p w14:paraId="6B389254">
            <w:pPr>
              <w:pStyle w:val="24"/>
              <w:jc w:val="left"/>
            </w:pPr>
            <w:r>
              <w:rPr>
                <w:rFonts w:hint="eastAsia"/>
              </w:rPr>
              <w:t>路面宽度（m）</w:t>
            </w:r>
          </w:p>
        </w:tc>
        <w:tc>
          <w:p w14:paraId="7DE6053E">
            <w:pPr>
              <w:pStyle w:val="24"/>
              <w:jc w:val="left"/>
            </w:pPr>
            <w:r>
              <w:rPr>
                <w:rFonts w:hint="eastAsia"/>
              </w:rPr>
              <w:t>用地指标（hm²/km）</w:t>
            </w:r>
          </w:p>
        </w:tc>
      </w:tr>
      <w:tr w14:paraId="69FC5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689EA">
            <w:pPr>
              <w:pStyle w:val="24"/>
              <w:jc w:val="left"/>
            </w:pPr>
            <w:r>
              <w:rPr>
                <w:rFonts w:hint="eastAsia"/>
              </w:rPr>
              <w:t>进场道路</w:t>
            </w:r>
          </w:p>
        </w:tc>
        <w:tc>
          <w:p w14:paraId="574AF2E9">
            <w:pPr>
              <w:pStyle w:val="24"/>
              <w:jc w:val="left"/>
            </w:pPr>
            <w:r>
              <w:t>6.0</w:t>
            </w:r>
          </w:p>
        </w:tc>
        <w:tc>
          <w:p w14:paraId="1AC8F8E7">
            <w:pPr>
              <w:pStyle w:val="24"/>
              <w:jc w:val="left"/>
            </w:pPr>
            <w:r>
              <w:t>0.80</w:t>
            </w:r>
          </w:p>
        </w:tc>
      </w:tr>
      <w:tr w14:paraId="2D796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13C3F">
            <w:pPr>
              <w:pStyle w:val="24"/>
              <w:jc w:val="left"/>
            </w:pPr>
            <w:r>
              <w:rPr>
                <w:rFonts w:hint="eastAsia"/>
              </w:rPr>
              <w:t>进场道路</w:t>
            </w:r>
          </w:p>
        </w:tc>
        <w:tc>
          <w:p w14:paraId="6BC1B54F">
            <w:pPr>
              <w:pStyle w:val="24"/>
              <w:jc w:val="left"/>
            </w:pPr>
            <w:r>
              <w:t>4.5</w:t>
            </w:r>
          </w:p>
        </w:tc>
        <w:tc>
          <w:p w14:paraId="6805F941">
            <w:pPr>
              <w:pStyle w:val="24"/>
              <w:jc w:val="left"/>
            </w:pPr>
            <w:r>
              <w:t>0.65</w:t>
            </w:r>
          </w:p>
        </w:tc>
      </w:tr>
      <w:tr w14:paraId="58BEE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B6DB0">
            <w:pPr>
              <w:pStyle w:val="24"/>
              <w:jc w:val="left"/>
            </w:pPr>
            <w:r>
              <w:rPr>
                <w:rFonts w:hint="eastAsia"/>
              </w:rPr>
              <w:t>场内主干道</w:t>
            </w:r>
          </w:p>
        </w:tc>
        <w:tc>
          <w:p w14:paraId="4304C751">
            <w:pPr>
              <w:pStyle w:val="24"/>
              <w:jc w:val="left"/>
            </w:pPr>
            <w:r>
              <w:t>4.5</w:t>
            </w:r>
          </w:p>
        </w:tc>
        <w:tc>
          <w:p w14:paraId="36112642">
            <w:pPr>
              <w:pStyle w:val="24"/>
              <w:jc w:val="left"/>
            </w:pPr>
            <w:r>
              <w:t>0.65</w:t>
            </w:r>
          </w:p>
        </w:tc>
      </w:tr>
      <w:tr w14:paraId="103AE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73BC9">
            <w:pPr>
              <w:pStyle w:val="24"/>
              <w:jc w:val="left"/>
            </w:pPr>
            <w:r>
              <w:rPr>
                <w:rFonts w:hint="eastAsia"/>
              </w:rPr>
              <w:t>场内主干道</w:t>
            </w:r>
          </w:p>
        </w:tc>
        <w:tc>
          <w:p w14:paraId="552EAD31">
            <w:pPr>
              <w:pStyle w:val="24"/>
              <w:jc w:val="left"/>
            </w:pPr>
            <w:r>
              <w:t>3.5</w:t>
            </w:r>
          </w:p>
        </w:tc>
        <w:tc>
          <w:p w14:paraId="79287350">
            <w:pPr>
              <w:pStyle w:val="24"/>
              <w:jc w:val="left"/>
            </w:pPr>
            <w:r>
              <w:t>0.52</w:t>
            </w:r>
          </w:p>
        </w:tc>
      </w:tr>
      <w:tr w14:paraId="59EC3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CB5BB">
            <w:pPr>
              <w:pStyle w:val="24"/>
              <w:jc w:val="left"/>
            </w:pPr>
            <w:r>
              <w:rPr>
                <w:rFonts w:hint="eastAsia"/>
              </w:rPr>
              <w:t>场内支路（检修道路）</w:t>
            </w:r>
          </w:p>
        </w:tc>
        <w:tc>
          <w:p w14:paraId="438BA901">
            <w:pPr>
              <w:pStyle w:val="24"/>
              <w:jc w:val="left"/>
            </w:pPr>
            <w:r>
              <w:t>3.0</w:t>
            </w:r>
          </w:p>
        </w:tc>
        <w:tc>
          <w:p w14:paraId="13CDE54C">
            <w:pPr>
              <w:pStyle w:val="24"/>
              <w:jc w:val="left"/>
            </w:pPr>
            <w:r>
              <w:t>0.45</w:t>
            </w:r>
          </w:p>
        </w:tc>
      </w:tr>
      <w:tr w14:paraId="190FD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CE275">
            <w:pPr>
              <w:pStyle w:val="24"/>
              <w:jc w:val="left"/>
            </w:pPr>
            <w:r>
              <w:rPr>
                <w:rFonts w:hint="eastAsia"/>
              </w:rPr>
              <w:t>场内支路（检修道路）</w:t>
            </w:r>
          </w:p>
        </w:tc>
        <w:tc>
          <w:p w14:paraId="1EA2212F">
            <w:pPr>
              <w:pStyle w:val="24"/>
              <w:jc w:val="left"/>
            </w:pPr>
            <w:r>
              <w:t>2.5</w:t>
            </w:r>
          </w:p>
        </w:tc>
        <w:tc>
          <w:p w14:paraId="31003EE5">
            <w:pPr>
              <w:pStyle w:val="24"/>
              <w:jc w:val="left"/>
            </w:pPr>
            <w:r>
              <w:t>0.38</w:t>
            </w:r>
          </w:p>
        </w:tc>
      </w:tr>
    </w:tbl>
    <w:p w14:paraId="76CD44F8">
      <w:pPr>
        <w:pStyle w:val="3"/>
      </w:pPr>
      <w:r>
        <w:rPr>
          <w:rFonts w:hint="eastAsia"/>
        </w:rPr>
        <w:t>注：1.</w:t>
      </w:r>
      <w:r>
        <w:t xml:space="preserve"> </w:t>
      </w:r>
      <w:r>
        <w:rPr>
          <w:rFonts w:hint="eastAsia"/>
        </w:rPr>
        <w:t>用地宽度按道路路基两侧各加1m计算。</w:t>
      </w:r>
    </w:p>
    <w:p w14:paraId="11F4DA41">
      <w:pPr>
        <w:pStyle w:val="24"/>
        <w:numPr>
          <w:ilvl w:val="0"/>
          <w:numId w:val="5"/>
        </w:numPr>
      </w:pPr>
      <w:r>
        <w:rPr>
          <w:rFonts w:hint="eastAsia"/>
        </w:rPr>
        <w:t>位于山区时，用地指标可乘以1.1～1.2的系数。</w:t>
      </w:r>
    </w:p>
    <w:p w14:paraId="582C1096">
      <w:pPr>
        <w:pStyle w:val="24"/>
        <w:numPr>
          <w:ilvl w:val="0"/>
          <w:numId w:val="5"/>
        </w:numPr>
      </w:pPr>
      <w:r>
        <w:rPr>
          <w:rFonts w:hint="eastAsia"/>
        </w:rPr>
        <w:t>道路施工临时用地已包含在指标内，不另行计算。</w:t>
      </w:r>
    </w:p>
    <w:p w14:paraId="5A186247"/>
    <w:p w14:paraId="28E4A3A2">
      <w:pPr>
        <w:pStyle w:val="3"/>
      </w:pPr>
    </w:p>
    <w:bookmarkEnd w:id="0"/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321E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2128</Words>
  <Characters>2406</Characters>
  <Lines>12</Lines>
  <Paragraphs>8</Paragraphs>
  <TotalTime>7</TotalTime>
  <ScaleCrop>false</ScaleCrop>
  <LinksUpToDate>false</LinksUpToDate>
  <CharactersWithSpaces>2447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2026-05-09T06:54:00Z</dcterms:created>
  <dc:creator>晴失</dc:creator>
  <cp:lastModifiedBy>晴失</cp:lastModifiedBy>
  <dcterms:modified xsi:type="dcterms:W3CDTF">2026-05-09T06:56:45Z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69A10B39CC48409188C1FD77D9B3619E_13</vt:lpwstr>
  </property>
</Properties>
</file>