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CA39B">
      <w:pPr>
        <w:pStyle w:val="2"/>
        <w:jc w:val="center"/>
        <w:rPr>
          <w:rFonts w:hint="eastAsia" w:ascii="黑体" w:hAnsi="黑体" w:eastAsia="黑体" w:cs="黑体"/>
          <w:sz w:val="44"/>
          <w:szCs w:val="44"/>
        </w:rPr>
      </w:pPr>
      <w:bookmarkStart w:id="0" w:name="民用航空运输机场工程项目建设用地指标"/>
      <w:bookmarkStart w:id="12" w:name="_GoBack"/>
      <w:bookmarkEnd w:id="12"/>
      <w:r>
        <w:rPr>
          <w:rFonts w:hint="eastAsia" w:ascii="黑体" w:hAnsi="黑体" w:eastAsia="黑体" w:cs="黑体"/>
          <w:sz w:val="44"/>
          <w:szCs w:val="44"/>
        </w:rPr>
        <w:t>民用航空运输机场工程项目建设用地指标</w:t>
      </w:r>
    </w:p>
    <w:p w14:paraId="3AA23F6E">
      <w:pPr>
        <w:pStyle w:val="4"/>
      </w:pPr>
      <w:bookmarkStart w:id="1" w:name="第三章-飞行区建设用地指标"/>
      <w:r>
        <w:rPr>
          <w:rFonts w:hint="eastAsia"/>
        </w:rPr>
        <w:t>第三章</w:t>
      </w:r>
      <w:r>
        <w:t xml:space="preserve"> </w:t>
      </w:r>
      <w:r>
        <w:rPr>
          <w:rFonts w:hint="eastAsia"/>
        </w:rPr>
        <w:t>飞行区建设用地指标</w:t>
      </w:r>
    </w:p>
    <w:p w14:paraId="705787D1">
      <w:pPr>
        <w:pStyle w:val="5"/>
      </w:pPr>
      <w:bookmarkStart w:id="2" w:name="第一节-升降带及其附属设施建设用地指标"/>
      <w:r>
        <w:rPr>
          <w:rFonts w:hint="eastAsia"/>
        </w:rPr>
        <w:t>第一节</w:t>
      </w:r>
      <w:r>
        <w:t xml:space="preserve"> </w:t>
      </w:r>
      <w:r>
        <w:rPr>
          <w:rFonts w:hint="eastAsia"/>
        </w:rPr>
        <w:t>升降带及其附属设施建设用地指标</w:t>
      </w:r>
    </w:p>
    <w:p w14:paraId="1A2D0E4E">
      <w:pPr>
        <w:pStyle w:val="3"/>
      </w:pPr>
      <w:r>
        <w:rPr>
          <w:b/>
          <w:bCs/>
        </w:rPr>
        <w:t>3.1.1</w:t>
      </w:r>
      <w:r>
        <w:t xml:space="preserve"> </w:t>
      </w:r>
      <w:r>
        <w:rPr>
          <w:rFonts w:hint="eastAsia"/>
        </w:rPr>
        <w:t>一条跑道的升降带及其附属设施，含跑道、停止道、跑道端安全地区、巡场路、围栏(界)等。其建设用地应符合表3.1.1的规定。</w:t>
      </w:r>
    </w:p>
    <w:p w14:paraId="2D7C61C0">
      <w:pPr>
        <w:pStyle w:val="3"/>
      </w:pPr>
      <w:r>
        <w:rPr>
          <w:rFonts w:hint="eastAsia"/>
          <w:b/>
          <w:bCs/>
        </w:rPr>
        <w:t>表3.1.1</w:t>
      </w:r>
      <w:r>
        <w:rPr>
          <w:b/>
          <w:bCs/>
        </w:rPr>
        <w:t xml:space="preserve"> </w:t>
      </w:r>
      <w:r>
        <w:rPr>
          <w:rFonts w:hint="eastAsia"/>
          <w:b/>
          <w:bCs/>
        </w:rPr>
        <w:t>单条跑道升降带建设用地指标</w:t>
      </w:r>
    </w:p>
    <w:tbl>
      <w:tblPr>
        <w:tblStyle w:val="41"/>
        <w:tblW w:w="0" w:type="auto"/>
        <w:tblInd w:w="0" w:type="dxa"/>
        <w:tblLayout w:type="autofit"/>
        <w:tblCellMar>
          <w:top w:w="0" w:type="dxa"/>
          <w:left w:w="108" w:type="dxa"/>
          <w:bottom w:w="0" w:type="dxa"/>
          <w:right w:w="108" w:type="dxa"/>
        </w:tblCellMar>
      </w:tblPr>
      <w:tblGrid>
        <w:gridCol w:w="1903"/>
        <w:gridCol w:w="2857"/>
      </w:tblGrid>
      <w:tr w14:paraId="399481B1">
        <w:tblPrEx>
          <w:tblCellMar>
            <w:top w:w="0" w:type="dxa"/>
            <w:left w:w="108" w:type="dxa"/>
            <w:bottom w:w="0" w:type="dxa"/>
            <w:right w:w="108" w:type="dxa"/>
          </w:tblCellMar>
        </w:tblPrEx>
        <w:trPr>
          <w:tblHeader/>
        </w:trPr>
        <w:tc>
          <w:p w14:paraId="326246AA">
            <w:pPr>
              <w:pStyle w:val="24"/>
              <w:jc w:val="left"/>
            </w:pPr>
            <w:r>
              <w:rPr>
                <w:rFonts w:hint="eastAsia"/>
              </w:rPr>
              <w:t>跑道长度（m）</w:t>
            </w:r>
          </w:p>
        </w:tc>
        <w:tc>
          <w:p w14:paraId="7A60ECC9">
            <w:pPr>
              <w:pStyle w:val="24"/>
              <w:jc w:val="left"/>
            </w:pPr>
            <w:r>
              <w:rPr>
                <w:rFonts w:hint="eastAsia"/>
              </w:rPr>
              <w:t>升降带用地面积（hm²）</w:t>
            </w:r>
          </w:p>
        </w:tc>
      </w:tr>
      <w:tr w14:paraId="656FE43E">
        <w:tblPrEx>
          <w:tblCellMar>
            <w:top w:w="0" w:type="dxa"/>
            <w:left w:w="108" w:type="dxa"/>
            <w:bottom w:w="0" w:type="dxa"/>
            <w:right w:w="108" w:type="dxa"/>
          </w:tblCellMar>
        </w:tblPrEx>
        <w:tc>
          <w:p w14:paraId="5AB0FCE3">
            <w:pPr>
              <w:pStyle w:val="24"/>
              <w:jc w:val="left"/>
            </w:pPr>
            <w:r>
              <w:t>1600</w:t>
            </w:r>
          </w:p>
        </w:tc>
        <w:tc>
          <w:p w14:paraId="7648BB03">
            <w:pPr>
              <w:pStyle w:val="24"/>
              <w:jc w:val="left"/>
            </w:pPr>
            <w:r>
              <w:t>71.40</w:t>
            </w:r>
          </w:p>
        </w:tc>
      </w:tr>
      <w:tr w14:paraId="2D304B14">
        <w:tblPrEx>
          <w:tblCellMar>
            <w:top w:w="0" w:type="dxa"/>
            <w:left w:w="108" w:type="dxa"/>
            <w:bottom w:w="0" w:type="dxa"/>
            <w:right w:w="108" w:type="dxa"/>
          </w:tblCellMar>
        </w:tblPrEx>
        <w:tc>
          <w:p w14:paraId="1DAAE9D4">
            <w:pPr>
              <w:pStyle w:val="24"/>
              <w:jc w:val="left"/>
            </w:pPr>
            <w:r>
              <w:t>1800</w:t>
            </w:r>
          </w:p>
        </w:tc>
        <w:tc>
          <w:p w14:paraId="661B4751">
            <w:pPr>
              <w:pStyle w:val="24"/>
              <w:jc w:val="left"/>
            </w:pPr>
            <w:r>
              <w:t>78.20</w:t>
            </w:r>
          </w:p>
        </w:tc>
      </w:tr>
      <w:tr w14:paraId="596ABA43">
        <w:tblPrEx>
          <w:tblCellMar>
            <w:top w:w="0" w:type="dxa"/>
            <w:left w:w="108" w:type="dxa"/>
            <w:bottom w:w="0" w:type="dxa"/>
            <w:right w:w="108" w:type="dxa"/>
          </w:tblCellMar>
        </w:tblPrEx>
        <w:tc>
          <w:p w14:paraId="23FCE4CE">
            <w:pPr>
              <w:pStyle w:val="24"/>
              <w:jc w:val="left"/>
            </w:pPr>
            <w:r>
              <w:t>2000</w:t>
            </w:r>
          </w:p>
        </w:tc>
        <w:tc>
          <w:p w14:paraId="16BB8A5F">
            <w:pPr>
              <w:pStyle w:val="24"/>
              <w:jc w:val="left"/>
            </w:pPr>
            <w:r>
              <w:t>85.00</w:t>
            </w:r>
          </w:p>
        </w:tc>
      </w:tr>
      <w:tr w14:paraId="345A6BF8">
        <w:tblPrEx>
          <w:tblCellMar>
            <w:top w:w="0" w:type="dxa"/>
            <w:left w:w="108" w:type="dxa"/>
            <w:bottom w:w="0" w:type="dxa"/>
            <w:right w:w="108" w:type="dxa"/>
          </w:tblCellMar>
        </w:tblPrEx>
        <w:tc>
          <w:p w14:paraId="4638FA7C">
            <w:pPr>
              <w:pStyle w:val="24"/>
              <w:jc w:val="left"/>
            </w:pPr>
            <w:r>
              <w:t>2200</w:t>
            </w:r>
          </w:p>
        </w:tc>
        <w:tc>
          <w:p w14:paraId="68CB117A">
            <w:pPr>
              <w:pStyle w:val="24"/>
              <w:jc w:val="left"/>
            </w:pPr>
            <w:r>
              <w:t>91.80</w:t>
            </w:r>
          </w:p>
        </w:tc>
      </w:tr>
      <w:tr w14:paraId="37F27CDE">
        <w:tblPrEx>
          <w:tblCellMar>
            <w:top w:w="0" w:type="dxa"/>
            <w:left w:w="108" w:type="dxa"/>
            <w:bottom w:w="0" w:type="dxa"/>
            <w:right w:w="108" w:type="dxa"/>
          </w:tblCellMar>
        </w:tblPrEx>
        <w:tc>
          <w:p w14:paraId="06B445CE">
            <w:pPr>
              <w:pStyle w:val="24"/>
              <w:jc w:val="left"/>
            </w:pPr>
            <w:r>
              <w:t>2400</w:t>
            </w:r>
          </w:p>
        </w:tc>
        <w:tc>
          <w:p w14:paraId="398198F2">
            <w:pPr>
              <w:pStyle w:val="24"/>
              <w:jc w:val="left"/>
            </w:pPr>
            <w:r>
              <w:t>96.80</w:t>
            </w:r>
          </w:p>
        </w:tc>
      </w:tr>
      <w:tr w14:paraId="40034C54">
        <w:tblPrEx>
          <w:tblCellMar>
            <w:top w:w="0" w:type="dxa"/>
            <w:left w:w="108" w:type="dxa"/>
            <w:bottom w:w="0" w:type="dxa"/>
            <w:right w:w="108" w:type="dxa"/>
          </w:tblCellMar>
        </w:tblPrEx>
        <w:tc>
          <w:p w14:paraId="14AE1138">
            <w:pPr>
              <w:pStyle w:val="24"/>
              <w:jc w:val="left"/>
            </w:pPr>
            <w:r>
              <w:t>2600</w:t>
            </w:r>
          </w:p>
        </w:tc>
        <w:tc>
          <w:p w14:paraId="4E9B91C4">
            <w:pPr>
              <w:pStyle w:val="24"/>
              <w:jc w:val="left"/>
            </w:pPr>
            <w:r>
              <w:t>105.40</w:t>
            </w:r>
          </w:p>
        </w:tc>
      </w:tr>
      <w:tr w14:paraId="3F9C0315">
        <w:tblPrEx>
          <w:tblCellMar>
            <w:top w:w="0" w:type="dxa"/>
            <w:left w:w="108" w:type="dxa"/>
            <w:bottom w:w="0" w:type="dxa"/>
            <w:right w:w="108" w:type="dxa"/>
          </w:tblCellMar>
        </w:tblPrEx>
        <w:tc>
          <w:p w14:paraId="30813934">
            <w:pPr>
              <w:pStyle w:val="24"/>
              <w:jc w:val="left"/>
            </w:pPr>
            <w:r>
              <w:t>2800</w:t>
            </w:r>
          </w:p>
        </w:tc>
        <w:tc>
          <w:p w14:paraId="7C22B091">
            <w:pPr>
              <w:pStyle w:val="24"/>
              <w:jc w:val="left"/>
            </w:pPr>
            <w:r>
              <w:t>112.20</w:t>
            </w:r>
          </w:p>
        </w:tc>
      </w:tr>
      <w:tr w14:paraId="5E46085B">
        <w:tblPrEx>
          <w:tblCellMar>
            <w:top w:w="0" w:type="dxa"/>
            <w:left w:w="108" w:type="dxa"/>
            <w:bottom w:w="0" w:type="dxa"/>
            <w:right w:w="108" w:type="dxa"/>
          </w:tblCellMar>
        </w:tblPrEx>
        <w:tc>
          <w:p w14:paraId="174368D4">
            <w:pPr>
              <w:pStyle w:val="24"/>
              <w:jc w:val="left"/>
            </w:pPr>
            <w:r>
              <w:t>3000</w:t>
            </w:r>
          </w:p>
        </w:tc>
        <w:tc>
          <w:p w14:paraId="1896C8B3">
            <w:pPr>
              <w:pStyle w:val="24"/>
              <w:jc w:val="left"/>
            </w:pPr>
            <w:r>
              <w:t>119.00</w:t>
            </w:r>
          </w:p>
        </w:tc>
      </w:tr>
      <w:tr w14:paraId="57182E6C">
        <w:tblPrEx>
          <w:tblCellMar>
            <w:top w:w="0" w:type="dxa"/>
            <w:left w:w="108" w:type="dxa"/>
            <w:bottom w:w="0" w:type="dxa"/>
            <w:right w:w="108" w:type="dxa"/>
          </w:tblCellMar>
        </w:tblPrEx>
        <w:tc>
          <w:p w14:paraId="76931866">
            <w:pPr>
              <w:pStyle w:val="24"/>
              <w:jc w:val="left"/>
            </w:pPr>
            <w:r>
              <w:t>3200</w:t>
            </w:r>
          </w:p>
        </w:tc>
        <w:tc>
          <w:p w14:paraId="21DDA752">
            <w:pPr>
              <w:pStyle w:val="24"/>
              <w:jc w:val="left"/>
            </w:pPr>
            <w:r>
              <w:t>125.80</w:t>
            </w:r>
          </w:p>
        </w:tc>
      </w:tr>
      <w:tr w14:paraId="12B8EC7E">
        <w:tblPrEx>
          <w:tblCellMar>
            <w:top w:w="0" w:type="dxa"/>
            <w:left w:w="108" w:type="dxa"/>
            <w:bottom w:w="0" w:type="dxa"/>
            <w:right w:w="108" w:type="dxa"/>
          </w:tblCellMar>
        </w:tblPrEx>
        <w:tc>
          <w:p w14:paraId="05130F41">
            <w:pPr>
              <w:pStyle w:val="24"/>
              <w:jc w:val="left"/>
            </w:pPr>
            <w:r>
              <w:t>3400</w:t>
            </w:r>
          </w:p>
        </w:tc>
        <w:tc>
          <w:p w14:paraId="3C4AEEB1">
            <w:pPr>
              <w:pStyle w:val="24"/>
              <w:jc w:val="left"/>
            </w:pPr>
            <w:r>
              <w:t>132.60</w:t>
            </w:r>
          </w:p>
        </w:tc>
      </w:tr>
      <w:tr w14:paraId="6CE21079">
        <w:tblPrEx>
          <w:tblCellMar>
            <w:top w:w="0" w:type="dxa"/>
            <w:left w:w="108" w:type="dxa"/>
            <w:bottom w:w="0" w:type="dxa"/>
            <w:right w:w="108" w:type="dxa"/>
          </w:tblCellMar>
        </w:tblPrEx>
        <w:tc>
          <w:p w14:paraId="20883CA1">
            <w:pPr>
              <w:pStyle w:val="24"/>
              <w:jc w:val="left"/>
            </w:pPr>
            <w:r>
              <w:t>3600</w:t>
            </w:r>
          </w:p>
        </w:tc>
        <w:tc>
          <w:p w14:paraId="656A38BF">
            <w:pPr>
              <w:pStyle w:val="24"/>
              <w:jc w:val="left"/>
            </w:pPr>
            <w:r>
              <w:t>139.40</w:t>
            </w:r>
          </w:p>
        </w:tc>
      </w:tr>
      <w:tr w14:paraId="4F91E81C">
        <w:tblPrEx>
          <w:tblCellMar>
            <w:top w:w="0" w:type="dxa"/>
            <w:left w:w="108" w:type="dxa"/>
            <w:bottom w:w="0" w:type="dxa"/>
            <w:right w:w="108" w:type="dxa"/>
          </w:tblCellMar>
        </w:tblPrEx>
        <w:tc>
          <w:p w14:paraId="504B80F0">
            <w:pPr>
              <w:pStyle w:val="24"/>
              <w:jc w:val="left"/>
            </w:pPr>
            <w:r>
              <w:t>3800</w:t>
            </w:r>
          </w:p>
        </w:tc>
        <w:tc>
          <w:p w14:paraId="1D45E7AF">
            <w:pPr>
              <w:pStyle w:val="24"/>
              <w:jc w:val="left"/>
            </w:pPr>
            <w:r>
              <w:t>146.20</w:t>
            </w:r>
          </w:p>
        </w:tc>
      </w:tr>
      <w:tr w14:paraId="00EF72CE">
        <w:tblPrEx>
          <w:tblCellMar>
            <w:top w:w="0" w:type="dxa"/>
            <w:left w:w="108" w:type="dxa"/>
            <w:bottom w:w="0" w:type="dxa"/>
            <w:right w:w="108" w:type="dxa"/>
          </w:tblCellMar>
        </w:tblPrEx>
        <w:tc>
          <w:p w14:paraId="7D6B6E20">
            <w:pPr>
              <w:pStyle w:val="24"/>
              <w:jc w:val="left"/>
            </w:pPr>
            <w:r>
              <w:t>4000</w:t>
            </w:r>
          </w:p>
        </w:tc>
        <w:tc>
          <w:p w14:paraId="361015AA">
            <w:pPr>
              <w:pStyle w:val="24"/>
              <w:jc w:val="left"/>
            </w:pPr>
            <w:r>
              <w:t>153.00</w:t>
            </w:r>
          </w:p>
        </w:tc>
      </w:tr>
      <w:tr w14:paraId="0843AC98">
        <w:tblPrEx>
          <w:tblCellMar>
            <w:top w:w="0" w:type="dxa"/>
            <w:left w:w="108" w:type="dxa"/>
            <w:bottom w:w="0" w:type="dxa"/>
            <w:right w:w="108" w:type="dxa"/>
          </w:tblCellMar>
        </w:tblPrEx>
        <w:tc>
          <w:p w14:paraId="549B2DFD">
            <w:pPr>
              <w:pStyle w:val="24"/>
              <w:jc w:val="left"/>
            </w:pPr>
            <w:r>
              <w:t>4200</w:t>
            </w:r>
          </w:p>
        </w:tc>
        <w:tc>
          <w:p w14:paraId="73AEEB3F">
            <w:pPr>
              <w:pStyle w:val="24"/>
              <w:jc w:val="left"/>
            </w:pPr>
            <w:r>
              <w:t>159.80</w:t>
            </w:r>
          </w:p>
        </w:tc>
      </w:tr>
    </w:tbl>
    <w:p w14:paraId="64B27113">
      <w:pPr>
        <w:pStyle w:val="3"/>
      </w:pPr>
      <w:r>
        <w:rPr>
          <w:rFonts w:hint="eastAsia"/>
        </w:rPr>
        <w:t>注：不同跑道长度可按插入法或按附录A附图1公式计算。</w:t>
      </w:r>
    </w:p>
    <w:p w14:paraId="67E01877">
      <w:pPr>
        <w:pStyle w:val="3"/>
      </w:pPr>
      <w:r>
        <w:rPr>
          <w:b/>
          <w:bCs/>
        </w:rPr>
        <w:t>3.1.2</w:t>
      </w:r>
      <w:r>
        <w:t xml:space="preserve"> </w:t>
      </w:r>
      <w:r>
        <w:rPr>
          <w:rFonts w:hint="eastAsia"/>
        </w:rPr>
        <w:t>两条近距离跑道的升降带及其附属设施，含跑道、停止道、跑道端安全地区、巡场路、围栏(界)等。其建设用地应符合表3.1.2的规定。</w:t>
      </w:r>
    </w:p>
    <w:p w14:paraId="34844017">
      <w:pPr>
        <w:pStyle w:val="3"/>
      </w:pPr>
      <w:r>
        <w:rPr>
          <w:rFonts w:hint="eastAsia"/>
          <w:b/>
          <w:bCs/>
        </w:rPr>
        <w:t>表3.1.2</w:t>
      </w:r>
      <w:r>
        <w:rPr>
          <w:b/>
          <w:bCs/>
        </w:rPr>
        <w:t xml:space="preserve"> </w:t>
      </w:r>
      <w:r>
        <w:rPr>
          <w:rFonts w:hint="eastAsia"/>
          <w:b/>
          <w:bCs/>
        </w:rPr>
        <w:t>两条近距离跑道升降带建设用地指标（hm²）</w:t>
      </w:r>
    </w:p>
    <w:tbl>
      <w:tblPr>
        <w:tblStyle w:val="41"/>
        <w:tblW w:w="0" w:type="auto"/>
        <w:tblInd w:w="0" w:type="dxa"/>
        <w:tblLayout w:type="autofit"/>
        <w:tblCellMar>
          <w:top w:w="0" w:type="dxa"/>
          <w:left w:w="108" w:type="dxa"/>
          <w:bottom w:w="0" w:type="dxa"/>
          <w:right w:w="108" w:type="dxa"/>
        </w:tblCellMar>
      </w:tblPr>
      <w:tblGrid>
        <w:gridCol w:w="1903"/>
        <w:gridCol w:w="2483"/>
        <w:gridCol w:w="2483"/>
      </w:tblGrid>
      <w:tr w14:paraId="6784F8CE">
        <w:tblPrEx>
          <w:tblCellMar>
            <w:top w:w="0" w:type="dxa"/>
            <w:left w:w="108" w:type="dxa"/>
            <w:bottom w:w="0" w:type="dxa"/>
            <w:right w:w="108" w:type="dxa"/>
          </w:tblCellMar>
        </w:tblPrEx>
        <w:trPr>
          <w:tblHeader/>
        </w:trPr>
        <w:tc>
          <w:p w14:paraId="5D46419D">
            <w:pPr>
              <w:pStyle w:val="24"/>
              <w:jc w:val="left"/>
            </w:pPr>
            <w:r>
              <w:rPr>
                <w:rFonts w:hint="eastAsia"/>
              </w:rPr>
              <w:t>跑道长度（m）</w:t>
            </w:r>
          </w:p>
        </w:tc>
        <w:tc>
          <w:p w14:paraId="1BFD370C">
            <w:pPr>
              <w:pStyle w:val="24"/>
              <w:jc w:val="left"/>
            </w:pPr>
            <w:r>
              <w:rPr>
                <w:rFonts w:hint="eastAsia"/>
              </w:rPr>
              <w:t>跑道间距760（m）</w:t>
            </w:r>
          </w:p>
        </w:tc>
        <w:tc>
          <w:p w14:paraId="4B79FC84">
            <w:pPr>
              <w:pStyle w:val="24"/>
              <w:jc w:val="left"/>
            </w:pPr>
            <w:r>
              <w:rPr>
                <w:rFonts w:hint="eastAsia"/>
              </w:rPr>
              <w:t>跑道间距400（m）</w:t>
            </w:r>
          </w:p>
        </w:tc>
      </w:tr>
      <w:tr w14:paraId="13F2E215">
        <w:tblPrEx>
          <w:tblCellMar>
            <w:top w:w="0" w:type="dxa"/>
            <w:left w:w="108" w:type="dxa"/>
            <w:bottom w:w="0" w:type="dxa"/>
            <w:right w:w="108" w:type="dxa"/>
          </w:tblCellMar>
        </w:tblPrEx>
        <w:tc>
          <w:p w14:paraId="2A93A9D3">
            <w:pPr>
              <w:pStyle w:val="24"/>
              <w:jc w:val="left"/>
            </w:pPr>
            <w:r>
              <w:t>3000</w:t>
            </w:r>
          </w:p>
        </w:tc>
        <w:tc>
          <w:p w14:paraId="702F1250">
            <w:pPr>
              <w:pStyle w:val="24"/>
              <w:jc w:val="left"/>
            </w:pPr>
            <w:r>
              <w:t>364.00</w:t>
            </w:r>
          </w:p>
        </w:tc>
        <w:tc>
          <w:p w14:paraId="18232ECE">
            <w:pPr>
              <w:pStyle w:val="24"/>
              <w:jc w:val="left"/>
            </w:pPr>
            <w:r>
              <w:t>256.00</w:t>
            </w:r>
          </w:p>
        </w:tc>
      </w:tr>
      <w:tr w14:paraId="21E1B501">
        <w:tblPrEx>
          <w:tblCellMar>
            <w:top w:w="0" w:type="dxa"/>
            <w:left w:w="108" w:type="dxa"/>
            <w:bottom w:w="0" w:type="dxa"/>
            <w:right w:w="108" w:type="dxa"/>
          </w:tblCellMar>
        </w:tblPrEx>
        <w:tc>
          <w:p w14:paraId="46427716">
            <w:pPr>
              <w:pStyle w:val="24"/>
              <w:jc w:val="left"/>
            </w:pPr>
            <w:r>
              <w:t>3200</w:t>
            </w:r>
          </w:p>
        </w:tc>
        <w:tc>
          <w:p w14:paraId="78E2E50D">
            <w:pPr>
              <w:pStyle w:val="24"/>
              <w:jc w:val="left"/>
            </w:pPr>
            <w:r>
              <w:t>386.00</w:t>
            </w:r>
          </w:p>
        </w:tc>
        <w:tc>
          <w:p w14:paraId="5F198C6B">
            <w:pPr>
              <w:pStyle w:val="24"/>
              <w:jc w:val="left"/>
            </w:pPr>
            <w:r>
              <w:t>270.80</w:t>
            </w:r>
          </w:p>
        </w:tc>
      </w:tr>
      <w:tr w14:paraId="422262F3">
        <w:tblPrEx>
          <w:tblCellMar>
            <w:top w:w="0" w:type="dxa"/>
            <w:left w:w="108" w:type="dxa"/>
            <w:bottom w:w="0" w:type="dxa"/>
            <w:right w:w="108" w:type="dxa"/>
          </w:tblCellMar>
        </w:tblPrEx>
        <w:tc>
          <w:p w14:paraId="169F28A2">
            <w:pPr>
              <w:pStyle w:val="24"/>
              <w:jc w:val="left"/>
            </w:pPr>
            <w:r>
              <w:t>3400</w:t>
            </w:r>
          </w:p>
        </w:tc>
        <w:tc>
          <w:p w14:paraId="5E3790DD">
            <w:pPr>
              <w:pStyle w:val="24"/>
              <w:jc w:val="left"/>
            </w:pPr>
            <w:r>
              <w:t>408.00</w:t>
            </w:r>
          </w:p>
        </w:tc>
        <w:tc>
          <w:p w14:paraId="2CB02E7D">
            <w:pPr>
              <w:pStyle w:val="24"/>
              <w:jc w:val="left"/>
            </w:pPr>
            <w:r>
              <w:t>285.60</w:t>
            </w:r>
          </w:p>
        </w:tc>
      </w:tr>
      <w:tr w14:paraId="0069F2AB">
        <w:tblPrEx>
          <w:tblCellMar>
            <w:top w:w="0" w:type="dxa"/>
            <w:left w:w="108" w:type="dxa"/>
            <w:bottom w:w="0" w:type="dxa"/>
            <w:right w:w="108" w:type="dxa"/>
          </w:tblCellMar>
        </w:tblPrEx>
        <w:tc>
          <w:p w14:paraId="5854ADE3">
            <w:pPr>
              <w:pStyle w:val="24"/>
              <w:jc w:val="left"/>
            </w:pPr>
            <w:r>
              <w:t>3600</w:t>
            </w:r>
          </w:p>
        </w:tc>
        <w:tc>
          <w:p w14:paraId="68E1B7AB">
            <w:pPr>
              <w:pStyle w:val="24"/>
              <w:jc w:val="left"/>
            </w:pPr>
            <w:r>
              <w:t>430.00</w:t>
            </w:r>
          </w:p>
        </w:tc>
        <w:tc>
          <w:p w14:paraId="2F06D20A">
            <w:pPr>
              <w:pStyle w:val="24"/>
              <w:jc w:val="left"/>
            </w:pPr>
            <w:r>
              <w:t>300.40</w:t>
            </w:r>
          </w:p>
        </w:tc>
      </w:tr>
      <w:tr w14:paraId="45DCA0D0">
        <w:tblPrEx>
          <w:tblCellMar>
            <w:top w:w="0" w:type="dxa"/>
            <w:left w:w="108" w:type="dxa"/>
            <w:bottom w:w="0" w:type="dxa"/>
            <w:right w:w="108" w:type="dxa"/>
          </w:tblCellMar>
        </w:tblPrEx>
        <w:tc>
          <w:p w14:paraId="3A9CAAF9">
            <w:pPr>
              <w:pStyle w:val="24"/>
              <w:jc w:val="left"/>
            </w:pPr>
            <w:r>
              <w:t>3800</w:t>
            </w:r>
          </w:p>
        </w:tc>
        <w:tc>
          <w:p w14:paraId="7CA95304">
            <w:pPr>
              <w:pStyle w:val="24"/>
              <w:jc w:val="left"/>
            </w:pPr>
            <w:r>
              <w:t>452.00</w:t>
            </w:r>
          </w:p>
        </w:tc>
        <w:tc>
          <w:p w14:paraId="1138C081">
            <w:pPr>
              <w:pStyle w:val="24"/>
              <w:jc w:val="left"/>
            </w:pPr>
            <w:r>
              <w:t>315.20</w:t>
            </w:r>
          </w:p>
        </w:tc>
      </w:tr>
      <w:tr w14:paraId="529B8BE8">
        <w:tblPrEx>
          <w:tblCellMar>
            <w:top w:w="0" w:type="dxa"/>
            <w:left w:w="108" w:type="dxa"/>
            <w:bottom w:w="0" w:type="dxa"/>
            <w:right w:w="108" w:type="dxa"/>
          </w:tblCellMar>
        </w:tblPrEx>
        <w:tc>
          <w:p w14:paraId="64EBB2AE">
            <w:pPr>
              <w:pStyle w:val="24"/>
              <w:jc w:val="left"/>
            </w:pPr>
            <w:r>
              <w:t>4000</w:t>
            </w:r>
          </w:p>
        </w:tc>
        <w:tc>
          <w:p w14:paraId="2E78A00B">
            <w:pPr>
              <w:pStyle w:val="24"/>
              <w:jc w:val="left"/>
            </w:pPr>
            <w:r>
              <w:t>474.00</w:t>
            </w:r>
          </w:p>
        </w:tc>
        <w:tc>
          <w:p w14:paraId="456F1AEA">
            <w:pPr>
              <w:pStyle w:val="24"/>
              <w:jc w:val="left"/>
            </w:pPr>
            <w:r>
              <w:t>330.00</w:t>
            </w:r>
          </w:p>
        </w:tc>
      </w:tr>
      <w:tr w14:paraId="5EAF7F94">
        <w:tblPrEx>
          <w:tblCellMar>
            <w:top w:w="0" w:type="dxa"/>
            <w:left w:w="108" w:type="dxa"/>
            <w:bottom w:w="0" w:type="dxa"/>
            <w:right w:w="108" w:type="dxa"/>
          </w:tblCellMar>
        </w:tblPrEx>
        <w:tc>
          <w:p w14:paraId="2B1E9320">
            <w:pPr>
              <w:pStyle w:val="24"/>
              <w:jc w:val="left"/>
            </w:pPr>
            <w:r>
              <w:t>4200</w:t>
            </w:r>
          </w:p>
        </w:tc>
        <w:tc>
          <w:p w14:paraId="44ED14C1">
            <w:pPr>
              <w:pStyle w:val="24"/>
              <w:jc w:val="left"/>
            </w:pPr>
            <w:r>
              <w:t>496.00</w:t>
            </w:r>
          </w:p>
        </w:tc>
        <w:tc>
          <w:p w14:paraId="3B49D6E4">
            <w:pPr>
              <w:pStyle w:val="24"/>
              <w:jc w:val="left"/>
            </w:pPr>
            <w:r>
              <w:t>344.80</w:t>
            </w:r>
          </w:p>
        </w:tc>
      </w:tr>
    </w:tbl>
    <w:p w14:paraId="3FE64094">
      <w:pPr>
        <w:pStyle w:val="3"/>
      </w:pPr>
      <w:r>
        <w:rPr>
          <w:rFonts w:hint="eastAsia"/>
        </w:rPr>
        <w:t>注：</w:t>
      </w:r>
    </w:p>
    <w:p w14:paraId="49C36579">
      <w:pPr>
        <w:pStyle w:val="24"/>
        <w:numPr>
          <w:ilvl w:val="0"/>
          <w:numId w:val="1"/>
        </w:numPr>
      </w:pPr>
      <w:r>
        <w:rPr>
          <w:rFonts w:hint="eastAsia"/>
        </w:rPr>
        <w:t>本表计算基础条件：两条跑道长度相等，两端错开500m。其他情况时可按插入法或按附录A附图4公式计算。</w:t>
      </w:r>
    </w:p>
    <w:p w14:paraId="7988C61B">
      <w:pPr>
        <w:pStyle w:val="24"/>
        <w:numPr>
          <w:ilvl w:val="0"/>
          <w:numId w:val="1"/>
        </w:numPr>
      </w:pPr>
      <w:r>
        <w:rPr>
          <w:rFonts w:hint="eastAsia"/>
        </w:rPr>
        <w:t>不同间距的平行跑道的运行条件及相关标准见条文说明。</w:t>
      </w:r>
    </w:p>
    <w:bookmarkEnd w:id="2"/>
    <w:p w14:paraId="24B2BEE2">
      <w:pPr>
        <w:pStyle w:val="5"/>
      </w:pPr>
      <w:bookmarkStart w:id="3" w:name="第二节-平行滑行道建设用地指标"/>
      <w:r>
        <w:rPr>
          <w:rFonts w:hint="eastAsia"/>
        </w:rPr>
        <w:t>第二节</w:t>
      </w:r>
      <w:r>
        <w:t xml:space="preserve"> </w:t>
      </w:r>
      <w:r>
        <w:rPr>
          <w:rFonts w:hint="eastAsia"/>
        </w:rPr>
        <w:t>平行滑行道建设用地指标</w:t>
      </w:r>
    </w:p>
    <w:p w14:paraId="68CDF04F">
      <w:pPr>
        <w:pStyle w:val="3"/>
      </w:pPr>
      <w:r>
        <w:rPr>
          <w:b/>
          <w:bCs/>
        </w:rPr>
        <w:t>3.2.1</w:t>
      </w:r>
      <w:r>
        <w:t xml:space="preserve"> </w:t>
      </w:r>
      <w:r>
        <w:rPr>
          <w:rFonts w:hint="eastAsia"/>
        </w:rPr>
        <w:t>设有一条平行滑行道的飞行区，应按表3.2.1增加其用地面积。</w:t>
      </w:r>
    </w:p>
    <w:p w14:paraId="40A6563E">
      <w:pPr>
        <w:pStyle w:val="3"/>
      </w:pPr>
      <w:r>
        <w:rPr>
          <w:rFonts w:hint="eastAsia"/>
          <w:b/>
          <w:bCs/>
        </w:rPr>
        <w:t>表3.2.1</w:t>
      </w:r>
      <w:r>
        <w:rPr>
          <w:b/>
          <w:bCs/>
        </w:rPr>
        <w:t xml:space="preserve"> </w:t>
      </w:r>
      <w:r>
        <w:rPr>
          <w:rFonts w:hint="eastAsia"/>
          <w:b/>
          <w:bCs/>
        </w:rPr>
        <w:t>第一条平行滑行道建设用地指标（hm²）</w:t>
      </w:r>
    </w:p>
    <w:tbl>
      <w:tblPr>
        <w:tblStyle w:val="41"/>
        <w:tblW w:w="0" w:type="auto"/>
        <w:tblInd w:w="0" w:type="dxa"/>
        <w:tblLayout w:type="autofit"/>
        <w:tblCellMar>
          <w:top w:w="0" w:type="dxa"/>
          <w:left w:w="108" w:type="dxa"/>
          <w:bottom w:w="0" w:type="dxa"/>
          <w:right w:w="108" w:type="dxa"/>
        </w:tblCellMar>
      </w:tblPr>
      <w:tblGrid>
        <w:gridCol w:w="1607"/>
        <w:gridCol w:w="1607"/>
        <w:gridCol w:w="978"/>
        <w:gridCol w:w="978"/>
        <w:gridCol w:w="978"/>
      </w:tblGrid>
      <w:tr w14:paraId="16CD2ADC">
        <w:tblPrEx>
          <w:tblCellMar>
            <w:top w:w="0" w:type="dxa"/>
            <w:left w:w="108" w:type="dxa"/>
            <w:bottom w:w="0" w:type="dxa"/>
            <w:right w:w="108" w:type="dxa"/>
          </w:tblCellMar>
        </w:tblPrEx>
        <w:trPr>
          <w:tblHeader/>
        </w:trPr>
        <w:tc>
          <w:p w14:paraId="20CC54C1">
            <w:pPr>
              <w:pStyle w:val="24"/>
              <w:jc w:val="left"/>
            </w:pPr>
            <w:r>
              <w:rPr>
                <w:rFonts w:hint="eastAsia"/>
              </w:rPr>
              <w:t>跑道长度(m)</w:t>
            </w:r>
          </w:p>
        </w:tc>
        <w:tc>
          <w:p w14:paraId="32B512D8">
            <w:pPr>
              <w:pStyle w:val="24"/>
              <w:jc w:val="left"/>
            </w:pPr>
            <w:r>
              <w:rPr>
                <w:rFonts w:hint="eastAsia"/>
              </w:rPr>
              <w:t>跑滑间距(m)</w:t>
            </w:r>
          </w:p>
        </w:tc>
        <w:tc>
          <w:p w14:paraId="34BEFFAB">
            <w:pPr>
              <w:pStyle w:val="24"/>
            </w:pPr>
          </w:p>
        </w:tc>
        <w:tc>
          <w:p w14:paraId="4548D406">
            <w:pPr>
              <w:pStyle w:val="24"/>
            </w:pPr>
          </w:p>
        </w:tc>
        <w:tc>
          <w:p w14:paraId="2BE04823">
            <w:pPr>
              <w:pStyle w:val="24"/>
            </w:pPr>
          </w:p>
        </w:tc>
      </w:tr>
      <w:tr w14:paraId="13A4EFD9">
        <w:tblPrEx>
          <w:tblCellMar>
            <w:top w:w="0" w:type="dxa"/>
            <w:left w:w="108" w:type="dxa"/>
            <w:bottom w:w="0" w:type="dxa"/>
            <w:right w:w="108" w:type="dxa"/>
          </w:tblCellMar>
        </w:tblPrEx>
        <w:tc>
          <w:p w14:paraId="1AF9AD52">
            <w:pPr>
              <w:pStyle w:val="24"/>
            </w:pPr>
          </w:p>
        </w:tc>
        <w:tc>
          <w:p w14:paraId="2A047266">
            <w:pPr>
              <w:pStyle w:val="24"/>
              <w:jc w:val="left"/>
            </w:pPr>
            <w:r>
              <w:t>168</w:t>
            </w:r>
          </w:p>
        </w:tc>
        <w:tc>
          <w:p w14:paraId="6A553C0F">
            <w:pPr>
              <w:pStyle w:val="24"/>
              <w:jc w:val="left"/>
            </w:pPr>
            <w:r>
              <w:t>176</w:t>
            </w:r>
          </w:p>
        </w:tc>
        <w:tc>
          <w:p w14:paraId="1D1DD0B0">
            <w:pPr>
              <w:pStyle w:val="24"/>
              <w:jc w:val="left"/>
            </w:pPr>
            <w:r>
              <w:t>182.5</w:t>
            </w:r>
          </w:p>
        </w:tc>
        <w:tc>
          <w:p w14:paraId="1E02B63C">
            <w:pPr>
              <w:pStyle w:val="24"/>
              <w:jc w:val="left"/>
            </w:pPr>
            <w:r>
              <w:t>190</w:t>
            </w:r>
          </w:p>
        </w:tc>
      </w:tr>
      <w:tr w14:paraId="10798195">
        <w:tblPrEx>
          <w:tblCellMar>
            <w:top w:w="0" w:type="dxa"/>
            <w:left w:w="108" w:type="dxa"/>
            <w:bottom w:w="0" w:type="dxa"/>
            <w:right w:w="108" w:type="dxa"/>
          </w:tblCellMar>
        </w:tblPrEx>
        <w:tc>
          <w:p w14:paraId="69C0CD0D">
            <w:pPr>
              <w:pStyle w:val="24"/>
              <w:jc w:val="left"/>
            </w:pPr>
            <w:r>
              <w:t>1600</w:t>
            </w:r>
          </w:p>
        </w:tc>
        <w:tc>
          <w:p w14:paraId="36181FBC">
            <w:pPr>
              <w:pStyle w:val="24"/>
              <w:jc w:val="left"/>
            </w:pPr>
            <w:r>
              <w:t>5.64</w:t>
            </w:r>
          </w:p>
        </w:tc>
        <w:tc>
          <w:p w14:paraId="34BC6C6F">
            <w:pPr>
              <w:pStyle w:val="24"/>
              <w:jc w:val="left"/>
            </w:pPr>
            <w:r>
              <w:t>—</w:t>
            </w:r>
          </w:p>
        </w:tc>
        <w:tc>
          <w:p w14:paraId="7004A575">
            <w:pPr>
              <w:pStyle w:val="24"/>
              <w:jc w:val="left"/>
            </w:pPr>
            <w:r>
              <w:t>—</w:t>
            </w:r>
          </w:p>
        </w:tc>
        <w:tc>
          <w:p w14:paraId="1C5BC66F">
            <w:pPr>
              <w:pStyle w:val="24"/>
              <w:jc w:val="left"/>
            </w:pPr>
            <w:r>
              <w:t>—</w:t>
            </w:r>
          </w:p>
        </w:tc>
      </w:tr>
      <w:tr w14:paraId="606A31D4">
        <w:tblPrEx>
          <w:tblCellMar>
            <w:top w:w="0" w:type="dxa"/>
            <w:left w:w="108" w:type="dxa"/>
            <w:bottom w:w="0" w:type="dxa"/>
            <w:right w:w="108" w:type="dxa"/>
          </w:tblCellMar>
        </w:tblPrEx>
        <w:tc>
          <w:p w14:paraId="2E794FC9">
            <w:pPr>
              <w:pStyle w:val="24"/>
              <w:jc w:val="left"/>
            </w:pPr>
            <w:r>
              <w:t>1800</w:t>
            </w:r>
          </w:p>
        </w:tc>
        <w:tc>
          <w:p w14:paraId="4843CE83">
            <w:pPr>
              <w:pStyle w:val="24"/>
              <w:jc w:val="left"/>
            </w:pPr>
            <w:r>
              <w:t>6.32</w:t>
            </w:r>
          </w:p>
        </w:tc>
        <w:tc>
          <w:p w14:paraId="0CEB47FF">
            <w:pPr>
              <w:pStyle w:val="24"/>
              <w:jc w:val="left"/>
            </w:pPr>
            <w:r>
              <w:t>—</w:t>
            </w:r>
          </w:p>
        </w:tc>
        <w:tc>
          <w:p w14:paraId="37CCE43A">
            <w:pPr>
              <w:pStyle w:val="24"/>
              <w:jc w:val="left"/>
            </w:pPr>
            <w:r>
              <w:t>—</w:t>
            </w:r>
          </w:p>
        </w:tc>
        <w:tc>
          <w:p w14:paraId="362DFE35">
            <w:pPr>
              <w:pStyle w:val="24"/>
              <w:jc w:val="left"/>
            </w:pPr>
            <w:r>
              <w:t>—</w:t>
            </w:r>
          </w:p>
        </w:tc>
      </w:tr>
      <w:tr w14:paraId="719F8BE4">
        <w:tblPrEx>
          <w:tblCellMar>
            <w:top w:w="0" w:type="dxa"/>
            <w:left w:w="108" w:type="dxa"/>
            <w:bottom w:w="0" w:type="dxa"/>
            <w:right w:w="108" w:type="dxa"/>
          </w:tblCellMar>
        </w:tblPrEx>
        <w:tc>
          <w:p w14:paraId="7607B925">
            <w:pPr>
              <w:pStyle w:val="24"/>
              <w:jc w:val="left"/>
            </w:pPr>
            <w:r>
              <w:t>2000</w:t>
            </w:r>
          </w:p>
        </w:tc>
        <w:tc>
          <w:p w14:paraId="6FB0BD2D">
            <w:pPr>
              <w:pStyle w:val="24"/>
              <w:jc w:val="left"/>
            </w:pPr>
            <w:r>
              <w:t>7.00</w:t>
            </w:r>
          </w:p>
        </w:tc>
        <w:tc>
          <w:p w14:paraId="2F250782">
            <w:pPr>
              <w:pStyle w:val="24"/>
              <w:jc w:val="left"/>
            </w:pPr>
            <w:r>
              <w:t>11.77</w:t>
            </w:r>
          </w:p>
        </w:tc>
        <w:tc>
          <w:p w14:paraId="1270A6B9">
            <w:pPr>
              <w:pStyle w:val="24"/>
              <w:jc w:val="left"/>
            </w:pPr>
            <w:r>
              <w:t>—</w:t>
            </w:r>
          </w:p>
        </w:tc>
        <w:tc>
          <w:p w14:paraId="6188C235">
            <w:pPr>
              <w:pStyle w:val="24"/>
              <w:jc w:val="left"/>
            </w:pPr>
            <w:r>
              <w:t>—</w:t>
            </w:r>
          </w:p>
        </w:tc>
      </w:tr>
      <w:tr w14:paraId="332AA8F8">
        <w:tblPrEx>
          <w:tblCellMar>
            <w:top w:w="0" w:type="dxa"/>
            <w:left w:w="108" w:type="dxa"/>
            <w:bottom w:w="0" w:type="dxa"/>
            <w:right w:w="108" w:type="dxa"/>
          </w:tblCellMar>
        </w:tblPrEx>
        <w:tc>
          <w:p w14:paraId="116D472F">
            <w:pPr>
              <w:pStyle w:val="24"/>
              <w:jc w:val="left"/>
            </w:pPr>
            <w:r>
              <w:t>2200</w:t>
            </w:r>
          </w:p>
        </w:tc>
        <w:tc>
          <w:p w14:paraId="705064D7">
            <w:pPr>
              <w:pStyle w:val="24"/>
              <w:jc w:val="left"/>
            </w:pPr>
            <w:r>
              <w:t>7.68</w:t>
            </w:r>
          </w:p>
        </w:tc>
        <w:tc>
          <w:p w14:paraId="0F1B8A88">
            <w:pPr>
              <w:pStyle w:val="24"/>
              <w:jc w:val="left"/>
            </w:pPr>
            <w:r>
              <w:t>12.90</w:t>
            </w:r>
          </w:p>
        </w:tc>
        <w:tc>
          <w:p w14:paraId="7968C5CE">
            <w:pPr>
              <w:pStyle w:val="24"/>
              <w:jc w:val="left"/>
            </w:pPr>
            <w:r>
              <w:t>—</w:t>
            </w:r>
          </w:p>
        </w:tc>
        <w:tc>
          <w:p w14:paraId="0D792CFF">
            <w:pPr>
              <w:pStyle w:val="24"/>
              <w:jc w:val="left"/>
            </w:pPr>
            <w:r>
              <w:t>—</w:t>
            </w:r>
          </w:p>
        </w:tc>
      </w:tr>
      <w:tr w14:paraId="7708EF78">
        <w:tblPrEx>
          <w:tblCellMar>
            <w:top w:w="0" w:type="dxa"/>
            <w:left w:w="108" w:type="dxa"/>
            <w:bottom w:w="0" w:type="dxa"/>
            <w:right w:w="108" w:type="dxa"/>
          </w:tblCellMar>
        </w:tblPrEx>
        <w:tc>
          <w:p w14:paraId="173C4413">
            <w:pPr>
              <w:pStyle w:val="24"/>
              <w:jc w:val="left"/>
            </w:pPr>
            <w:r>
              <w:t>2400</w:t>
            </w:r>
          </w:p>
        </w:tc>
        <w:tc>
          <w:p w14:paraId="088D3F88">
            <w:pPr>
              <w:pStyle w:val="24"/>
              <w:jc w:val="left"/>
            </w:pPr>
            <w:r>
              <w:t>8.36</w:t>
            </w:r>
          </w:p>
        </w:tc>
        <w:tc>
          <w:p w14:paraId="5427FCC1">
            <w:pPr>
              <w:pStyle w:val="24"/>
              <w:jc w:val="left"/>
            </w:pPr>
            <w:r>
              <w:t>14.03</w:t>
            </w:r>
          </w:p>
        </w:tc>
        <w:tc>
          <w:p w14:paraId="6877DDB0">
            <w:pPr>
              <w:pStyle w:val="24"/>
              <w:jc w:val="left"/>
            </w:pPr>
            <w:r>
              <w:t>17.45</w:t>
            </w:r>
          </w:p>
        </w:tc>
        <w:tc>
          <w:p w14:paraId="00BD204A">
            <w:pPr>
              <w:pStyle w:val="24"/>
              <w:jc w:val="left"/>
            </w:pPr>
            <w:r>
              <w:t>—</w:t>
            </w:r>
          </w:p>
        </w:tc>
      </w:tr>
      <w:tr w14:paraId="06E12F29">
        <w:tc>
          <w:p w14:paraId="1DEDB0B3">
            <w:pPr>
              <w:pStyle w:val="24"/>
              <w:jc w:val="left"/>
            </w:pPr>
            <w:r>
              <w:t>2600</w:t>
            </w:r>
          </w:p>
        </w:tc>
        <w:tc>
          <w:p w14:paraId="5E07EDC3">
            <w:pPr>
              <w:pStyle w:val="24"/>
              <w:jc w:val="left"/>
            </w:pPr>
            <w:r>
              <w:t>9.04</w:t>
            </w:r>
          </w:p>
        </w:tc>
        <w:tc>
          <w:p w14:paraId="7BD515D0">
            <w:pPr>
              <w:pStyle w:val="24"/>
              <w:jc w:val="left"/>
            </w:pPr>
            <w:r>
              <w:t>15.16</w:t>
            </w:r>
          </w:p>
        </w:tc>
        <w:tc>
          <w:p w14:paraId="33AF1236">
            <w:pPr>
              <w:pStyle w:val="24"/>
              <w:jc w:val="left"/>
            </w:pPr>
            <w:r>
              <w:t>18.85</w:t>
            </w:r>
          </w:p>
        </w:tc>
        <w:tc>
          <w:p w14:paraId="2B661836">
            <w:pPr>
              <w:pStyle w:val="24"/>
              <w:jc w:val="left"/>
            </w:pPr>
            <w:r>
              <w:t>—</w:t>
            </w:r>
          </w:p>
        </w:tc>
      </w:tr>
      <w:tr w14:paraId="3CF78A33">
        <w:tblPrEx>
          <w:tblCellMar>
            <w:top w:w="0" w:type="dxa"/>
            <w:left w:w="108" w:type="dxa"/>
            <w:bottom w:w="0" w:type="dxa"/>
            <w:right w:w="108" w:type="dxa"/>
          </w:tblCellMar>
        </w:tblPrEx>
        <w:tc>
          <w:p w14:paraId="63046FBC">
            <w:pPr>
              <w:pStyle w:val="24"/>
              <w:jc w:val="left"/>
            </w:pPr>
            <w:r>
              <w:t>2800</w:t>
            </w:r>
          </w:p>
        </w:tc>
        <w:tc>
          <w:p w14:paraId="7701917F">
            <w:pPr>
              <w:pStyle w:val="24"/>
              <w:jc w:val="left"/>
            </w:pPr>
            <w:r>
              <w:t>9.72</w:t>
            </w:r>
          </w:p>
        </w:tc>
        <w:tc>
          <w:p w14:paraId="408FC484">
            <w:pPr>
              <w:pStyle w:val="24"/>
              <w:jc w:val="left"/>
            </w:pPr>
            <w:r>
              <w:t>16.29</w:t>
            </w:r>
          </w:p>
        </w:tc>
        <w:tc>
          <w:p w14:paraId="7F3EE659">
            <w:pPr>
              <w:pStyle w:val="24"/>
              <w:jc w:val="left"/>
            </w:pPr>
            <w:r>
              <w:t>20.25</w:t>
            </w:r>
          </w:p>
        </w:tc>
        <w:tc>
          <w:p w14:paraId="073224AD">
            <w:pPr>
              <w:pStyle w:val="24"/>
              <w:jc w:val="left"/>
            </w:pPr>
            <w:r>
              <w:t>25.43</w:t>
            </w:r>
          </w:p>
        </w:tc>
      </w:tr>
      <w:tr w14:paraId="6C14496A">
        <w:tblPrEx>
          <w:tblCellMar>
            <w:top w:w="0" w:type="dxa"/>
            <w:left w:w="108" w:type="dxa"/>
            <w:bottom w:w="0" w:type="dxa"/>
            <w:right w:w="108" w:type="dxa"/>
          </w:tblCellMar>
        </w:tblPrEx>
        <w:tc>
          <w:p w14:paraId="78F3D9EB">
            <w:pPr>
              <w:pStyle w:val="24"/>
              <w:jc w:val="left"/>
            </w:pPr>
            <w:r>
              <w:t>3000</w:t>
            </w:r>
          </w:p>
        </w:tc>
        <w:tc>
          <w:p w14:paraId="0B53DB0D">
            <w:pPr>
              <w:pStyle w:val="24"/>
              <w:jc w:val="left"/>
            </w:pPr>
            <w:r>
              <w:t>—</w:t>
            </w:r>
          </w:p>
        </w:tc>
        <w:tc>
          <w:p w14:paraId="78251DF7">
            <w:pPr>
              <w:pStyle w:val="24"/>
              <w:jc w:val="left"/>
            </w:pPr>
            <w:r>
              <w:t>17.42</w:t>
            </w:r>
          </w:p>
        </w:tc>
        <w:tc>
          <w:p w14:paraId="055E0EFB">
            <w:pPr>
              <w:pStyle w:val="24"/>
              <w:jc w:val="left"/>
            </w:pPr>
            <w:r>
              <w:t>21.65</w:t>
            </w:r>
          </w:p>
        </w:tc>
        <w:tc>
          <w:p w14:paraId="19B38A57">
            <w:pPr>
              <w:pStyle w:val="24"/>
              <w:jc w:val="left"/>
            </w:pPr>
            <w:r>
              <w:t>27.18</w:t>
            </w:r>
          </w:p>
        </w:tc>
      </w:tr>
      <w:tr w14:paraId="75E8556F">
        <w:tblPrEx>
          <w:tblCellMar>
            <w:top w:w="0" w:type="dxa"/>
            <w:left w:w="108" w:type="dxa"/>
            <w:bottom w:w="0" w:type="dxa"/>
            <w:right w:w="108" w:type="dxa"/>
          </w:tblCellMar>
        </w:tblPrEx>
        <w:tc>
          <w:p w14:paraId="478F43CA">
            <w:pPr>
              <w:pStyle w:val="24"/>
              <w:jc w:val="left"/>
            </w:pPr>
            <w:r>
              <w:t>3200</w:t>
            </w:r>
          </w:p>
        </w:tc>
        <w:tc>
          <w:p w14:paraId="24A7C85F">
            <w:pPr>
              <w:pStyle w:val="24"/>
              <w:jc w:val="left"/>
            </w:pPr>
            <w:r>
              <w:t>—</w:t>
            </w:r>
          </w:p>
        </w:tc>
        <w:tc>
          <w:p w14:paraId="024D05EF">
            <w:pPr>
              <w:pStyle w:val="24"/>
              <w:jc w:val="left"/>
            </w:pPr>
            <w:r>
              <w:t>18.55</w:t>
            </w:r>
          </w:p>
        </w:tc>
        <w:tc>
          <w:p w14:paraId="3A85D9C3">
            <w:pPr>
              <w:pStyle w:val="24"/>
              <w:jc w:val="left"/>
            </w:pPr>
            <w:r>
              <w:t>23.05</w:t>
            </w:r>
          </w:p>
        </w:tc>
        <w:tc>
          <w:p w14:paraId="300824D9">
            <w:pPr>
              <w:pStyle w:val="24"/>
              <w:jc w:val="left"/>
            </w:pPr>
            <w:r>
              <w:t>28.93</w:t>
            </w:r>
          </w:p>
        </w:tc>
      </w:tr>
      <w:tr w14:paraId="0A7F291B">
        <w:tblPrEx>
          <w:tblCellMar>
            <w:top w:w="0" w:type="dxa"/>
            <w:left w:w="108" w:type="dxa"/>
            <w:bottom w:w="0" w:type="dxa"/>
            <w:right w:w="108" w:type="dxa"/>
          </w:tblCellMar>
        </w:tblPrEx>
        <w:tc>
          <w:p w14:paraId="0BDF7947">
            <w:pPr>
              <w:pStyle w:val="24"/>
              <w:jc w:val="left"/>
            </w:pPr>
            <w:r>
              <w:t>3400</w:t>
            </w:r>
          </w:p>
        </w:tc>
        <w:tc>
          <w:p w14:paraId="6CD57330">
            <w:pPr>
              <w:pStyle w:val="24"/>
              <w:jc w:val="left"/>
            </w:pPr>
            <w:r>
              <w:t>—</w:t>
            </w:r>
          </w:p>
        </w:tc>
        <w:tc>
          <w:p w14:paraId="4AD03AD0">
            <w:pPr>
              <w:pStyle w:val="24"/>
              <w:jc w:val="left"/>
            </w:pPr>
            <w:r>
              <w:t>—</w:t>
            </w:r>
          </w:p>
        </w:tc>
        <w:tc>
          <w:p w14:paraId="29007DF8">
            <w:pPr>
              <w:pStyle w:val="24"/>
              <w:jc w:val="left"/>
            </w:pPr>
            <w:r>
              <w:t>24.45</w:t>
            </w:r>
          </w:p>
        </w:tc>
        <w:tc>
          <w:p w14:paraId="719844AB">
            <w:pPr>
              <w:pStyle w:val="24"/>
              <w:jc w:val="left"/>
            </w:pPr>
            <w:r>
              <w:t>30.68</w:t>
            </w:r>
          </w:p>
        </w:tc>
      </w:tr>
      <w:tr w14:paraId="211E1299">
        <w:tblPrEx>
          <w:tblCellMar>
            <w:top w:w="0" w:type="dxa"/>
            <w:left w:w="108" w:type="dxa"/>
            <w:bottom w:w="0" w:type="dxa"/>
            <w:right w:w="108" w:type="dxa"/>
          </w:tblCellMar>
        </w:tblPrEx>
        <w:tc>
          <w:p w14:paraId="66652D39">
            <w:pPr>
              <w:pStyle w:val="24"/>
              <w:jc w:val="left"/>
            </w:pPr>
            <w:r>
              <w:t>3600</w:t>
            </w:r>
          </w:p>
        </w:tc>
        <w:tc>
          <w:p w14:paraId="0BBE82DA">
            <w:pPr>
              <w:pStyle w:val="24"/>
              <w:jc w:val="left"/>
            </w:pPr>
            <w:r>
              <w:t>—</w:t>
            </w:r>
          </w:p>
        </w:tc>
        <w:tc>
          <w:p w14:paraId="1F0A8F0A">
            <w:pPr>
              <w:pStyle w:val="24"/>
              <w:jc w:val="left"/>
            </w:pPr>
            <w:r>
              <w:t>—</w:t>
            </w:r>
          </w:p>
        </w:tc>
        <w:tc>
          <w:p w14:paraId="3DA9B8BF">
            <w:pPr>
              <w:pStyle w:val="24"/>
              <w:jc w:val="left"/>
            </w:pPr>
            <w:r>
              <w:t>25.85</w:t>
            </w:r>
          </w:p>
        </w:tc>
        <w:tc>
          <w:p w14:paraId="3A0E0D00">
            <w:pPr>
              <w:pStyle w:val="24"/>
              <w:jc w:val="left"/>
            </w:pPr>
            <w:r>
              <w:t>32.43</w:t>
            </w:r>
          </w:p>
        </w:tc>
      </w:tr>
      <w:tr w14:paraId="13DD20BB">
        <w:tblPrEx>
          <w:tblCellMar>
            <w:top w:w="0" w:type="dxa"/>
            <w:left w:w="108" w:type="dxa"/>
            <w:bottom w:w="0" w:type="dxa"/>
            <w:right w:w="108" w:type="dxa"/>
          </w:tblCellMar>
        </w:tblPrEx>
        <w:tc>
          <w:p w14:paraId="2A06D9CD">
            <w:pPr>
              <w:pStyle w:val="24"/>
              <w:jc w:val="left"/>
            </w:pPr>
            <w:r>
              <w:t>3800</w:t>
            </w:r>
          </w:p>
        </w:tc>
        <w:tc>
          <w:p w14:paraId="7C85ADD9">
            <w:pPr>
              <w:pStyle w:val="24"/>
              <w:jc w:val="left"/>
            </w:pPr>
            <w:r>
              <w:t>—</w:t>
            </w:r>
          </w:p>
        </w:tc>
        <w:tc>
          <w:p w14:paraId="6919A4B1">
            <w:pPr>
              <w:pStyle w:val="24"/>
              <w:jc w:val="left"/>
            </w:pPr>
            <w:r>
              <w:t>—</w:t>
            </w:r>
          </w:p>
        </w:tc>
        <w:tc>
          <w:p w14:paraId="32BA1A58">
            <w:pPr>
              <w:pStyle w:val="24"/>
              <w:jc w:val="left"/>
            </w:pPr>
            <w:r>
              <w:t>27.25</w:t>
            </w:r>
          </w:p>
        </w:tc>
        <w:tc>
          <w:p w14:paraId="7D0D859A">
            <w:pPr>
              <w:pStyle w:val="24"/>
              <w:jc w:val="left"/>
            </w:pPr>
            <w:r>
              <w:t>34.18</w:t>
            </w:r>
          </w:p>
        </w:tc>
      </w:tr>
      <w:tr w14:paraId="002BCA5F">
        <w:tblPrEx>
          <w:tblCellMar>
            <w:top w:w="0" w:type="dxa"/>
            <w:left w:w="108" w:type="dxa"/>
            <w:bottom w:w="0" w:type="dxa"/>
            <w:right w:w="108" w:type="dxa"/>
          </w:tblCellMar>
        </w:tblPrEx>
        <w:tc>
          <w:p w14:paraId="7EED6703">
            <w:pPr>
              <w:pStyle w:val="24"/>
              <w:jc w:val="left"/>
            </w:pPr>
            <w:r>
              <w:t>4000</w:t>
            </w:r>
          </w:p>
        </w:tc>
        <w:tc>
          <w:p w14:paraId="1DB7E30D">
            <w:pPr>
              <w:pStyle w:val="24"/>
              <w:jc w:val="left"/>
            </w:pPr>
            <w:r>
              <w:t>—</w:t>
            </w:r>
          </w:p>
        </w:tc>
        <w:tc>
          <w:p w14:paraId="54767035">
            <w:pPr>
              <w:pStyle w:val="24"/>
              <w:jc w:val="left"/>
            </w:pPr>
            <w:r>
              <w:t>—</w:t>
            </w:r>
          </w:p>
        </w:tc>
        <w:tc>
          <w:p w14:paraId="6E96B3F9">
            <w:pPr>
              <w:pStyle w:val="24"/>
              <w:jc w:val="left"/>
            </w:pPr>
            <w:r>
              <w:t>28.65</w:t>
            </w:r>
          </w:p>
        </w:tc>
        <w:tc>
          <w:p w14:paraId="6EE6F28A">
            <w:pPr>
              <w:pStyle w:val="24"/>
              <w:jc w:val="left"/>
            </w:pPr>
            <w:r>
              <w:t>35.93</w:t>
            </w:r>
          </w:p>
        </w:tc>
      </w:tr>
      <w:tr w14:paraId="5DF0BB43">
        <w:tblPrEx>
          <w:tblCellMar>
            <w:top w:w="0" w:type="dxa"/>
            <w:left w:w="108" w:type="dxa"/>
            <w:bottom w:w="0" w:type="dxa"/>
            <w:right w:w="108" w:type="dxa"/>
          </w:tblCellMar>
        </w:tblPrEx>
        <w:tc>
          <w:p w14:paraId="0EA929DA">
            <w:pPr>
              <w:pStyle w:val="24"/>
              <w:jc w:val="left"/>
            </w:pPr>
            <w:r>
              <w:t>4200</w:t>
            </w:r>
          </w:p>
        </w:tc>
        <w:tc>
          <w:p w14:paraId="701BB72B">
            <w:pPr>
              <w:pStyle w:val="24"/>
              <w:jc w:val="left"/>
            </w:pPr>
            <w:r>
              <w:t>—</w:t>
            </w:r>
          </w:p>
        </w:tc>
        <w:tc>
          <w:p w14:paraId="60A35E68">
            <w:pPr>
              <w:pStyle w:val="24"/>
              <w:jc w:val="left"/>
            </w:pPr>
            <w:r>
              <w:t>—</w:t>
            </w:r>
          </w:p>
        </w:tc>
        <w:tc>
          <w:p w14:paraId="4BFA476F">
            <w:pPr>
              <w:pStyle w:val="24"/>
              <w:jc w:val="left"/>
            </w:pPr>
            <w:r>
              <w:t>30.05</w:t>
            </w:r>
          </w:p>
        </w:tc>
        <w:tc>
          <w:p w14:paraId="0D211779">
            <w:pPr>
              <w:pStyle w:val="24"/>
              <w:jc w:val="left"/>
            </w:pPr>
            <w:r>
              <w:t>37.68</w:t>
            </w:r>
          </w:p>
        </w:tc>
      </w:tr>
    </w:tbl>
    <w:p w14:paraId="70BD4740">
      <w:pPr>
        <w:pStyle w:val="3"/>
      </w:pPr>
      <w:r>
        <w:rPr>
          <w:rFonts w:hint="eastAsia"/>
        </w:rPr>
        <w:t>注：</w:t>
      </w:r>
    </w:p>
    <w:p w14:paraId="2956D015">
      <w:pPr>
        <w:pStyle w:val="24"/>
        <w:numPr>
          <w:ilvl w:val="0"/>
          <w:numId w:val="2"/>
        </w:numPr>
      </w:pPr>
      <w:r>
        <w:rPr>
          <w:rFonts w:hint="eastAsia"/>
        </w:rPr>
        <w:t>不同跑道长度和跑滑间距可按插入法或按附录A附图2公式计算。</w:t>
      </w:r>
    </w:p>
    <w:p w14:paraId="17D66EB2">
      <w:pPr>
        <w:pStyle w:val="24"/>
        <w:numPr>
          <w:ilvl w:val="0"/>
          <w:numId w:val="2"/>
        </w:numPr>
      </w:pPr>
      <w:r>
        <w:rPr>
          <w:rFonts w:hint="eastAsia"/>
        </w:rPr>
        <w:t>“跑滑间距”见条文说明。</w:t>
      </w:r>
    </w:p>
    <w:p w14:paraId="3C57FF90">
      <w:pPr>
        <w:pStyle w:val="3"/>
      </w:pPr>
      <w:r>
        <w:rPr>
          <w:b/>
          <w:bCs/>
        </w:rPr>
        <w:t>3.2.2</w:t>
      </w:r>
      <w:r>
        <w:t xml:space="preserve"> </w:t>
      </w:r>
      <w:r>
        <w:rPr>
          <w:rFonts w:hint="eastAsia"/>
        </w:rPr>
        <w:t>设有第二条平行滑行道的飞行区，应按表3.2.2增加其用地面积。</w:t>
      </w:r>
    </w:p>
    <w:p w14:paraId="4415D479">
      <w:pPr>
        <w:pStyle w:val="3"/>
      </w:pPr>
      <w:r>
        <w:rPr>
          <w:rFonts w:hint="eastAsia"/>
          <w:b/>
          <w:bCs/>
        </w:rPr>
        <w:t>表3.2.2</w:t>
      </w:r>
      <w:r>
        <w:rPr>
          <w:b/>
          <w:bCs/>
        </w:rPr>
        <w:t xml:space="preserve"> </w:t>
      </w:r>
      <w:r>
        <w:rPr>
          <w:rFonts w:hint="eastAsia"/>
          <w:b/>
          <w:bCs/>
        </w:rPr>
        <w:t>第二条平行滑行道建设用地指标（hm²）</w:t>
      </w:r>
    </w:p>
    <w:tbl>
      <w:tblPr>
        <w:tblStyle w:val="41"/>
        <w:tblW w:w="0" w:type="auto"/>
        <w:tblInd w:w="0" w:type="dxa"/>
        <w:tblLayout w:type="autofit"/>
        <w:tblCellMar>
          <w:top w:w="0" w:type="dxa"/>
          <w:left w:w="108" w:type="dxa"/>
          <w:bottom w:w="0" w:type="dxa"/>
          <w:right w:w="108" w:type="dxa"/>
        </w:tblCellMar>
      </w:tblPr>
      <w:tblGrid>
        <w:gridCol w:w="1607"/>
        <w:gridCol w:w="2327"/>
        <w:gridCol w:w="978"/>
        <w:gridCol w:w="978"/>
        <w:gridCol w:w="978"/>
      </w:tblGrid>
      <w:tr w14:paraId="7ED5035F">
        <w:tblPrEx>
          <w:tblCellMar>
            <w:top w:w="0" w:type="dxa"/>
            <w:left w:w="108" w:type="dxa"/>
            <w:bottom w:w="0" w:type="dxa"/>
            <w:right w:w="108" w:type="dxa"/>
          </w:tblCellMar>
        </w:tblPrEx>
        <w:trPr>
          <w:tblHeader/>
        </w:trPr>
        <w:tc>
          <w:p w14:paraId="64108BED">
            <w:pPr>
              <w:pStyle w:val="24"/>
              <w:jc w:val="left"/>
            </w:pPr>
            <w:r>
              <w:rPr>
                <w:rFonts w:hint="eastAsia"/>
              </w:rPr>
              <w:t>跑道长度(m)</w:t>
            </w:r>
          </w:p>
        </w:tc>
        <w:tc>
          <w:p w14:paraId="2C250B60">
            <w:pPr>
              <w:pStyle w:val="24"/>
              <w:jc w:val="left"/>
            </w:pPr>
            <w:r>
              <w:rPr>
                <w:rFonts w:hint="eastAsia"/>
              </w:rPr>
              <w:t>平行滑行道间距(m)</w:t>
            </w:r>
          </w:p>
        </w:tc>
        <w:tc>
          <w:p w14:paraId="443A1CB8">
            <w:pPr>
              <w:pStyle w:val="24"/>
            </w:pPr>
          </w:p>
        </w:tc>
        <w:tc>
          <w:p w14:paraId="099E0932">
            <w:pPr>
              <w:pStyle w:val="24"/>
            </w:pPr>
          </w:p>
        </w:tc>
        <w:tc>
          <w:p w14:paraId="7A6C6615">
            <w:pPr>
              <w:pStyle w:val="24"/>
            </w:pPr>
          </w:p>
        </w:tc>
      </w:tr>
      <w:tr w14:paraId="10834D4F">
        <w:tblPrEx>
          <w:tblCellMar>
            <w:top w:w="0" w:type="dxa"/>
            <w:left w:w="108" w:type="dxa"/>
            <w:bottom w:w="0" w:type="dxa"/>
            <w:right w:w="108" w:type="dxa"/>
          </w:tblCellMar>
        </w:tblPrEx>
        <w:tc>
          <w:p w14:paraId="05F948A5">
            <w:pPr>
              <w:pStyle w:val="24"/>
            </w:pPr>
          </w:p>
        </w:tc>
        <w:tc>
          <w:p w14:paraId="557B33A8">
            <w:pPr>
              <w:pStyle w:val="24"/>
              <w:jc w:val="left"/>
            </w:pPr>
            <w:r>
              <w:t>44</w:t>
            </w:r>
          </w:p>
        </w:tc>
        <w:tc>
          <w:p w14:paraId="703E5F20">
            <w:pPr>
              <w:pStyle w:val="24"/>
              <w:jc w:val="left"/>
            </w:pPr>
            <w:r>
              <w:t>66.5</w:t>
            </w:r>
          </w:p>
        </w:tc>
        <w:tc>
          <w:p w14:paraId="5F309F4E">
            <w:pPr>
              <w:pStyle w:val="24"/>
              <w:jc w:val="left"/>
            </w:pPr>
            <w:r>
              <w:t>80</w:t>
            </w:r>
          </w:p>
        </w:tc>
        <w:tc>
          <w:p w14:paraId="2D7CF6DD">
            <w:pPr>
              <w:pStyle w:val="24"/>
              <w:jc w:val="left"/>
            </w:pPr>
            <w:r>
              <w:t>100</w:t>
            </w:r>
          </w:p>
        </w:tc>
      </w:tr>
      <w:tr w14:paraId="45D929CE">
        <w:tblPrEx>
          <w:tblCellMar>
            <w:top w:w="0" w:type="dxa"/>
            <w:left w:w="108" w:type="dxa"/>
            <w:bottom w:w="0" w:type="dxa"/>
            <w:right w:w="108" w:type="dxa"/>
          </w:tblCellMar>
        </w:tblPrEx>
        <w:tc>
          <w:p w14:paraId="422BDAC4">
            <w:pPr>
              <w:pStyle w:val="24"/>
              <w:jc w:val="left"/>
            </w:pPr>
            <w:r>
              <w:t>1600</w:t>
            </w:r>
          </w:p>
        </w:tc>
        <w:tc>
          <w:p w14:paraId="45536685">
            <w:pPr>
              <w:pStyle w:val="24"/>
              <w:jc w:val="left"/>
            </w:pPr>
            <w:r>
              <w:t>7.30</w:t>
            </w:r>
          </w:p>
        </w:tc>
        <w:tc>
          <w:p w14:paraId="0296E8B4">
            <w:pPr>
              <w:pStyle w:val="24"/>
              <w:jc w:val="left"/>
            </w:pPr>
            <w:r>
              <w:t>—</w:t>
            </w:r>
          </w:p>
        </w:tc>
        <w:tc>
          <w:p w14:paraId="2960DADB">
            <w:pPr>
              <w:pStyle w:val="24"/>
              <w:jc w:val="left"/>
            </w:pPr>
            <w:r>
              <w:t>—</w:t>
            </w:r>
          </w:p>
        </w:tc>
        <w:tc>
          <w:p w14:paraId="73256DB9">
            <w:pPr>
              <w:pStyle w:val="24"/>
              <w:jc w:val="left"/>
            </w:pPr>
            <w:r>
              <w:t>—</w:t>
            </w:r>
          </w:p>
        </w:tc>
      </w:tr>
      <w:tr w14:paraId="6A700CFA">
        <w:tblPrEx>
          <w:tblCellMar>
            <w:top w:w="0" w:type="dxa"/>
            <w:left w:w="108" w:type="dxa"/>
            <w:bottom w:w="0" w:type="dxa"/>
            <w:right w:w="108" w:type="dxa"/>
          </w:tblCellMar>
        </w:tblPrEx>
        <w:tc>
          <w:p w14:paraId="32477157">
            <w:pPr>
              <w:pStyle w:val="24"/>
              <w:jc w:val="left"/>
            </w:pPr>
            <w:r>
              <w:t>1800</w:t>
            </w:r>
          </w:p>
        </w:tc>
        <w:tc>
          <w:p w14:paraId="3D73314B">
            <w:pPr>
              <w:pStyle w:val="24"/>
              <w:jc w:val="left"/>
            </w:pPr>
            <w:r>
              <w:t>8.18</w:t>
            </w:r>
          </w:p>
        </w:tc>
        <w:tc>
          <w:p w14:paraId="43A5FDB7">
            <w:pPr>
              <w:pStyle w:val="24"/>
              <w:jc w:val="left"/>
            </w:pPr>
            <w:r>
              <w:t>—</w:t>
            </w:r>
          </w:p>
        </w:tc>
        <w:tc>
          <w:p w14:paraId="2A6AD22B">
            <w:pPr>
              <w:pStyle w:val="24"/>
              <w:jc w:val="left"/>
            </w:pPr>
            <w:r>
              <w:t>—</w:t>
            </w:r>
          </w:p>
        </w:tc>
        <w:tc>
          <w:p w14:paraId="2F05F58B">
            <w:pPr>
              <w:pStyle w:val="24"/>
              <w:jc w:val="left"/>
            </w:pPr>
            <w:r>
              <w:t>—</w:t>
            </w:r>
          </w:p>
        </w:tc>
      </w:tr>
      <w:tr w14:paraId="49DD2522">
        <w:tblPrEx>
          <w:tblCellMar>
            <w:top w:w="0" w:type="dxa"/>
            <w:left w:w="108" w:type="dxa"/>
            <w:bottom w:w="0" w:type="dxa"/>
            <w:right w:w="108" w:type="dxa"/>
          </w:tblCellMar>
        </w:tblPrEx>
        <w:tc>
          <w:p w14:paraId="3E41D22B">
            <w:pPr>
              <w:pStyle w:val="24"/>
              <w:jc w:val="left"/>
            </w:pPr>
            <w:r>
              <w:t>2000</w:t>
            </w:r>
          </w:p>
        </w:tc>
        <w:tc>
          <w:p w14:paraId="403AD387">
            <w:pPr>
              <w:pStyle w:val="24"/>
              <w:jc w:val="left"/>
            </w:pPr>
            <w:r>
              <w:t>9.06</w:t>
            </w:r>
          </w:p>
        </w:tc>
        <w:tc>
          <w:p w14:paraId="7AF083C1">
            <w:pPr>
              <w:pStyle w:val="24"/>
              <w:jc w:val="left"/>
            </w:pPr>
            <w:r>
              <w:t>13.86</w:t>
            </w:r>
          </w:p>
        </w:tc>
        <w:tc>
          <w:p w14:paraId="0DAD2BBE">
            <w:pPr>
              <w:pStyle w:val="24"/>
              <w:jc w:val="left"/>
            </w:pPr>
            <w:r>
              <w:t>—</w:t>
            </w:r>
          </w:p>
        </w:tc>
        <w:tc>
          <w:p w14:paraId="7958FC75">
            <w:pPr>
              <w:pStyle w:val="24"/>
              <w:jc w:val="left"/>
            </w:pPr>
            <w:r>
              <w:t>—</w:t>
            </w:r>
          </w:p>
        </w:tc>
      </w:tr>
      <w:tr w14:paraId="49E3D96B">
        <w:tblPrEx>
          <w:tblCellMar>
            <w:top w:w="0" w:type="dxa"/>
            <w:left w:w="108" w:type="dxa"/>
            <w:bottom w:w="0" w:type="dxa"/>
            <w:right w:w="108" w:type="dxa"/>
          </w:tblCellMar>
        </w:tblPrEx>
        <w:tc>
          <w:p w14:paraId="5087B42A">
            <w:pPr>
              <w:pStyle w:val="24"/>
              <w:jc w:val="left"/>
            </w:pPr>
            <w:r>
              <w:t>2200</w:t>
            </w:r>
          </w:p>
        </w:tc>
        <w:tc>
          <w:p w14:paraId="55CFAA39">
            <w:pPr>
              <w:pStyle w:val="24"/>
              <w:jc w:val="left"/>
            </w:pPr>
            <w:r>
              <w:t>9.94</w:t>
            </w:r>
          </w:p>
        </w:tc>
        <w:tc>
          <w:p w14:paraId="1CAB68CF">
            <w:pPr>
              <w:pStyle w:val="24"/>
              <w:jc w:val="left"/>
            </w:pPr>
            <w:r>
              <w:t>15.19</w:t>
            </w:r>
          </w:p>
        </w:tc>
        <w:tc>
          <w:p w14:paraId="644C994A">
            <w:pPr>
              <w:pStyle w:val="24"/>
              <w:jc w:val="left"/>
            </w:pPr>
            <w:r>
              <w:t>—</w:t>
            </w:r>
          </w:p>
        </w:tc>
        <w:tc>
          <w:p w14:paraId="7072751E">
            <w:pPr>
              <w:pStyle w:val="24"/>
              <w:jc w:val="left"/>
            </w:pPr>
            <w:r>
              <w:t>—</w:t>
            </w:r>
          </w:p>
        </w:tc>
      </w:tr>
      <w:tr w14:paraId="63A75AE8">
        <w:tblPrEx>
          <w:tblCellMar>
            <w:top w:w="0" w:type="dxa"/>
            <w:left w:w="108" w:type="dxa"/>
            <w:bottom w:w="0" w:type="dxa"/>
            <w:right w:w="108" w:type="dxa"/>
          </w:tblCellMar>
        </w:tblPrEx>
        <w:tc>
          <w:p w14:paraId="684A5430">
            <w:pPr>
              <w:pStyle w:val="24"/>
              <w:jc w:val="left"/>
            </w:pPr>
            <w:r>
              <w:t>2400</w:t>
            </w:r>
          </w:p>
        </w:tc>
        <w:tc>
          <w:p w14:paraId="3CFA6B2B">
            <w:pPr>
              <w:pStyle w:val="24"/>
              <w:jc w:val="left"/>
            </w:pPr>
            <w:r>
              <w:t>10.82</w:t>
            </w:r>
          </w:p>
        </w:tc>
        <w:tc>
          <w:p w14:paraId="15F5D245">
            <w:pPr>
              <w:pStyle w:val="24"/>
              <w:jc w:val="left"/>
            </w:pPr>
            <w:r>
              <w:t>16.52</w:t>
            </w:r>
          </w:p>
        </w:tc>
        <w:tc>
          <w:p w14:paraId="68327E92">
            <w:pPr>
              <w:pStyle w:val="24"/>
              <w:jc w:val="left"/>
            </w:pPr>
            <w:r>
              <w:t>19.94</w:t>
            </w:r>
          </w:p>
        </w:tc>
        <w:tc>
          <w:p w14:paraId="2EC13FA9">
            <w:pPr>
              <w:pStyle w:val="24"/>
              <w:jc w:val="left"/>
            </w:pPr>
            <w:r>
              <w:t>—</w:t>
            </w:r>
          </w:p>
        </w:tc>
      </w:tr>
      <w:tr w14:paraId="5EADB9F7">
        <w:tblPrEx>
          <w:tblCellMar>
            <w:top w:w="0" w:type="dxa"/>
            <w:left w:w="108" w:type="dxa"/>
            <w:bottom w:w="0" w:type="dxa"/>
            <w:right w:w="108" w:type="dxa"/>
          </w:tblCellMar>
        </w:tblPrEx>
        <w:tc>
          <w:p w14:paraId="60C23B91">
            <w:pPr>
              <w:pStyle w:val="24"/>
              <w:jc w:val="left"/>
            </w:pPr>
            <w:r>
              <w:t>2600</w:t>
            </w:r>
          </w:p>
        </w:tc>
        <w:tc>
          <w:p w14:paraId="53F90BF4">
            <w:pPr>
              <w:pStyle w:val="24"/>
              <w:jc w:val="left"/>
            </w:pPr>
            <w:r>
              <w:t>11.70</w:t>
            </w:r>
          </w:p>
        </w:tc>
        <w:tc>
          <w:p w14:paraId="6A7F008F">
            <w:pPr>
              <w:pStyle w:val="24"/>
              <w:jc w:val="left"/>
            </w:pPr>
            <w:r>
              <w:t>17.85</w:t>
            </w:r>
          </w:p>
        </w:tc>
        <w:tc>
          <w:p w14:paraId="202F7F90">
            <w:pPr>
              <w:pStyle w:val="24"/>
              <w:jc w:val="left"/>
            </w:pPr>
            <w:r>
              <w:t>21.54</w:t>
            </w:r>
          </w:p>
        </w:tc>
        <w:tc>
          <w:p w14:paraId="2F1E94D5">
            <w:pPr>
              <w:pStyle w:val="24"/>
              <w:jc w:val="left"/>
            </w:pPr>
            <w:r>
              <w:t>—</w:t>
            </w:r>
          </w:p>
        </w:tc>
      </w:tr>
      <w:tr w14:paraId="4B0D7347">
        <w:tblPrEx>
          <w:tblCellMar>
            <w:top w:w="0" w:type="dxa"/>
            <w:left w:w="108" w:type="dxa"/>
            <w:bottom w:w="0" w:type="dxa"/>
            <w:right w:w="108" w:type="dxa"/>
          </w:tblCellMar>
        </w:tblPrEx>
        <w:tc>
          <w:p w14:paraId="7ED2B341">
            <w:pPr>
              <w:pStyle w:val="24"/>
              <w:jc w:val="left"/>
            </w:pPr>
            <w:r>
              <w:t>2800</w:t>
            </w:r>
          </w:p>
        </w:tc>
        <w:tc>
          <w:p w14:paraId="27995462">
            <w:pPr>
              <w:pStyle w:val="24"/>
              <w:jc w:val="left"/>
            </w:pPr>
            <w:r>
              <w:t>12.58</w:t>
            </w:r>
          </w:p>
        </w:tc>
        <w:tc>
          <w:p w14:paraId="4915DCAE">
            <w:pPr>
              <w:pStyle w:val="24"/>
              <w:jc w:val="left"/>
            </w:pPr>
            <w:r>
              <w:t>19.18</w:t>
            </w:r>
          </w:p>
        </w:tc>
        <w:tc>
          <w:p w14:paraId="42394144">
            <w:pPr>
              <w:pStyle w:val="24"/>
              <w:jc w:val="left"/>
            </w:pPr>
            <w:r>
              <w:t>23.14</w:t>
            </w:r>
          </w:p>
        </w:tc>
        <w:tc>
          <w:p w14:paraId="09C91729">
            <w:pPr>
              <w:pStyle w:val="24"/>
              <w:jc w:val="left"/>
            </w:pPr>
            <w:r>
              <w:t>29.10</w:t>
            </w:r>
          </w:p>
        </w:tc>
      </w:tr>
      <w:tr w14:paraId="4ECEB240">
        <w:tc>
          <w:p w14:paraId="709A28AF">
            <w:pPr>
              <w:pStyle w:val="24"/>
              <w:jc w:val="left"/>
            </w:pPr>
            <w:r>
              <w:t>3000</w:t>
            </w:r>
          </w:p>
        </w:tc>
        <w:tc>
          <w:p w14:paraId="3EB05DFC">
            <w:pPr>
              <w:pStyle w:val="24"/>
              <w:jc w:val="left"/>
            </w:pPr>
            <w:r>
              <w:t>—</w:t>
            </w:r>
          </w:p>
        </w:tc>
        <w:tc>
          <w:p w14:paraId="13672DE8">
            <w:pPr>
              <w:pStyle w:val="24"/>
              <w:jc w:val="left"/>
            </w:pPr>
            <w:r>
              <w:t>20.51</w:t>
            </w:r>
          </w:p>
        </w:tc>
        <w:tc>
          <w:p w14:paraId="4909704A">
            <w:pPr>
              <w:pStyle w:val="24"/>
              <w:jc w:val="left"/>
            </w:pPr>
            <w:r>
              <w:t>24.74</w:t>
            </w:r>
          </w:p>
        </w:tc>
        <w:tc>
          <w:p w14:paraId="6AD02E55">
            <w:pPr>
              <w:pStyle w:val="24"/>
              <w:jc w:val="left"/>
            </w:pPr>
            <w:r>
              <w:t>31.10</w:t>
            </w:r>
          </w:p>
        </w:tc>
      </w:tr>
      <w:tr w14:paraId="70CAAD23">
        <w:tblPrEx>
          <w:tblCellMar>
            <w:top w:w="0" w:type="dxa"/>
            <w:left w:w="108" w:type="dxa"/>
            <w:bottom w:w="0" w:type="dxa"/>
            <w:right w:w="108" w:type="dxa"/>
          </w:tblCellMar>
        </w:tblPrEx>
        <w:tc>
          <w:p w14:paraId="4466CB9E">
            <w:pPr>
              <w:pStyle w:val="24"/>
              <w:jc w:val="left"/>
            </w:pPr>
            <w:r>
              <w:t>3200</w:t>
            </w:r>
          </w:p>
        </w:tc>
        <w:tc>
          <w:p w14:paraId="38F2CE34">
            <w:pPr>
              <w:pStyle w:val="24"/>
              <w:jc w:val="left"/>
            </w:pPr>
            <w:r>
              <w:t>—</w:t>
            </w:r>
          </w:p>
        </w:tc>
        <w:tc>
          <w:p w14:paraId="43BDEF4A">
            <w:pPr>
              <w:pStyle w:val="24"/>
              <w:jc w:val="left"/>
            </w:pPr>
            <w:r>
              <w:t>21.84</w:t>
            </w:r>
          </w:p>
        </w:tc>
        <w:tc>
          <w:p w14:paraId="429A36FD">
            <w:pPr>
              <w:pStyle w:val="24"/>
              <w:jc w:val="left"/>
            </w:pPr>
            <w:r>
              <w:t>26.34</w:t>
            </w:r>
          </w:p>
        </w:tc>
        <w:tc>
          <w:p w14:paraId="2A84963B">
            <w:pPr>
              <w:pStyle w:val="24"/>
              <w:jc w:val="left"/>
            </w:pPr>
            <w:r>
              <w:t>33.10</w:t>
            </w:r>
          </w:p>
        </w:tc>
      </w:tr>
      <w:tr w14:paraId="5395A5B4">
        <w:tblPrEx>
          <w:tblCellMar>
            <w:top w:w="0" w:type="dxa"/>
            <w:left w:w="108" w:type="dxa"/>
            <w:bottom w:w="0" w:type="dxa"/>
            <w:right w:w="108" w:type="dxa"/>
          </w:tblCellMar>
        </w:tblPrEx>
        <w:tc>
          <w:p w14:paraId="35EBA828">
            <w:pPr>
              <w:pStyle w:val="24"/>
              <w:jc w:val="left"/>
            </w:pPr>
            <w:r>
              <w:t>3400</w:t>
            </w:r>
          </w:p>
        </w:tc>
        <w:tc>
          <w:p w14:paraId="2CBEFE31">
            <w:pPr>
              <w:pStyle w:val="24"/>
              <w:jc w:val="left"/>
            </w:pPr>
            <w:r>
              <w:t>—</w:t>
            </w:r>
          </w:p>
        </w:tc>
        <w:tc>
          <w:p w14:paraId="4C08588F">
            <w:pPr>
              <w:pStyle w:val="24"/>
              <w:jc w:val="left"/>
            </w:pPr>
            <w:r>
              <w:t>—</w:t>
            </w:r>
          </w:p>
        </w:tc>
        <w:tc>
          <w:p w14:paraId="5FC4F51B">
            <w:pPr>
              <w:pStyle w:val="24"/>
              <w:jc w:val="left"/>
            </w:pPr>
            <w:r>
              <w:t>27.94</w:t>
            </w:r>
          </w:p>
        </w:tc>
        <w:tc>
          <w:p w14:paraId="1D717252">
            <w:pPr>
              <w:pStyle w:val="24"/>
              <w:jc w:val="left"/>
            </w:pPr>
            <w:r>
              <w:t>35.10</w:t>
            </w:r>
          </w:p>
        </w:tc>
      </w:tr>
      <w:tr w14:paraId="7C170D72">
        <w:tblPrEx>
          <w:tblCellMar>
            <w:top w:w="0" w:type="dxa"/>
            <w:left w:w="108" w:type="dxa"/>
            <w:bottom w:w="0" w:type="dxa"/>
            <w:right w:w="108" w:type="dxa"/>
          </w:tblCellMar>
        </w:tblPrEx>
        <w:tc>
          <w:p w14:paraId="135F8DC1">
            <w:pPr>
              <w:pStyle w:val="24"/>
              <w:jc w:val="left"/>
            </w:pPr>
            <w:r>
              <w:t>3600</w:t>
            </w:r>
          </w:p>
        </w:tc>
        <w:tc>
          <w:p w14:paraId="2B7DC7B6">
            <w:pPr>
              <w:pStyle w:val="24"/>
              <w:jc w:val="left"/>
            </w:pPr>
            <w:r>
              <w:t>—</w:t>
            </w:r>
          </w:p>
        </w:tc>
        <w:tc>
          <w:p w14:paraId="50E25AEB">
            <w:pPr>
              <w:pStyle w:val="24"/>
              <w:jc w:val="left"/>
            </w:pPr>
            <w:r>
              <w:t>—</w:t>
            </w:r>
          </w:p>
        </w:tc>
        <w:tc>
          <w:p w14:paraId="60FBAFF0">
            <w:pPr>
              <w:pStyle w:val="24"/>
              <w:jc w:val="left"/>
            </w:pPr>
            <w:r>
              <w:t>29.54</w:t>
            </w:r>
          </w:p>
        </w:tc>
        <w:tc>
          <w:p w14:paraId="1FD35668">
            <w:pPr>
              <w:pStyle w:val="24"/>
              <w:jc w:val="left"/>
            </w:pPr>
            <w:r>
              <w:t>37.10</w:t>
            </w:r>
          </w:p>
        </w:tc>
      </w:tr>
      <w:tr w14:paraId="73CB050D">
        <w:tc>
          <w:p w14:paraId="44DB221F">
            <w:pPr>
              <w:pStyle w:val="24"/>
              <w:jc w:val="left"/>
            </w:pPr>
            <w:r>
              <w:t>3800</w:t>
            </w:r>
          </w:p>
        </w:tc>
        <w:tc>
          <w:p w14:paraId="22F24F1D">
            <w:pPr>
              <w:pStyle w:val="24"/>
              <w:jc w:val="left"/>
            </w:pPr>
            <w:r>
              <w:t>—</w:t>
            </w:r>
          </w:p>
        </w:tc>
        <w:tc>
          <w:p w14:paraId="4C29F2CD">
            <w:pPr>
              <w:pStyle w:val="24"/>
              <w:jc w:val="left"/>
            </w:pPr>
            <w:r>
              <w:t>—</w:t>
            </w:r>
          </w:p>
        </w:tc>
        <w:tc>
          <w:p w14:paraId="47777E83">
            <w:pPr>
              <w:pStyle w:val="24"/>
              <w:jc w:val="left"/>
            </w:pPr>
            <w:r>
              <w:t>31.14</w:t>
            </w:r>
          </w:p>
        </w:tc>
        <w:tc>
          <w:p w14:paraId="720CCEBD">
            <w:pPr>
              <w:pStyle w:val="24"/>
              <w:jc w:val="left"/>
            </w:pPr>
            <w:r>
              <w:t>39.10</w:t>
            </w:r>
          </w:p>
        </w:tc>
      </w:tr>
      <w:tr w14:paraId="5C8C84E6">
        <w:tblPrEx>
          <w:tblCellMar>
            <w:top w:w="0" w:type="dxa"/>
            <w:left w:w="108" w:type="dxa"/>
            <w:bottom w:w="0" w:type="dxa"/>
            <w:right w:w="108" w:type="dxa"/>
          </w:tblCellMar>
        </w:tblPrEx>
        <w:tc>
          <w:p w14:paraId="20887893">
            <w:pPr>
              <w:pStyle w:val="24"/>
              <w:jc w:val="left"/>
            </w:pPr>
            <w:r>
              <w:t>4000</w:t>
            </w:r>
          </w:p>
        </w:tc>
        <w:tc>
          <w:p w14:paraId="05D1883E">
            <w:pPr>
              <w:pStyle w:val="24"/>
              <w:jc w:val="left"/>
            </w:pPr>
            <w:r>
              <w:t>—</w:t>
            </w:r>
          </w:p>
        </w:tc>
        <w:tc>
          <w:p w14:paraId="69CE92AC">
            <w:pPr>
              <w:pStyle w:val="24"/>
              <w:jc w:val="left"/>
            </w:pPr>
            <w:r>
              <w:t>—</w:t>
            </w:r>
          </w:p>
        </w:tc>
        <w:tc>
          <w:p w14:paraId="7E2475FD">
            <w:pPr>
              <w:pStyle w:val="24"/>
              <w:jc w:val="left"/>
            </w:pPr>
            <w:r>
              <w:t>32.74</w:t>
            </w:r>
          </w:p>
        </w:tc>
        <w:tc>
          <w:p w14:paraId="7DA7CBCB">
            <w:pPr>
              <w:pStyle w:val="24"/>
              <w:jc w:val="left"/>
            </w:pPr>
            <w:r>
              <w:t>41.10</w:t>
            </w:r>
          </w:p>
        </w:tc>
      </w:tr>
      <w:tr w14:paraId="47CFF94C">
        <w:tc>
          <w:p w14:paraId="0FF4DEB5">
            <w:pPr>
              <w:pStyle w:val="24"/>
              <w:jc w:val="left"/>
            </w:pPr>
            <w:r>
              <w:t>4200</w:t>
            </w:r>
          </w:p>
        </w:tc>
        <w:tc>
          <w:p w14:paraId="0ECA2A20">
            <w:pPr>
              <w:pStyle w:val="24"/>
              <w:jc w:val="left"/>
            </w:pPr>
            <w:r>
              <w:t>—</w:t>
            </w:r>
          </w:p>
        </w:tc>
        <w:tc>
          <w:p w14:paraId="08CC5398">
            <w:pPr>
              <w:pStyle w:val="24"/>
              <w:jc w:val="left"/>
            </w:pPr>
            <w:r>
              <w:t>—</w:t>
            </w:r>
          </w:p>
        </w:tc>
        <w:tc>
          <w:p w14:paraId="40F00D91">
            <w:pPr>
              <w:pStyle w:val="24"/>
              <w:jc w:val="left"/>
            </w:pPr>
            <w:r>
              <w:t>34.34</w:t>
            </w:r>
          </w:p>
        </w:tc>
        <w:tc>
          <w:p w14:paraId="7DBE99D5">
            <w:pPr>
              <w:pStyle w:val="24"/>
              <w:jc w:val="left"/>
            </w:pPr>
            <w:r>
              <w:t>43.10</w:t>
            </w:r>
          </w:p>
        </w:tc>
      </w:tr>
    </w:tbl>
    <w:p w14:paraId="21F0C149">
      <w:pPr>
        <w:pStyle w:val="3"/>
      </w:pPr>
      <w:r>
        <w:rPr>
          <w:rFonts w:hint="eastAsia"/>
        </w:rPr>
        <w:t>注：</w:t>
      </w:r>
    </w:p>
    <w:p w14:paraId="2EE5F778">
      <w:pPr>
        <w:pStyle w:val="24"/>
        <w:numPr>
          <w:ilvl w:val="0"/>
          <w:numId w:val="3"/>
        </w:numPr>
      </w:pPr>
      <w:r>
        <w:rPr>
          <w:rFonts w:hint="eastAsia"/>
        </w:rPr>
        <w:t>不同跑道长度和平行滑行道间距可按插入法或按附录A附图3公式计算。</w:t>
      </w:r>
    </w:p>
    <w:p w14:paraId="5BE7F4FE">
      <w:pPr>
        <w:pStyle w:val="24"/>
        <w:numPr>
          <w:ilvl w:val="0"/>
          <w:numId w:val="3"/>
        </w:numPr>
      </w:pPr>
      <w:r>
        <w:rPr>
          <w:rFonts w:hint="eastAsia"/>
        </w:rPr>
        <w:t>“平行滑行道间距”见条文说明。</w:t>
      </w:r>
    </w:p>
    <w:bookmarkEnd w:id="3"/>
    <w:p w14:paraId="757170CB">
      <w:pPr>
        <w:pStyle w:val="5"/>
      </w:pPr>
      <w:bookmarkStart w:id="4" w:name="第三节-助航灯光设施建设用地指标"/>
      <w:r>
        <w:rPr>
          <w:rFonts w:hint="eastAsia"/>
        </w:rPr>
        <w:t>第三节</w:t>
      </w:r>
      <w:r>
        <w:t xml:space="preserve"> </w:t>
      </w:r>
      <w:r>
        <w:rPr>
          <w:rFonts w:hint="eastAsia"/>
        </w:rPr>
        <w:t>助航灯光设施建设用地指标</w:t>
      </w:r>
    </w:p>
    <w:p w14:paraId="14EBCAB0">
      <w:pPr>
        <w:pStyle w:val="3"/>
      </w:pPr>
      <w:r>
        <w:rPr>
          <w:b/>
          <w:bCs/>
        </w:rPr>
        <w:t>3.3.1</w:t>
      </w:r>
      <w:r>
        <w:t xml:space="preserve"> </w:t>
      </w:r>
      <w:r>
        <w:rPr>
          <w:rFonts w:hint="eastAsia"/>
        </w:rPr>
        <w:t>助航灯光设施用地（包括维修道路在内），在升降带两端的用地指标应符合表3.3.1。</w:t>
      </w:r>
    </w:p>
    <w:p w14:paraId="61440D64">
      <w:pPr>
        <w:pStyle w:val="3"/>
      </w:pPr>
      <w:r>
        <w:rPr>
          <w:rFonts w:hint="eastAsia"/>
          <w:b/>
          <w:bCs/>
        </w:rPr>
        <w:t>表3.3.1</w:t>
      </w:r>
      <w:r>
        <w:rPr>
          <w:b/>
          <w:bCs/>
        </w:rPr>
        <w:t xml:space="preserve"> </w:t>
      </w:r>
      <w:r>
        <w:rPr>
          <w:rFonts w:hint="eastAsia"/>
          <w:b/>
          <w:bCs/>
        </w:rPr>
        <w:t>助航灯光设施建设用地指标</w:t>
      </w:r>
    </w:p>
    <w:tbl>
      <w:tblPr>
        <w:tblStyle w:val="41"/>
        <w:tblW w:w="0" w:type="auto"/>
        <w:tblInd w:w="0" w:type="dxa"/>
        <w:tblLayout w:type="autofit"/>
        <w:tblCellMar>
          <w:top w:w="0" w:type="dxa"/>
          <w:left w:w="108" w:type="dxa"/>
          <w:bottom w:w="0" w:type="dxa"/>
          <w:right w:w="108" w:type="dxa"/>
        </w:tblCellMar>
      </w:tblPr>
      <w:tblGrid>
        <w:gridCol w:w="3960"/>
        <w:gridCol w:w="3960"/>
      </w:tblGrid>
      <w:tr w14:paraId="78199D84">
        <w:tblPrEx>
          <w:tblCellMar>
            <w:top w:w="0" w:type="dxa"/>
            <w:left w:w="108" w:type="dxa"/>
            <w:bottom w:w="0" w:type="dxa"/>
            <w:right w:w="108" w:type="dxa"/>
          </w:tblCellMar>
        </w:tblPrEx>
        <w:trPr>
          <w:tblHeader/>
        </w:trPr>
        <w:tc>
          <w:p w14:paraId="58A02FF2">
            <w:pPr>
              <w:pStyle w:val="24"/>
              <w:jc w:val="left"/>
            </w:pPr>
            <w:r>
              <w:rPr>
                <w:rFonts w:hint="eastAsia"/>
              </w:rPr>
              <w:t>助航灯光系统类别</w:t>
            </w:r>
          </w:p>
        </w:tc>
        <w:tc>
          <w:p w14:paraId="22D5D717">
            <w:pPr>
              <w:pStyle w:val="24"/>
              <w:jc w:val="left"/>
            </w:pPr>
            <w:r>
              <w:rPr>
                <w:rFonts w:hint="eastAsia"/>
              </w:rPr>
              <w:t>用地指标（hm²）</w:t>
            </w:r>
          </w:p>
        </w:tc>
      </w:tr>
      <w:tr w14:paraId="1583415B">
        <w:tblPrEx>
          <w:tblCellMar>
            <w:top w:w="0" w:type="dxa"/>
            <w:left w:w="108" w:type="dxa"/>
            <w:bottom w:w="0" w:type="dxa"/>
            <w:right w:w="108" w:type="dxa"/>
          </w:tblCellMar>
        </w:tblPrEx>
        <w:tc>
          <w:p w14:paraId="6E30989E">
            <w:pPr>
              <w:pStyle w:val="24"/>
              <w:jc w:val="left"/>
            </w:pPr>
            <w:r>
              <w:rPr>
                <w:rFonts w:hint="eastAsia"/>
              </w:rPr>
              <w:t>简易及中光强进近灯光系统</w:t>
            </w:r>
          </w:p>
        </w:tc>
        <w:tc>
          <w:p w14:paraId="6048FCDF">
            <w:pPr>
              <w:pStyle w:val="24"/>
              <w:jc w:val="left"/>
            </w:pPr>
            <w:r>
              <w:t>0.72</w:t>
            </w:r>
          </w:p>
        </w:tc>
      </w:tr>
      <w:tr w14:paraId="66160C22">
        <w:tblPrEx>
          <w:tblCellMar>
            <w:top w:w="0" w:type="dxa"/>
            <w:left w:w="108" w:type="dxa"/>
            <w:bottom w:w="0" w:type="dxa"/>
            <w:right w:w="108" w:type="dxa"/>
          </w:tblCellMar>
        </w:tblPrEx>
        <w:tc>
          <w:p w14:paraId="1A4389E3">
            <w:pPr>
              <w:pStyle w:val="24"/>
              <w:jc w:val="left"/>
            </w:pPr>
            <w:r>
              <w:rPr>
                <w:rFonts w:hint="eastAsia"/>
              </w:rPr>
              <w:t>一、二、三类精密进近灯光系统</w:t>
            </w:r>
          </w:p>
        </w:tc>
        <w:tc>
          <w:p w14:paraId="6DBDD42A">
            <w:pPr>
              <w:pStyle w:val="24"/>
              <w:jc w:val="left"/>
            </w:pPr>
            <w:r>
              <w:t>2.18</w:t>
            </w:r>
          </w:p>
        </w:tc>
      </w:tr>
    </w:tbl>
    <w:p w14:paraId="66327E1E">
      <w:pPr>
        <w:pStyle w:val="3"/>
      </w:pPr>
      <w:r>
        <w:rPr>
          <w:b/>
          <w:bCs/>
        </w:rPr>
        <w:t>3.3.2</w:t>
      </w:r>
      <w:r>
        <w:t xml:space="preserve"> </w:t>
      </w:r>
      <w:r>
        <w:rPr>
          <w:rFonts w:hint="eastAsia"/>
        </w:rPr>
        <w:t>灯光变电站建设用地指标：指在机场飞行区内单独设置的灯光变电站。灯光变电站由建筑和该站外部设施小区构成，其用地面积不应超过0.35hm²。</w:t>
      </w:r>
    </w:p>
    <w:p w14:paraId="7E341189">
      <w:pPr>
        <w:pStyle w:val="3"/>
      </w:pPr>
      <w:r>
        <w:rPr>
          <w:rFonts w:hint="eastAsia"/>
        </w:rPr>
        <w:t>对于支线机场，灯光变电站可与场内供电变电站合建，建设用地指标应计入供电变电站用地指标。</w:t>
      </w:r>
    </w:p>
    <w:p w14:paraId="69BE0C84">
      <w:pPr>
        <w:pStyle w:val="3"/>
      </w:pPr>
      <w:r>
        <w:rPr>
          <w:rFonts w:hint="eastAsia"/>
        </w:rPr>
        <w:t>灯光变电站建设用地指标的计算公式见条文说明“3.3.2”。</w:t>
      </w:r>
    </w:p>
    <w:bookmarkEnd w:id="1"/>
    <w:bookmarkEnd w:id="4"/>
    <w:p w14:paraId="73AC9627">
      <w:pPr>
        <w:pStyle w:val="4"/>
      </w:pPr>
      <w:bookmarkStart w:id="5" w:name="第四章-通信导航设施建设用地指标"/>
      <w:r>
        <w:rPr>
          <w:rFonts w:hint="eastAsia"/>
        </w:rPr>
        <w:t>第四章</w:t>
      </w:r>
      <w:r>
        <w:t xml:space="preserve"> </w:t>
      </w:r>
      <w:r>
        <w:rPr>
          <w:rFonts w:hint="eastAsia"/>
        </w:rPr>
        <w:t>通信导航设施建设用地指标</w:t>
      </w:r>
    </w:p>
    <w:p w14:paraId="3E0B8500">
      <w:pPr>
        <w:pStyle w:val="3"/>
      </w:pPr>
      <w:r>
        <w:rPr>
          <w:b/>
          <w:bCs/>
        </w:rPr>
        <w:t>4.0.1</w:t>
      </w:r>
      <w:r>
        <w:t xml:space="preserve"> </w:t>
      </w:r>
      <w:r>
        <w:rPr>
          <w:rFonts w:hint="eastAsia"/>
        </w:rPr>
        <w:t>本章各指标均指一个台站的面积，核计总面积时，应按实际台站数计算；各台站用地指标均未含进台站道路，道路用地应按国家现行的公路建设用地指标执行。</w:t>
      </w:r>
    </w:p>
    <w:p w14:paraId="01555ED0">
      <w:pPr>
        <w:pStyle w:val="3"/>
      </w:pPr>
      <w:r>
        <w:rPr>
          <w:b/>
          <w:bCs/>
        </w:rPr>
        <w:t>4.0.2</w:t>
      </w:r>
      <w:r>
        <w:t xml:space="preserve"> </w:t>
      </w:r>
      <w:r>
        <w:rPr>
          <w:rFonts w:hint="eastAsia"/>
        </w:rPr>
        <w:t>仪表着陆系统包括航向台和下滑台，其保护区用地指标应符合下列规定：</w:t>
      </w:r>
    </w:p>
    <w:p w14:paraId="2BCB31A6">
      <w:pPr>
        <w:pStyle w:val="3"/>
      </w:pPr>
      <w:r>
        <w:rPr>
          <w:rFonts w:hint="eastAsia"/>
        </w:rPr>
        <w:t>一、航向台：当航向台建在跑道端320m处时，其保护区用地面积不应超过20000m²；当距离超过320m时，每增加1m，其保护区用地面积增加150m²；每减少1m，其保护区用地面积应减少150m²。</w:t>
      </w:r>
    </w:p>
    <w:p w14:paraId="1BA6CFF3">
      <w:pPr>
        <w:pStyle w:val="3"/>
      </w:pPr>
      <w:r>
        <w:rPr>
          <w:rFonts w:hint="eastAsia"/>
        </w:rPr>
        <w:t>二、下滑台：当下滑台设在跑道和滑行道之间时，不另计保护区用地面积。当设在距跑道中心线120m时，保护区用地面积为飞行区原有用地范围外增加的面积，其用地指标不应超过28000m²；当距跑道中心线超过120m时，每超过1m，其保护区用地面积增加400m²。</w:t>
      </w:r>
    </w:p>
    <w:p w14:paraId="464F0A60">
      <w:pPr>
        <w:pStyle w:val="3"/>
      </w:pPr>
      <w:r>
        <w:rPr>
          <w:b/>
          <w:bCs/>
        </w:rPr>
        <w:t>4.0.3</w:t>
      </w:r>
      <w:r>
        <w:t xml:space="preserve"> </w:t>
      </w:r>
      <w:r>
        <w:rPr>
          <w:rFonts w:hint="eastAsia"/>
        </w:rPr>
        <w:t>近距归航台（NDB）宜与指点标台合建，其用地面积不应超过4000m²。</w:t>
      </w:r>
    </w:p>
    <w:p w14:paraId="7D2B654B">
      <w:pPr>
        <w:pStyle w:val="3"/>
      </w:pPr>
      <w:r>
        <w:rPr>
          <w:b/>
          <w:bCs/>
        </w:rPr>
        <w:t>4.0.4</w:t>
      </w:r>
      <w:r>
        <w:t xml:space="preserve"> </w:t>
      </w:r>
      <w:r>
        <w:rPr>
          <w:rFonts w:hint="eastAsia"/>
        </w:rPr>
        <w:t>远距归航台（NDB）宜与外指点标台（OM）合建，其用地面积不应超过5000m²。当外指点标台单建且天线置于地面时，其用地面积不应超过300m²；天线置于机房顶时，其用地面积不应超过270m²。</w:t>
      </w:r>
    </w:p>
    <w:p w14:paraId="7FB3D19E">
      <w:pPr>
        <w:pStyle w:val="3"/>
      </w:pPr>
      <w:r>
        <w:rPr>
          <w:b/>
          <w:bCs/>
        </w:rPr>
        <w:t>4.0.5</w:t>
      </w:r>
      <w:r>
        <w:t xml:space="preserve"> </w:t>
      </w:r>
      <w:r>
        <w:rPr>
          <w:rFonts w:hint="eastAsia"/>
        </w:rPr>
        <w:t>航线归航台（NDB）用地面积不应超过5000m²。</w:t>
      </w:r>
    </w:p>
    <w:p w14:paraId="357C5FAC">
      <w:pPr>
        <w:pStyle w:val="3"/>
      </w:pPr>
      <w:r>
        <w:rPr>
          <w:b/>
          <w:bCs/>
        </w:rPr>
        <w:t>4.0.6</w:t>
      </w:r>
      <w:r>
        <w:t xml:space="preserve"> </w:t>
      </w:r>
      <w:r>
        <w:rPr>
          <w:rFonts w:hint="eastAsia"/>
        </w:rPr>
        <w:t>多卜勒全向信标／测距仪台，包括机场内多卜勒全向信标／测距仪台和机场外多卜勒全向信标／测距仪台。</w:t>
      </w:r>
    </w:p>
    <w:p w14:paraId="44A07B3B">
      <w:pPr>
        <w:pStyle w:val="3"/>
      </w:pPr>
      <w:r>
        <w:rPr>
          <w:rFonts w:hint="eastAsia"/>
        </w:rPr>
        <w:t>机场内多卜勒全向信标／测距仪台用地面积不应超过3000m²，台站周围应设置直径为300m的保护区。</w:t>
      </w:r>
    </w:p>
    <w:p w14:paraId="719FD65D">
      <w:pPr>
        <w:pStyle w:val="3"/>
      </w:pPr>
      <w:r>
        <w:rPr>
          <w:rFonts w:hint="eastAsia"/>
        </w:rPr>
        <w:t>机场外多卜勒全向信标／测距仪台用地面积不应超过5150m²，台站周围应设置直径为300m的保护区。保护区用地属于控制用地，根据控制力度决定是否征用。</w:t>
      </w:r>
    </w:p>
    <w:p w14:paraId="3AF7D666">
      <w:pPr>
        <w:pStyle w:val="3"/>
      </w:pPr>
      <w:r>
        <w:rPr>
          <w:rFonts w:hint="eastAsia"/>
        </w:rPr>
        <w:t>当场外多卜勒全向信标／测距仪台与航线归航台合建时，其用地面积不应超过8000m²。</w:t>
      </w:r>
    </w:p>
    <w:p w14:paraId="1F55C021">
      <w:pPr>
        <w:pStyle w:val="3"/>
      </w:pPr>
      <w:r>
        <w:rPr>
          <w:b/>
          <w:bCs/>
        </w:rPr>
        <w:t>4.0.7</w:t>
      </w:r>
      <w:r>
        <w:t xml:space="preserve"> </w:t>
      </w:r>
      <w:r>
        <w:rPr>
          <w:rFonts w:hint="eastAsia"/>
        </w:rPr>
        <w:t>着陆雷达站应建在机场内，其用地面积不另计算。</w:t>
      </w:r>
    </w:p>
    <w:p w14:paraId="68EF3FD9">
      <w:pPr>
        <w:pStyle w:val="3"/>
      </w:pPr>
      <w:r>
        <w:rPr>
          <w:b/>
          <w:bCs/>
        </w:rPr>
        <w:t>4.0.8</w:t>
      </w:r>
      <w:r>
        <w:t xml:space="preserve"> </w:t>
      </w:r>
      <w:r>
        <w:rPr>
          <w:rFonts w:hint="eastAsia"/>
        </w:rPr>
        <w:t>航管一／二次雷达站建于机场内时，其用地面积不应超过3600m²；建于机场外时，其用地面积不应超过5000m²。</w:t>
      </w:r>
    </w:p>
    <w:p w14:paraId="2E210569">
      <w:pPr>
        <w:pStyle w:val="3"/>
      </w:pPr>
      <w:r>
        <w:rPr>
          <w:b/>
          <w:bCs/>
        </w:rPr>
        <w:t>4.0.9</w:t>
      </w:r>
      <w:r>
        <w:t xml:space="preserve"> </w:t>
      </w:r>
      <w:r>
        <w:rPr>
          <w:rFonts w:hint="eastAsia"/>
        </w:rPr>
        <w:t>气象雷达站建于场外时，其用地面积不应超过3600m²；当建于场内时，其用地面积不应超过2000m²。</w:t>
      </w:r>
    </w:p>
    <w:p w14:paraId="459E0852">
      <w:pPr>
        <w:pStyle w:val="3"/>
      </w:pPr>
      <w:r>
        <w:rPr>
          <w:b/>
          <w:bCs/>
        </w:rPr>
        <w:t>4.0.10</w:t>
      </w:r>
      <w:r>
        <w:t xml:space="preserve"> </w:t>
      </w:r>
      <w:r>
        <w:rPr>
          <w:rFonts w:hint="eastAsia"/>
        </w:rPr>
        <w:t>甚高频转播台单建时，其用地面积不应超过1500m²；当与其他台合建时，其用地面积不应超过800m²。</w:t>
      </w:r>
    </w:p>
    <w:p w14:paraId="7E9F38D9">
      <w:pPr>
        <w:pStyle w:val="3"/>
      </w:pPr>
      <w:r>
        <w:rPr>
          <w:b/>
          <w:bCs/>
        </w:rPr>
        <w:t>4.0.11</w:t>
      </w:r>
      <w:r>
        <w:t xml:space="preserve"> </w:t>
      </w:r>
      <w:r>
        <w:rPr>
          <w:rFonts w:hint="eastAsia"/>
        </w:rPr>
        <w:t>无线电短波发射台采用四波道时，其用地面积不应超过3000m²；每增加一个波道，相应增加用地面积不应超过200m²。天线场地用地面积不应超过4000m²/付；采用四付以上天线时，其用地面积应按85%计算。</w:t>
      </w:r>
    </w:p>
    <w:p w14:paraId="34B229EA">
      <w:pPr>
        <w:pStyle w:val="3"/>
      </w:pPr>
      <w:r>
        <w:rPr>
          <w:b/>
          <w:bCs/>
        </w:rPr>
        <w:t>4.0.12</w:t>
      </w:r>
      <w:r>
        <w:t xml:space="preserve"> </w:t>
      </w:r>
      <w:r>
        <w:rPr>
          <w:rFonts w:hint="eastAsia"/>
        </w:rPr>
        <w:t>甚高频共用通信系统包括集中发信台和集中收信台。当甚高频共用通信系统在机场外单建时，其用地面积不应超过3000m²；当在机场内与航管或通信综合楼合建时，其用地面积不另计算。</w:t>
      </w:r>
    </w:p>
    <w:p w14:paraId="31EFA86A">
      <w:pPr>
        <w:pStyle w:val="3"/>
      </w:pPr>
      <w:r>
        <w:rPr>
          <w:b/>
          <w:bCs/>
        </w:rPr>
        <w:t>4.0.13</w:t>
      </w:r>
      <w:r>
        <w:t xml:space="preserve"> </w:t>
      </w:r>
      <w:r>
        <w:rPr>
          <w:rFonts w:hint="eastAsia"/>
        </w:rPr>
        <w:t>集群移动通信系统中心站建在机场外时，其用地面积不应超过3000m²；建在机场内时，应与其他建筑合建，当与机场内航管楼、通信楼合建时，不再另增加用地指标。</w:t>
      </w:r>
    </w:p>
    <w:p w14:paraId="660A3FC6">
      <w:pPr>
        <w:pStyle w:val="3"/>
      </w:pPr>
      <w:r>
        <w:rPr>
          <w:b/>
          <w:bCs/>
        </w:rPr>
        <w:t>4.0.14</w:t>
      </w:r>
      <w:r>
        <w:t xml:space="preserve"> </w:t>
      </w:r>
      <w:r>
        <w:rPr>
          <w:rFonts w:hint="eastAsia"/>
        </w:rPr>
        <w:t>卫星地球站在机场外单建时，其用地面积不应超过2000m²；当与其他建筑合建时，其用地面积不应超过1000m²。当卫星地球站在机场内时，其用地面积不应超过800m²。卫星天线置于地面时，其增加的用地面积不应超过1000m²。</w:t>
      </w:r>
    </w:p>
    <w:p w14:paraId="505E0B00">
      <w:pPr>
        <w:pStyle w:val="3"/>
      </w:pPr>
      <w:r>
        <w:rPr>
          <w:b/>
          <w:bCs/>
        </w:rPr>
        <w:t>4.0.15</w:t>
      </w:r>
      <w:r>
        <w:t xml:space="preserve"> </w:t>
      </w:r>
      <w:r>
        <w:rPr>
          <w:rFonts w:hint="eastAsia"/>
        </w:rPr>
        <w:t>电话站单建时，其用地面积不应超过5000m²；当与其他建筑合建时，其用地面积不应超过2000m²。</w:t>
      </w:r>
    </w:p>
    <w:bookmarkEnd w:id="5"/>
    <w:p w14:paraId="2DFE42BA">
      <w:pPr>
        <w:pStyle w:val="4"/>
      </w:pPr>
      <w:bookmarkStart w:id="6" w:name="第五章-航站区货运区机务维修区建设用地指标"/>
      <w:r>
        <w:rPr>
          <w:rFonts w:hint="eastAsia"/>
        </w:rPr>
        <w:t>第五章</w:t>
      </w:r>
      <w:r>
        <w:t xml:space="preserve"> </w:t>
      </w:r>
      <w:r>
        <w:rPr>
          <w:rFonts w:hint="eastAsia"/>
        </w:rPr>
        <w:t>航站区、货运区、机务维修区建设用地指标</w:t>
      </w:r>
    </w:p>
    <w:p w14:paraId="59A1B682">
      <w:pPr>
        <w:pStyle w:val="5"/>
      </w:pPr>
      <w:bookmarkStart w:id="7" w:name="第一节-航站区建设用地指标"/>
      <w:r>
        <w:rPr>
          <w:rFonts w:hint="eastAsia"/>
        </w:rPr>
        <w:t>第一节</w:t>
      </w:r>
      <w:r>
        <w:t xml:space="preserve"> </w:t>
      </w:r>
      <w:r>
        <w:rPr>
          <w:rFonts w:hint="eastAsia"/>
        </w:rPr>
        <w:t>航站区建设用地指标</w:t>
      </w:r>
    </w:p>
    <w:p w14:paraId="1F3E39FC">
      <w:pPr>
        <w:pStyle w:val="3"/>
      </w:pPr>
      <w:r>
        <w:rPr>
          <w:b/>
          <w:bCs/>
        </w:rPr>
        <w:t>5.1.1</w:t>
      </w:r>
      <w:r>
        <w:t xml:space="preserve"> </w:t>
      </w:r>
      <w:r>
        <w:rPr>
          <w:rFonts w:hint="eastAsia"/>
        </w:rPr>
        <w:t>机场的航站区一般由空侧和陆侧组成。空侧指有航空器活动的机坪区；陆侧由航站楼区和综合保障设施区组成。</w:t>
      </w:r>
    </w:p>
    <w:p w14:paraId="52F609A5">
      <w:pPr>
        <w:pStyle w:val="3"/>
      </w:pPr>
      <w:r>
        <w:rPr>
          <w:rFonts w:hint="eastAsia"/>
        </w:rPr>
        <w:t>机坪区包括：客机坪、过夜机坪、飞机除冰坪、应急处置隔离机坪、机坪滑行通道、机坪服务车道、专用设备及地面设施停放区。</w:t>
      </w:r>
    </w:p>
    <w:p w14:paraId="5674FCFA">
      <w:pPr>
        <w:pStyle w:val="3"/>
      </w:pPr>
      <w:r>
        <w:rPr>
          <w:rFonts w:hint="eastAsia"/>
        </w:rPr>
        <w:t>航站楼区包括：旅客航站楼、高架桥、停车场(楼)及进场路场内部分主干道。</w:t>
      </w:r>
    </w:p>
    <w:p w14:paraId="4020782C">
      <w:pPr>
        <w:pStyle w:val="3"/>
      </w:pPr>
      <w:r>
        <w:rPr>
          <w:rFonts w:hint="eastAsia"/>
        </w:rPr>
        <w:t>综合保障设施区包括：航管气象技术业务用房、航管气象综合办公楼、航空加油站、地面专用设备车辆加油站、消防中心、医疗急救中心、普通服务车辆车库、专用设备库、仓库、公用配套设施、机场管理机构及驻场单位业务用房(包括：行政办公、勤务保障、安检、武警、海关、边防、动植物检疫、公安用房)、环境保护设施用地等。</w:t>
      </w:r>
    </w:p>
    <w:p w14:paraId="427A0343">
      <w:pPr>
        <w:pStyle w:val="3"/>
      </w:pPr>
      <w:r>
        <w:rPr>
          <w:rFonts w:hint="eastAsia"/>
        </w:rPr>
        <w:t>航站区布局应进行多方案比选，在满足功能要求的同时，重视节约用地。航站区建设用地面积应符合表5.1.1规定。</w:t>
      </w:r>
    </w:p>
    <w:p w14:paraId="265AAC51">
      <w:pPr>
        <w:pStyle w:val="3"/>
      </w:pPr>
      <w:r>
        <w:rPr>
          <w:rFonts w:hint="eastAsia"/>
          <w:b/>
          <w:bCs/>
        </w:rPr>
        <w:t>表5.1.1</w:t>
      </w:r>
      <w:r>
        <w:rPr>
          <w:b/>
          <w:bCs/>
        </w:rPr>
        <w:t xml:space="preserve"> </w:t>
      </w:r>
      <w:r>
        <w:rPr>
          <w:rFonts w:hint="eastAsia"/>
          <w:b/>
          <w:bCs/>
        </w:rPr>
        <w:t>航站区建设用地指标</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3C7C9056">
        <w:tblPrEx>
          <w:tblCellMar>
            <w:top w:w="0" w:type="dxa"/>
            <w:left w:w="108" w:type="dxa"/>
            <w:bottom w:w="0" w:type="dxa"/>
            <w:right w:w="108" w:type="dxa"/>
          </w:tblCellMar>
        </w:tblPrEx>
        <w:trPr>
          <w:tblHeader/>
        </w:trPr>
        <w:tc>
          <w:p w14:paraId="3DA4D1DC">
            <w:pPr>
              <w:pStyle w:val="24"/>
              <w:jc w:val="left"/>
            </w:pPr>
            <w:r>
              <w:rPr>
                <w:rFonts w:hint="eastAsia"/>
              </w:rPr>
              <w:t>序号</w:t>
            </w:r>
          </w:p>
        </w:tc>
        <w:tc>
          <w:p w14:paraId="53B01B8A">
            <w:pPr>
              <w:pStyle w:val="24"/>
              <w:jc w:val="left"/>
            </w:pPr>
            <w:r>
              <w:rPr>
                <w:rFonts w:hint="eastAsia"/>
              </w:rPr>
              <w:t>年旅客吞吐量(万人次)</w:t>
            </w:r>
          </w:p>
        </w:tc>
        <w:tc>
          <w:p w14:paraId="27D903EF">
            <w:pPr>
              <w:pStyle w:val="24"/>
              <w:jc w:val="left"/>
            </w:pPr>
            <w:r>
              <w:rPr>
                <w:rFonts w:hint="eastAsia"/>
              </w:rPr>
              <w:t>航站区建设用地指标(hm²)</w:t>
            </w:r>
          </w:p>
        </w:tc>
      </w:tr>
      <w:tr w14:paraId="41B149A3">
        <w:tblPrEx>
          <w:tblCellMar>
            <w:top w:w="0" w:type="dxa"/>
            <w:left w:w="108" w:type="dxa"/>
            <w:bottom w:w="0" w:type="dxa"/>
            <w:right w:w="108" w:type="dxa"/>
          </w:tblCellMar>
        </w:tblPrEx>
        <w:tc>
          <w:p w14:paraId="4BCEC376">
            <w:pPr>
              <w:pStyle w:val="24"/>
            </w:pPr>
          </w:p>
        </w:tc>
        <w:tc>
          <w:p w14:paraId="04E9A9D8">
            <w:pPr>
              <w:pStyle w:val="24"/>
            </w:pPr>
          </w:p>
        </w:tc>
        <w:tc>
          <w:p w14:paraId="4608CF7F">
            <w:pPr>
              <w:pStyle w:val="24"/>
              <w:jc w:val="left"/>
            </w:pPr>
            <w:r>
              <w:rPr>
                <w:rFonts w:hint="eastAsia"/>
              </w:rPr>
              <w:t>空侧(机坪区)</w:t>
            </w:r>
          </w:p>
        </w:tc>
      </w:tr>
      <w:tr w14:paraId="1DBEACEE">
        <w:tblPrEx>
          <w:tblCellMar>
            <w:top w:w="0" w:type="dxa"/>
            <w:left w:w="108" w:type="dxa"/>
            <w:bottom w:w="0" w:type="dxa"/>
            <w:right w:w="108" w:type="dxa"/>
          </w:tblCellMar>
        </w:tblPrEx>
        <w:tc>
          <w:p w14:paraId="0CC8A8BD">
            <w:pPr>
              <w:pStyle w:val="24"/>
              <w:jc w:val="left"/>
            </w:pPr>
            <w:r>
              <w:t>1</w:t>
            </w:r>
          </w:p>
        </w:tc>
        <w:tc>
          <w:p w14:paraId="26057515">
            <w:pPr>
              <w:pStyle w:val="24"/>
              <w:jc w:val="left"/>
            </w:pPr>
            <w:r>
              <w:rPr>
                <w:rFonts w:hint="eastAsia"/>
              </w:rPr>
              <w:t>30以下</w:t>
            </w:r>
          </w:p>
        </w:tc>
        <w:tc>
          <w:p w14:paraId="2FC56C16">
            <w:pPr>
              <w:pStyle w:val="24"/>
              <w:jc w:val="left"/>
            </w:pPr>
            <w:r>
              <w:t>5.20</w:t>
            </w:r>
          </w:p>
        </w:tc>
      </w:tr>
      <w:tr w14:paraId="4DA9CA38">
        <w:tblPrEx>
          <w:tblCellMar>
            <w:top w:w="0" w:type="dxa"/>
            <w:left w:w="108" w:type="dxa"/>
            <w:bottom w:w="0" w:type="dxa"/>
            <w:right w:w="108" w:type="dxa"/>
          </w:tblCellMar>
        </w:tblPrEx>
        <w:tc>
          <w:p w14:paraId="4F1712D5">
            <w:pPr>
              <w:pStyle w:val="24"/>
              <w:jc w:val="left"/>
            </w:pPr>
            <w:r>
              <w:t>2</w:t>
            </w:r>
          </w:p>
        </w:tc>
        <w:tc>
          <w:p w14:paraId="7B33C530">
            <w:pPr>
              <w:pStyle w:val="24"/>
              <w:jc w:val="left"/>
            </w:pPr>
            <w:r>
              <w:rPr>
                <w:rFonts w:hint="eastAsia"/>
              </w:rPr>
              <w:t>30～50</w:t>
            </w:r>
          </w:p>
        </w:tc>
        <w:tc>
          <w:p w14:paraId="231864D2">
            <w:pPr>
              <w:pStyle w:val="24"/>
              <w:jc w:val="left"/>
            </w:pPr>
            <w:r>
              <w:rPr>
                <w:rFonts w:hint="eastAsia"/>
              </w:rPr>
              <w:t>5.20～7.10</w:t>
            </w:r>
          </w:p>
        </w:tc>
      </w:tr>
      <w:tr w14:paraId="362873B5">
        <w:tblPrEx>
          <w:tblCellMar>
            <w:top w:w="0" w:type="dxa"/>
            <w:left w:w="108" w:type="dxa"/>
            <w:bottom w:w="0" w:type="dxa"/>
            <w:right w:w="108" w:type="dxa"/>
          </w:tblCellMar>
        </w:tblPrEx>
        <w:tc>
          <w:p w14:paraId="77CA5C5F">
            <w:pPr>
              <w:pStyle w:val="24"/>
              <w:jc w:val="left"/>
            </w:pPr>
            <w:r>
              <w:t>3</w:t>
            </w:r>
          </w:p>
        </w:tc>
        <w:tc>
          <w:p w14:paraId="16CA97CC">
            <w:pPr>
              <w:pStyle w:val="24"/>
              <w:jc w:val="left"/>
            </w:pPr>
            <w:r>
              <w:rPr>
                <w:rFonts w:hint="eastAsia"/>
              </w:rPr>
              <w:t>50～100</w:t>
            </w:r>
          </w:p>
        </w:tc>
        <w:tc>
          <w:p w14:paraId="5B5227B1">
            <w:pPr>
              <w:pStyle w:val="24"/>
              <w:jc w:val="left"/>
            </w:pPr>
            <w:r>
              <w:rPr>
                <w:rFonts w:hint="eastAsia"/>
              </w:rPr>
              <w:t>7.10～11.00</w:t>
            </w:r>
          </w:p>
        </w:tc>
      </w:tr>
      <w:tr w14:paraId="40F0E306">
        <w:tblPrEx>
          <w:tblCellMar>
            <w:top w:w="0" w:type="dxa"/>
            <w:left w:w="108" w:type="dxa"/>
            <w:bottom w:w="0" w:type="dxa"/>
            <w:right w:w="108" w:type="dxa"/>
          </w:tblCellMar>
        </w:tblPrEx>
        <w:tc>
          <w:p w14:paraId="339CCA9F">
            <w:pPr>
              <w:pStyle w:val="24"/>
              <w:jc w:val="left"/>
            </w:pPr>
            <w:r>
              <w:t>4</w:t>
            </w:r>
          </w:p>
        </w:tc>
        <w:tc>
          <w:p w14:paraId="1EBF5E33">
            <w:pPr>
              <w:pStyle w:val="24"/>
              <w:jc w:val="left"/>
            </w:pPr>
            <w:r>
              <w:rPr>
                <w:rFonts w:hint="eastAsia"/>
              </w:rPr>
              <w:t>100～200</w:t>
            </w:r>
          </w:p>
        </w:tc>
        <w:tc>
          <w:p w14:paraId="094A673B">
            <w:pPr>
              <w:pStyle w:val="24"/>
              <w:jc w:val="left"/>
            </w:pPr>
            <w:r>
              <w:rPr>
                <w:rFonts w:hint="eastAsia"/>
              </w:rPr>
              <w:t>11.00～23.50</w:t>
            </w:r>
          </w:p>
        </w:tc>
      </w:tr>
      <w:tr w14:paraId="1A353C0A">
        <w:tblPrEx>
          <w:tblCellMar>
            <w:top w:w="0" w:type="dxa"/>
            <w:left w:w="108" w:type="dxa"/>
            <w:bottom w:w="0" w:type="dxa"/>
            <w:right w:w="108" w:type="dxa"/>
          </w:tblCellMar>
        </w:tblPrEx>
        <w:tc>
          <w:p w14:paraId="1937839B">
            <w:pPr>
              <w:pStyle w:val="24"/>
              <w:jc w:val="left"/>
            </w:pPr>
            <w:r>
              <w:t>5</w:t>
            </w:r>
          </w:p>
        </w:tc>
        <w:tc>
          <w:p w14:paraId="31D13934">
            <w:pPr>
              <w:pStyle w:val="24"/>
              <w:jc w:val="left"/>
            </w:pPr>
            <w:r>
              <w:rPr>
                <w:rFonts w:hint="eastAsia"/>
              </w:rPr>
              <w:t>200～500</w:t>
            </w:r>
          </w:p>
        </w:tc>
        <w:tc>
          <w:p w14:paraId="1C07C130">
            <w:pPr>
              <w:pStyle w:val="24"/>
              <w:jc w:val="left"/>
            </w:pPr>
            <w:r>
              <w:rPr>
                <w:rFonts w:hint="eastAsia"/>
              </w:rPr>
              <w:t>23.50～38.50</w:t>
            </w:r>
          </w:p>
        </w:tc>
      </w:tr>
      <w:tr w14:paraId="1DA66346">
        <w:tblPrEx>
          <w:tblCellMar>
            <w:top w:w="0" w:type="dxa"/>
            <w:left w:w="108" w:type="dxa"/>
            <w:bottom w:w="0" w:type="dxa"/>
            <w:right w:w="108" w:type="dxa"/>
          </w:tblCellMar>
        </w:tblPrEx>
        <w:tc>
          <w:p w14:paraId="3E7B30DB">
            <w:pPr>
              <w:pStyle w:val="24"/>
              <w:jc w:val="left"/>
            </w:pPr>
            <w:r>
              <w:t>6</w:t>
            </w:r>
          </w:p>
        </w:tc>
        <w:tc>
          <w:p w14:paraId="69D4B642">
            <w:pPr>
              <w:pStyle w:val="24"/>
              <w:jc w:val="left"/>
            </w:pPr>
            <w:r>
              <w:rPr>
                <w:rFonts w:hint="eastAsia"/>
              </w:rPr>
              <w:t>500～1500</w:t>
            </w:r>
          </w:p>
        </w:tc>
        <w:tc>
          <w:p w14:paraId="4C13E25C">
            <w:pPr>
              <w:pStyle w:val="24"/>
              <w:jc w:val="left"/>
            </w:pPr>
            <w:r>
              <w:rPr>
                <w:rFonts w:hint="eastAsia"/>
              </w:rPr>
              <w:t>38.50～57.00</w:t>
            </w:r>
          </w:p>
        </w:tc>
      </w:tr>
      <w:tr w14:paraId="5AF87694">
        <w:tblPrEx>
          <w:tblCellMar>
            <w:top w:w="0" w:type="dxa"/>
            <w:left w:w="108" w:type="dxa"/>
            <w:bottom w:w="0" w:type="dxa"/>
            <w:right w:w="108" w:type="dxa"/>
          </w:tblCellMar>
        </w:tblPrEx>
        <w:tc>
          <w:p w14:paraId="1CA12A38">
            <w:pPr>
              <w:pStyle w:val="24"/>
              <w:jc w:val="left"/>
            </w:pPr>
            <w:r>
              <w:t>7</w:t>
            </w:r>
          </w:p>
        </w:tc>
        <w:tc>
          <w:p w14:paraId="32EA7C1A">
            <w:pPr>
              <w:pStyle w:val="24"/>
              <w:jc w:val="left"/>
            </w:pPr>
            <w:r>
              <w:rPr>
                <w:rFonts w:hint="eastAsia"/>
              </w:rPr>
              <w:t>1500～3000</w:t>
            </w:r>
          </w:p>
        </w:tc>
        <w:tc>
          <w:p w14:paraId="1E589A08">
            <w:pPr>
              <w:pStyle w:val="24"/>
              <w:jc w:val="left"/>
            </w:pPr>
            <w:r>
              <w:rPr>
                <w:rFonts w:hint="eastAsia"/>
              </w:rPr>
              <w:t>57.00～120.00</w:t>
            </w:r>
          </w:p>
        </w:tc>
      </w:tr>
      <w:tr w14:paraId="0E14AE05">
        <w:tblPrEx>
          <w:tblCellMar>
            <w:top w:w="0" w:type="dxa"/>
            <w:left w:w="108" w:type="dxa"/>
            <w:bottom w:w="0" w:type="dxa"/>
            <w:right w:w="108" w:type="dxa"/>
          </w:tblCellMar>
        </w:tblPrEx>
        <w:tc>
          <w:p w14:paraId="13F0AE86">
            <w:pPr>
              <w:pStyle w:val="24"/>
              <w:jc w:val="left"/>
            </w:pPr>
            <w:r>
              <w:t>8</w:t>
            </w:r>
          </w:p>
        </w:tc>
        <w:tc>
          <w:p w14:paraId="286D30A3">
            <w:pPr>
              <w:pStyle w:val="24"/>
              <w:jc w:val="left"/>
            </w:pPr>
            <w:r>
              <w:rPr>
                <w:rFonts w:hint="eastAsia"/>
              </w:rPr>
              <w:t>3000～4000</w:t>
            </w:r>
          </w:p>
        </w:tc>
        <w:tc>
          <w:p w14:paraId="34EBB90E">
            <w:pPr>
              <w:pStyle w:val="24"/>
              <w:jc w:val="left"/>
            </w:pPr>
            <w:r>
              <w:rPr>
                <w:rFonts w:hint="eastAsia"/>
              </w:rPr>
              <w:t>120.00～143.00</w:t>
            </w:r>
          </w:p>
        </w:tc>
      </w:tr>
    </w:tbl>
    <w:p w14:paraId="69CC93E4">
      <w:pPr>
        <w:pStyle w:val="3"/>
      </w:pPr>
      <w:r>
        <w:rPr>
          <w:rFonts w:hint="eastAsia"/>
        </w:rPr>
        <w:t>注：</w:t>
      </w:r>
    </w:p>
    <w:p w14:paraId="650C15B5">
      <w:pPr>
        <w:pStyle w:val="24"/>
        <w:numPr>
          <w:ilvl w:val="0"/>
          <w:numId w:val="4"/>
        </w:numPr>
      </w:pPr>
      <w:r>
        <w:rPr>
          <w:rFonts w:hint="eastAsia"/>
        </w:rPr>
        <w:t>序号7表示两条近距跑道年旅客吞吐量；序号8表示两条远距跑道年旅客吞吐量。</w:t>
      </w:r>
    </w:p>
    <w:p w14:paraId="5F46FAFB">
      <w:pPr>
        <w:pStyle w:val="24"/>
        <w:numPr>
          <w:ilvl w:val="0"/>
          <w:numId w:val="4"/>
        </w:numPr>
      </w:pPr>
      <w:r>
        <w:rPr>
          <w:rFonts w:hint="eastAsia"/>
        </w:rPr>
        <w:t>年旅客吞吐量4000万人次以上按设计方案专门计算用地。</w:t>
      </w:r>
    </w:p>
    <w:bookmarkEnd w:id="7"/>
    <w:p w14:paraId="5BB0D12C">
      <w:pPr>
        <w:pStyle w:val="5"/>
      </w:pPr>
      <w:bookmarkStart w:id="8" w:name="第二节-货运区建设用地指标"/>
      <w:r>
        <w:rPr>
          <w:rFonts w:hint="eastAsia"/>
        </w:rPr>
        <w:t>第二节</w:t>
      </w:r>
      <w:r>
        <w:t xml:space="preserve"> </w:t>
      </w:r>
      <w:r>
        <w:rPr>
          <w:rFonts w:hint="eastAsia"/>
        </w:rPr>
        <w:t>货运区建设用地指标</w:t>
      </w:r>
    </w:p>
    <w:p w14:paraId="4967FD59">
      <w:pPr>
        <w:pStyle w:val="3"/>
      </w:pPr>
      <w:r>
        <w:rPr>
          <w:b/>
          <w:bCs/>
        </w:rPr>
        <w:t>5.2.1</w:t>
      </w:r>
      <w:r>
        <w:t xml:space="preserve"> </w:t>
      </w:r>
      <w:r>
        <w:rPr>
          <w:rFonts w:hint="eastAsia"/>
        </w:rPr>
        <w:t>机场的货运区一般由货机坪区、货站区及停车场组成。其建设用地指标应符合表5.2.1规定。</w:t>
      </w:r>
    </w:p>
    <w:p w14:paraId="092593A2">
      <w:pPr>
        <w:pStyle w:val="3"/>
      </w:pPr>
      <w:r>
        <w:rPr>
          <w:rFonts w:hint="eastAsia"/>
          <w:b/>
          <w:bCs/>
        </w:rPr>
        <w:t>表5.2.1</w:t>
      </w:r>
      <w:r>
        <w:rPr>
          <w:b/>
          <w:bCs/>
        </w:rPr>
        <w:t xml:space="preserve"> </w:t>
      </w:r>
      <w:r>
        <w:rPr>
          <w:rFonts w:hint="eastAsia"/>
          <w:b/>
          <w:bCs/>
        </w:rPr>
        <w:t>货运区建设用地指标（hm²）</w:t>
      </w:r>
    </w:p>
    <w:tbl>
      <w:tblPr>
        <w:tblStyle w:val="41"/>
        <w:tblW w:w="0" w:type="auto"/>
        <w:tblInd w:w="0" w:type="dxa"/>
        <w:tblLayout w:type="autofit"/>
        <w:tblCellMar>
          <w:top w:w="0" w:type="dxa"/>
          <w:left w:w="108" w:type="dxa"/>
          <w:bottom w:w="0" w:type="dxa"/>
          <w:right w:w="108" w:type="dxa"/>
        </w:tblCellMar>
      </w:tblPr>
      <w:tblGrid>
        <w:gridCol w:w="1980"/>
        <w:gridCol w:w="1980"/>
        <w:gridCol w:w="1980"/>
        <w:gridCol w:w="1980"/>
      </w:tblGrid>
      <w:tr w14:paraId="053D7F62">
        <w:tblPrEx>
          <w:tblCellMar>
            <w:top w:w="0" w:type="dxa"/>
            <w:left w:w="108" w:type="dxa"/>
            <w:bottom w:w="0" w:type="dxa"/>
            <w:right w:w="108" w:type="dxa"/>
          </w:tblCellMar>
        </w:tblPrEx>
        <w:trPr>
          <w:tblHeader/>
        </w:trPr>
        <w:tc>
          <w:p w14:paraId="49068AEB">
            <w:pPr>
              <w:pStyle w:val="24"/>
              <w:jc w:val="left"/>
            </w:pPr>
            <w:r>
              <w:rPr>
                <w:rFonts w:hint="eastAsia"/>
              </w:rPr>
              <w:t>年货邮吞吐量（万吨）</w:t>
            </w:r>
          </w:p>
        </w:tc>
        <w:tc>
          <w:p w14:paraId="4BAFEFFB">
            <w:pPr>
              <w:pStyle w:val="24"/>
              <w:jc w:val="left"/>
            </w:pPr>
            <w:r>
              <w:rPr>
                <w:rFonts w:hint="eastAsia"/>
              </w:rPr>
              <w:t>货机位（个）</w:t>
            </w:r>
          </w:p>
        </w:tc>
        <w:tc>
          <w:p w14:paraId="627F8675">
            <w:pPr>
              <w:pStyle w:val="24"/>
              <w:jc w:val="left"/>
            </w:pPr>
            <w:r>
              <w:rPr>
                <w:rFonts w:hint="eastAsia"/>
              </w:rPr>
              <w:t>货机坪区</w:t>
            </w:r>
          </w:p>
        </w:tc>
        <w:tc>
          <w:p w14:paraId="64CBD700">
            <w:pPr>
              <w:pStyle w:val="24"/>
              <w:jc w:val="left"/>
            </w:pPr>
            <w:r>
              <w:rPr>
                <w:rFonts w:hint="eastAsia"/>
              </w:rPr>
              <w:t>货站区</w:t>
            </w:r>
          </w:p>
        </w:tc>
      </w:tr>
      <w:tr w14:paraId="6671B88C">
        <w:tblPrEx>
          <w:tblCellMar>
            <w:top w:w="0" w:type="dxa"/>
            <w:left w:w="108" w:type="dxa"/>
            <w:bottom w:w="0" w:type="dxa"/>
            <w:right w:w="108" w:type="dxa"/>
          </w:tblCellMar>
        </w:tblPrEx>
        <w:tc>
          <w:p w14:paraId="142264EF">
            <w:pPr>
              <w:pStyle w:val="24"/>
              <w:jc w:val="left"/>
            </w:pPr>
            <w:r>
              <w:rPr>
                <w:rFonts w:hint="eastAsia"/>
              </w:rPr>
              <w:t>10以下</w:t>
            </w:r>
          </w:p>
        </w:tc>
        <w:tc>
          <w:p w14:paraId="72CC3E45">
            <w:pPr>
              <w:pStyle w:val="24"/>
              <w:jc w:val="left"/>
            </w:pPr>
            <w:r>
              <w:t>—</w:t>
            </w:r>
          </w:p>
        </w:tc>
        <w:tc>
          <w:p w14:paraId="4218B4C8">
            <w:pPr>
              <w:pStyle w:val="24"/>
              <w:jc w:val="left"/>
            </w:pPr>
            <w:r>
              <w:rPr>
                <w:rFonts w:hint="eastAsia"/>
              </w:rPr>
              <w:t>3.00～4.00</w:t>
            </w:r>
          </w:p>
        </w:tc>
        <w:tc>
          <w:p w14:paraId="35418CF8">
            <w:pPr>
              <w:pStyle w:val="24"/>
              <w:jc w:val="left"/>
            </w:pPr>
            <w:r>
              <w:rPr>
                <w:rFonts w:hint="eastAsia"/>
              </w:rPr>
              <w:t>10～20</w:t>
            </w:r>
          </w:p>
        </w:tc>
      </w:tr>
      <w:tr w14:paraId="46B3A449">
        <w:tblPrEx>
          <w:tblCellMar>
            <w:top w:w="0" w:type="dxa"/>
            <w:left w:w="108" w:type="dxa"/>
            <w:bottom w:w="0" w:type="dxa"/>
            <w:right w:w="108" w:type="dxa"/>
          </w:tblCellMar>
        </w:tblPrEx>
        <w:tc>
          <w:p w14:paraId="6BB720CA">
            <w:pPr>
              <w:pStyle w:val="24"/>
              <w:jc w:val="left"/>
            </w:pPr>
            <w:r>
              <w:rPr>
                <w:rFonts w:hint="eastAsia"/>
              </w:rPr>
              <w:t>10～20</w:t>
            </w:r>
          </w:p>
        </w:tc>
        <w:tc>
          <w:p w14:paraId="5A129D4E">
            <w:pPr>
              <w:pStyle w:val="24"/>
              <w:jc w:val="left"/>
            </w:pPr>
            <w:r>
              <w:rPr>
                <w:rFonts w:hint="eastAsia"/>
              </w:rPr>
              <w:t>2～5</w:t>
            </w:r>
          </w:p>
        </w:tc>
        <w:tc>
          <w:p w14:paraId="4EB76AD4">
            <w:pPr>
              <w:pStyle w:val="24"/>
              <w:jc w:val="left"/>
            </w:pPr>
            <w:r>
              <w:rPr>
                <w:rFonts w:hint="eastAsia"/>
              </w:rPr>
              <w:t>2.00～5.00</w:t>
            </w:r>
          </w:p>
        </w:tc>
        <w:tc>
          <w:p w14:paraId="6B183BBD">
            <w:pPr>
              <w:pStyle w:val="24"/>
              <w:jc w:val="left"/>
            </w:pPr>
            <w:r>
              <w:rPr>
                <w:rFonts w:hint="eastAsia"/>
              </w:rPr>
              <w:t>4.00～7.00</w:t>
            </w:r>
          </w:p>
        </w:tc>
      </w:tr>
      <w:tr w14:paraId="4D4FDC9C">
        <w:tblPrEx>
          <w:tblCellMar>
            <w:top w:w="0" w:type="dxa"/>
            <w:left w:w="108" w:type="dxa"/>
            <w:bottom w:w="0" w:type="dxa"/>
            <w:right w:w="108" w:type="dxa"/>
          </w:tblCellMar>
        </w:tblPrEx>
        <w:tc>
          <w:p w14:paraId="1976CE5F">
            <w:pPr>
              <w:pStyle w:val="24"/>
              <w:jc w:val="left"/>
            </w:pPr>
            <w:r>
              <w:rPr>
                <w:rFonts w:hint="eastAsia"/>
              </w:rPr>
              <w:t>20～30</w:t>
            </w:r>
          </w:p>
        </w:tc>
        <w:tc>
          <w:p w14:paraId="462A3730">
            <w:pPr>
              <w:pStyle w:val="24"/>
              <w:jc w:val="left"/>
            </w:pPr>
            <w:r>
              <w:rPr>
                <w:rFonts w:hint="eastAsia"/>
              </w:rPr>
              <w:t>5～7</w:t>
            </w:r>
          </w:p>
        </w:tc>
        <w:tc>
          <w:p w14:paraId="4F0E544F">
            <w:pPr>
              <w:pStyle w:val="24"/>
              <w:jc w:val="left"/>
            </w:pPr>
            <w:r>
              <w:rPr>
                <w:rFonts w:hint="eastAsia"/>
              </w:rPr>
              <w:t>5.00～7.00</w:t>
            </w:r>
          </w:p>
        </w:tc>
        <w:tc>
          <w:p w14:paraId="4081BF5C">
            <w:pPr>
              <w:pStyle w:val="24"/>
              <w:jc w:val="left"/>
            </w:pPr>
            <w:r>
              <w:rPr>
                <w:rFonts w:hint="eastAsia"/>
              </w:rPr>
              <w:t>7.00～10.00</w:t>
            </w:r>
          </w:p>
        </w:tc>
      </w:tr>
      <w:tr w14:paraId="1A487829">
        <w:tblPrEx>
          <w:tblCellMar>
            <w:top w:w="0" w:type="dxa"/>
            <w:left w:w="108" w:type="dxa"/>
            <w:bottom w:w="0" w:type="dxa"/>
            <w:right w:w="108" w:type="dxa"/>
          </w:tblCellMar>
        </w:tblPrEx>
        <w:tc>
          <w:p w14:paraId="70E8F2CC">
            <w:pPr>
              <w:pStyle w:val="24"/>
              <w:jc w:val="left"/>
            </w:pPr>
            <w:r>
              <w:rPr>
                <w:rFonts w:hint="eastAsia"/>
              </w:rPr>
              <w:t>30～50</w:t>
            </w:r>
          </w:p>
        </w:tc>
        <w:tc>
          <w:p w14:paraId="5E6FF24D">
            <w:pPr>
              <w:pStyle w:val="24"/>
              <w:jc w:val="left"/>
            </w:pPr>
            <w:r>
              <w:rPr>
                <w:rFonts w:hint="eastAsia"/>
              </w:rPr>
              <w:t>7～12</w:t>
            </w:r>
          </w:p>
        </w:tc>
        <w:tc>
          <w:p w14:paraId="05BBBEFF">
            <w:pPr>
              <w:pStyle w:val="24"/>
              <w:jc w:val="left"/>
            </w:pPr>
            <w:r>
              <w:rPr>
                <w:rFonts w:hint="eastAsia"/>
              </w:rPr>
              <w:t>7.00～12.00</w:t>
            </w:r>
          </w:p>
        </w:tc>
        <w:tc>
          <w:p w14:paraId="7578C677">
            <w:pPr>
              <w:pStyle w:val="24"/>
              <w:jc w:val="left"/>
            </w:pPr>
            <w:r>
              <w:rPr>
                <w:rFonts w:hint="eastAsia"/>
              </w:rPr>
              <w:t>10.00～17.00</w:t>
            </w:r>
          </w:p>
        </w:tc>
      </w:tr>
      <w:tr w14:paraId="41DE2684">
        <w:tblPrEx>
          <w:tblCellMar>
            <w:top w:w="0" w:type="dxa"/>
            <w:left w:w="108" w:type="dxa"/>
            <w:bottom w:w="0" w:type="dxa"/>
            <w:right w:w="108" w:type="dxa"/>
          </w:tblCellMar>
        </w:tblPrEx>
        <w:tc>
          <w:p w14:paraId="4BF542A4">
            <w:pPr>
              <w:pStyle w:val="24"/>
              <w:jc w:val="left"/>
            </w:pPr>
            <w:r>
              <w:rPr>
                <w:rFonts w:hint="eastAsia"/>
              </w:rPr>
              <w:t>50～100</w:t>
            </w:r>
          </w:p>
        </w:tc>
        <w:tc>
          <w:p w14:paraId="3DB335EB">
            <w:pPr>
              <w:pStyle w:val="24"/>
              <w:jc w:val="left"/>
            </w:pPr>
            <w:r>
              <w:rPr>
                <w:rFonts w:hint="eastAsia"/>
              </w:rPr>
              <w:t>12～24</w:t>
            </w:r>
          </w:p>
        </w:tc>
        <w:tc>
          <w:p w14:paraId="1307BABE">
            <w:pPr>
              <w:pStyle w:val="24"/>
              <w:jc w:val="left"/>
            </w:pPr>
            <w:r>
              <w:rPr>
                <w:rFonts w:hint="eastAsia"/>
              </w:rPr>
              <w:t>12.00～24.00</w:t>
            </w:r>
          </w:p>
        </w:tc>
        <w:tc>
          <w:p w14:paraId="5C98F4C7">
            <w:pPr>
              <w:pStyle w:val="24"/>
              <w:jc w:val="left"/>
            </w:pPr>
            <w:r>
              <w:rPr>
                <w:rFonts w:hint="eastAsia"/>
              </w:rPr>
              <w:t>17.00～27.00</w:t>
            </w:r>
          </w:p>
        </w:tc>
      </w:tr>
      <w:tr w14:paraId="60953B09">
        <w:tblPrEx>
          <w:tblCellMar>
            <w:top w:w="0" w:type="dxa"/>
            <w:left w:w="108" w:type="dxa"/>
            <w:bottom w:w="0" w:type="dxa"/>
            <w:right w:w="108" w:type="dxa"/>
          </w:tblCellMar>
        </w:tblPrEx>
        <w:tc>
          <w:p w14:paraId="3D34ABF9">
            <w:pPr>
              <w:pStyle w:val="24"/>
              <w:jc w:val="left"/>
            </w:pPr>
            <w:r>
              <w:rPr>
                <w:rFonts w:hint="eastAsia"/>
              </w:rPr>
              <w:t>100～200</w:t>
            </w:r>
          </w:p>
        </w:tc>
        <w:tc>
          <w:p w14:paraId="07860A9E">
            <w:pPr>
              <w:pStyle w:val="24"/>
              <w:jc w:val="left"/>
            </w:pPr>
            <w:r>
              <w:rPr>
                <w:rFonts w:hint="eastAsia"/>
              </w:rPr>
              <w:t>24～36</w:t>
            </w:r>
          </w:p>
        </w:tc>
        <w:tc>
          <w:p w14:paraId="737C3EA3">
            <w:pPr>
              <w:pStyle w:val="24"/>
              <w:jc w:val="left"/>
            </w:pPr>
            <w:r>
              <w:rPr>
                <w:rFonts w:hint="eastAsia"/>
              </w:rPr>
              <w:t>24.00～36.00</w:t>
            </w:r>
          </w:p>
        </w:tc>
        <w:tc>
          <w:p w14:paraId="253B3DEE">
            <w:pPr>
              <w:pStyle w:val="24"/>
              <w:jc w:val="left"/>
            </w:pPr>
            <w:r>
              <w:rPr>
                <w:rFonts w:hint="eastAsia"/>
              </w:rPr>
              <w:t>27.00～51.00</w:t>
            </w:r>
          </w:p>
        </w:tc>
      </w:tr>
      <w:tr w14:paraId="16E171D4">
        <w:tblPrEx>
          <w:tblCellMar>
            <w:top w:w="0" w:type="dxa"/>
            <w:left w:w="108" w:type="dxa"/>
            <w:bottom w:w="0" w:type="dxa"/>
            <w:right w:w="108" w:type="dxa"/>
          </w:tblCellMar>
        </w:tblPrEx>
        <w:tc>
          <w:p w14:paraId="0C1DC011">
            <w:pPr>
              <w:pStyle w:val="24"/>
              <w:jc w:val="left"/>
            </w:pPr>
            <w:r>
              <w:rPr>
                <w:rFonts w:hint="eastAsia"/>
              </w:rPr>
              <w:t>200～300</w:t>
            </w:r>
          </w:p>
        </w:tc>
        <w:tc>
          <w:p w14:paraId="07ABD248">
            <w:pPr>
              <w:pStyle w:val="24"/>
              <w:jc w:val="left"/>
            </w:pPr>
            <w:r>
              <w:rPr>
                <w:rFonts w:hint="eastAsia"/>
              </w:rPr>
              <w:t>36～50</w:t>
            </w:r>
          </w:p>
        </w:tc>
        <w:tc>
          <w:p w14:paraId="431B41E4">
            <w:pPr>
              <w:pStyle w:val="24"/>
              <w:jc w:val="left"/>
            </w:pPr>
            <w:r>
              <w:rPr>
                <w:rFonts w:hint="eastAsia"/>
              </w:rPr>
              <w:t>36.00～50.00</w:t>
            </w:r>
          </w:p>
        </w:tc>
        <w:tc>
          <w:p w14:paraId="7022E4A9">
            <w:pPr>
              <w:pStyle w:val="24"/>
              <w:jc w:val="left"/>
            </w:pPr>
            <w:r>
              <w:rPr>
                <w:rFonts w:hint="eastAsia"/>
              </w:rPr>
              <w:t>51.00～72.00</w:t>
            </w:r>
          </w:p>
        </w:tc>
      </w:tr>
    </w:tbl>
    <w:p w14:paraId="0DC67CE8">
      <w:pPr>
        <w:pStyle w:val="3"/>
      </w:pPr>
      <w:r>
        <w:rPr>
          <w:rFonts w:hint="eastAsia"/>
        </w:rPr>
        <w:t>注：停车场用地包含在货站区用地指标内。</w:t>
      </w:r>
    </w:p>
    <w:bookmarkEnd w:id="8"/>
    <w:p w14:paraId="67CB9E9F">
      <w:pPr>
        <w:pStyle w:val="5"/>
      </w:pPr>
      <w:bookmarkStart w:id="9" w:name="第三节-机务维修区建设用地指标"/>
      <w:r>
        <w:rPr>
          <w:rFonts w:hint="eastAsia"/>
        </w:rPr>
        <w:t>第三节</w:t>
      </w:r>
      <w:r>
        <w:t xml:space="preserve"> </w:t>
      </w:r>
      <w:r>
        <w:rPr>
          <w:rFonts w:hint="eastAsia"/>
        </w:rPr>
        <w:t>机务维修区建设用地指标</w:t>
      </w:r>
    </w:p>
    <w:p w14:paraId="681A85CB">
      <w:pPr>
        <w:pStyle w:val="3"/>
      </w:pPr>
      <w:r>
        <w:rPr>
          <w:b/>
          <w:bCs/>
        </w:rPr>
        <w:t>5.3.1</w:t>
      </w:r>
      <w:r>
        <w:t xml:space="preserve"> </w:t>
      </w:r>
      <w:r>
        <w:rPr>
          <w:rFonts w:hint="eastAsia"/>
        </w:rPr>
        <w:t>机务维修区根据机场驻场机队、本场过往航班、机务维修工程的等级和管理要求确定。其建设用地指标应符合表5.3.1规定。</w:t>
      </w:r>
    </w:p>
    <w:p w14:paraId="4CA10373">
      <w:pPr>
        <w:pStyle w:val="3"/>
      </w:pPr>
      <w:r>
        <w:rPr>
          <w:rFonts w:hint="eastAsia"/>
          <w:b/>
          <w:bCs/>
        </w:rPr>
        <w:t>表5.3.1</w:t>
      </w:r>
      <w:r>
        <w:rPr>
          <w:b/>
          <w:bCs/>
        </w:rPr>
        <w:t xml:space="preserve"> </w:t>
      </w:r>
      <w:r>
        <w:rPr>
          <w:rFonts w:hint="eastAsia"/>
          <w:b/>
          <w:bCs/>
        </w:rPr>
        <w:t>机务维修区建设用地指标</w:t>
      </w:r>
    </w:p>
    <w:tbl>
      <w:tblPr>
        <w:tblStyle w:val="41"/>
        <w:tblW w:w="0" w:type="auto"/>
        <w:tblInd w:w="0" w:type="dxa"/>
        <w:tblLayout w:type="autofit"/>
        <w:tblCellMar>
          <w:top w:w="0" w:type="dxa"/>
          <w:left w:w="108" w:type="dxa"/>
          <w:bottom w:w="0" w:type="dxa"/>
          <w:right w:w="108" w:type="dxa"/>
        </w:tblCellMar>
      </w:tblPr>
      <w:tblGrid>
        <w:gridCol w:w="2640"/>
        <w:gridCol w:w="2640"/>
        <w:gridCol w:w="2640"/>
      </w:tblGrid>
      <w:tr w14:paraId="3BA680F3">
        <w:tblPrEx>
          <w:tblCellMar>
            <w:top w:w="0" w:type="dxa"/>
            <w:left w:w="108" w:type="dxa"/>
            <w:bottom w:w="0" w:type="dxa"/>
            <w:right w:w="108" w:type="dxa"/>
          </w:tblCellMar>
        </w:tblPrEx>
        <w:trPr>
          <w:tblHeader/>
        </w:trPr>
        <w:tc>
          <w:p w14:paraId="3A4CA865">
            <w:pPr>
              <w:pStyle w:val="24"/>
              <w:jc w:val="left"/>
            </w:pPr>
            <w:r>
              <w:rPr>
                <w:rFonts w:hint="eastAsia"/>
              </w:rPr>
              <w:t>年旅客吞吐量（万人次）</w:t>
            </w:r>
          </w:p>
        </w:tc>
        <w:tc>
          <w:p w14:paraId="66D195C7">
            <w:pPr>
              <w:pStyle w:val="24"/>
              <w:jc w:val="left"/>
            </w:pPr>
            <w:r>
              <w:rPr>
                <w:rFonts w:hint="eastAsia"/>
              </w:rPr>
              <w:t>维修机坪区</w:t>
            </w:r>
          </w:p>
        </w:tc>
        <w:tc>
          <w:p w14:paraId="4A20901F">
            <w:pPr>
              <w:pStyle w:val="24"/>
              <w:jc w:val="left"/>
            </w:pPr>
            <w:r>
              <w:rPr>
                <w:rFonts w:hint="eastAsia"/>
              </w:rPr>
              <w:t>机务维修区</w:t>
            </w:r>
          </w:p>
        </w:tc>
      </w:tr>
      <w:tr w14:paraId="709E4A20">
        <w:tblPrEx>
          <w:tblCellMar>
            <w:top w:w="0" w:type="dxa"/>
            <w:left w:w="108" w:type="dxa"/>
            <w:bottom w:w="0" w:type="dxa"/>
            <w:right w:w="108" w:type="dxa"/>
          </w:tblCellMar>
        </w:tblPrEx>
        <w:tc>
          <w:p w14:paraId="55557E02">
            <w:pPr>
              <w:pStyle w:val="24"/>
              <w:jc w:val="left"/>
            </w:pPr>
            <w:r>
              <w:rPr>
                <w:rFonts w:hint="eastAsia"/>
              </w:rPr>
              <w:t>50以下</w:t>
            </w:r>
          </w:p>
        </w:tc>
        <w:tc>
          <w:p w14:paraId="7CC25EAB">
            <w:pPr>
              <w:pStyle w:val="24"/>
              <w:jc w:val="left"/>
            </w:pPr>
            <w:r>
              <w:rPr>
                <w:rFonts w:hint="eastAsia"/>
              </w:rPr>
              <w:t>0.10～0.50</w:t>
            </w:r>
          </w:p>
        </w:tc>
        <w:tc>
          <w:p w14:paraId="7AD8EF2E">
            <w:pPr>
              <w:pStyle w:val="24"/>
              <w:jc w:val="left"/>
            </w:pPr>
            <w:r>
              <w:rPr>
                <w:rFonts w:hint="eastAsia"/>
              </w:rPr>
              <w:t>0.30～0.50</w:t>
            </w:r>
          </w:p>
        </w:tc>
      </w:tr>
      <w:tr w14:paraId="6C97C057">
        <w:tblPrEx>
          <w:tblCellMar>
            <w:top w:w="0" w:type="dxa"/>
            <w:left w:w="108" w:type="dxa"/>
            <w:bottom w:w="0" w:type="dxa"/>
            <w:right w:w="108" w:type="dxa"/>
          </w:tblCellMar>
        </w:tblPrEx>
        <w:tc>
          <w:p w14:paraId="17A0C26A">
            <w:pPr>
              <w:pStyle w:val="24"/>
              <w:jc w:val="left"/>
            </w:pPr>
            <w:r>
              <w:rPr>
                <w:rFonts w:hint="eastAsia"/>
              </w:rPr>
              <w:t>50～100</w:t>
            </w:r>
          </w:p>
        </w:tc>
        <w:tc>
          <w:p w14:paraId="2634D329">
            <w:pPr>
              <w:pStyle w:val="24"/>
              <w:jc w:val="left"/>
            </w:pPr>
            <w:r>
              <w:rPr>
                <w:rFonts w:hint="eastAsia"/>
              </w:rPr>
              <w:t>0.50～1.00</w:t>
            </w:r>
          </w:p>
        </w:tc>
        <w:tc>
          <w:p w14:paraId="75AB7420">
            <w:pPr>
              <w:pStyle w:val="24"/>
              <w:jc w:val="left"/>
            </w:pPr>
            <w:r>
              <w:rPr>
                <w:rFonts w:hint="eastAsia"/>
              </w:rPr>
              <w:t>0.50～1.00</w:t>
            </w:r>
          </w:p>
        </w:tc>
      </w:tr>
      <w:tr w14:paraId="0B3A47CF">
        <w:tblPrEx>
          <w:tblCellMar>
            <w:top w:w="0" w:type="dxa"/>
            <w:left w:w="108" w:type="dxa"/>
            <w:bottom w:w="0" w:type="dxa"/>
            <w:right w:w="108" w:type="dxa"/>
          </w:tblCellMar>
        </w:tblPrEx>
        <w:tc>
          <w:p w14:paraId="73C80E7B">
            <w:pPr>
              <w:pStyle w:val="24"/>
              <w:jc w:val="left"/>
            </w:pPr>
            <w:r>
              <w:rPr>
                <w:rFonts w:hint="eastAsia"/>
              </w:rPr>
              <w:t>100～200</w:t>
            </w:r>
          </w:p>
        </w:tc>
        <w:tc>
          <w:p w14:paraId="0D371F4D">
            <w:pPr>
              <w:pStyle w:val="24"/>
              <w:jc w:val="left"/>
            </w:pPr>
            <w:r>
              <w:rPr>
                <w:rFonts w:hint="eastAsia"/>
              </w:rPr>
              <w:t>1.00～1.50</w:t>
            </w:r>
          </w:p>
        </w:tc>
        <w:tc>
          <w:p w14:paraId="20A06400">
            <w:pPr>
              <w:pStyle w:val="24"/>
              <w:jc w:val="left"/>
            </w:pPr>
            <w:r>
              <w:rPr>
                <w:rFonts w:hint="eastAsia"/>
              </w:rPr>
              <w:t>1.00～2.50</w:t>
            </w:r>
          </w:p>
        </w:tc>
      </w:tr>
      <w:tr w14:paraId="5DB7B822">
        <w:tblPrEx>
          <w:tblCellMar>
            <w:top w:w="0" w:type="dxa"/>
            <w:left w:w="108" w:type="dxa"/>
            <w:bottom w:w="0" w:type="dxa"/>
            <w:right w:w="108" w:type="dxa"/>
          </w:tblCellMar>
        </w:tblPrEx>
        <w:tc>
          <w:p w14:paraId="1D9B4DDA">
            <w:pPr>
              <w:pStyle w:val="24"/>
              <w:jc w:val="left"/>
            </w:pPr>
            <w:r>
              <w:rPr>
                <w:rFonts w:hint="eastAsia"/>
              </w:rPr>
              <w:t>200～500</w:t>
            </w:r>
          </w:p>
        </w:tc>
        <w:tc>
          <w:p w14:paraId="4FFC76F8">
            <w:pPr>
              <w:pStyle w:val="24"/>
              <w:jc w:val="left"/>
            </w:pPr>
            <w:r>
              <w:rPr>
                <w:rFonts w:hint="eastAsia"/>
              </w:rPr>
              <w:t>1.50～2.50</w:t>
            </w:r>
          </w:p>
        </w:tc>
        <w:tc>
          <w:p w14:paraId="6EBDC73C">
            <w:pPr>
              <w:pStyle w:val="24"/>
              <w:jc w:val="left"/>
            </w:pPr>
            <w:r>
              <w:rPr>
                <w:rFonts w:hint="eastAsia"/>
              </w:rPr>
              <w:t>2.50～5.00</w:t>
            </w:r>
          </w:p>
        </w:tc>
      </w:tr>
      <w:tr w14:paraId="3C0755E6">
        <w:tblPrEx>
          <w:tblCellMar>
            <w:top w:w="0" w:type="dxa"/>
            <w:left w:w="108" w:type="dxa"/>
            <w:bottom w:w="0" w:type="dxa"/>
            <w:right w:w="108" w:type="dxa"/>
          </w:tblCellMar>
        </w:tblPrEx>
        <w:tc>
          <w:p w14:paraId="1D83376F">
            <w:pPr>
              <w:pStyle w:val="24"/>
              <w:jc w:val="left"/>
            </w:pPr>
            <w:r>
              <w:rPr>
                <w:rFonts w:hint="eastAsia"/>
              </w:rPr>
              <w:t>500～1500</w:t>
            </w:r>
          </w:p>
        </w:tc>
        <w:tc>
          <w:p w14:paraId="30777159">
            <w:pPr>
              <w:pStyle w:val="24"/>
              <w:jc w:val="left"/>
            </w:pPr>
            <w:r>
              <w:rPr>
                <w:rFonts w:hint="eastAsia"/>
              </w:rPr>
              <w:t>2.50～6.00</w:t>
            </w:r>
          </w:p>
        </w:tc>
        <w:tc>
          <w:p w14:paraId="4D81144A">
            <w:pPr>
              <w:pStyle w:val="24"/>
              <w:jc w:val="left"/>
            </w:pPr>
            <w:r>
              <w:rPr>
                <w:rFonts w:hint="eastAsia"/>
              </w:rPr>
              <w:t>5.00～20.00</w:t>
            </w:r>
          </w:p>
        </w:tc>
      </w:tr>
      <w:tr w14:paraId="5C08F32B">
        <w:tblPrEx>
          <w:tblCellMar>
            <w:top w:w="0" w:type="dxa"/>
            <w:left w:w="108" w:type="dxa"/>
            <w:bottom w:w="0" w:type="dxa"/>
            <w:right w:w="108" w:type="dxa"/>
          </w:tblCellMar>
        </w:tblPrEx>
        <w:tc>
          <w:p w14:paraId="19F65DDE">
            <w:pPr>
              <w:pStyle w:val="24"/>
              <w:jc w:val="left"/>
            </w:pPr>
            <w:r>
              <w:rPr>
                <w:rFonts w:hint="eastAsia"/>
              </w:rPr>
              <w:t>1500～3000</w:t>
            </w:r>
          </w:p>
        </w:tc>
        <w:tc>
          <w:p w14:paraId="1008211C">
            <w:pPr>
              <w:pStyle w:val="24"/>
              <w:jc w:val="left"/>
            </w:pPr>
            <w:r>
              <w:rPr>
                <w:rFonts w:hint="eastAsia"/>
              </w:rPr>
              <w:t>6.00～15.00</w:t>
            </w:r>
          </w:p>
        </w:tc>
        <w:tc>
          <w:p w14:paraId="63E125BC">
            <w:pPr>
              <w:pStyle w:val="24"/>
              <w:jc w:val="left"/>
            </w:pPr>
            <w:r>
              <w:rPr>
                <w:rFonts w:hint="eastAsia"/>
              </w:rPr>
              <w:t>20.00～60.00</w:t>
            </w:r>
          </w:p>
        </w:tc>
      </w:tr>
    </w:tbl>
    <w:p w14:paraId="15CA2645">
      <w:pPr>
        <w:pStyle w:val="3"/>
      </w:pPr>
      <w:r>
        <w:rPr>
          <w:rFonts w:hint="eastAsia"/>
        </w:rPr>
        <w:t>注：规模在50万人次以下的机场的机务维修建设用地，一般有专用的维修机坪，应用“维修机坪区”指标计算，“机务维修区”按机场具体功能需求综合考虑。</w:t>
      </w:r>
    </w:p>
    <w:bookmarkEnd w:id="6"/>
    <w:bookmarkEnd w:id="9"/>
    <w:p w14:paraId="20C92477">
      <w:pPr>
        <w:pStyle w:val="4"/>
      </w:pPr>
      <w:bookmarkStart w:id="10" w:name="第六章-供油设施建设用地指标"/>
      <w:r>
        <w:rPr>
          <w:rFonts w:hint="eastAsia"/>
        </w:rPr>
        <w:t>第六章</w:t>
      </w:r>
      <w:r>
        <w:t xml:space="preserve"> </w:t>
      </w:r>
      <w:r>
        <w:rPr>
          <w:rFonts w:hint="eastAsia"/>
        </w:rPr>
        <w:t>供油设施建设用地指标</w:t>
      </w:r>
    </w:p>
    <w:p w14:paraId="656451C2">
      <w:pPr>
        <w:pStyle w:val="3"/>
      </w:pPr>
      <w:r>
        <w:rPr>
          <w:b/>
          <w:bCs/>
        </w:rPr>
        <w:t>6.0.1</w:t>
      </w:r>
      <w:r>
        <w:t xml:space="preserve"> </w:t>
      </w:r>
      <w:r>
        <w:rPr>
          <w:rFonts w:hint="eastAsia"/>
        </w:rPr>
        <w:t>机场供油设施用地包括储油、输油、消防、环保、计量、化验以及值班、办公用房等用地。</w:t>
      </w:r>
    </w:p>
    <w:p w14:paraId="224034EB">
      <w:pPr>
        <w:pStyle w:val="3"/>
      </w:pPr>
      <w:r>
        <w:rPr>
          <w:b/>
          <w:bCs/>
        </w:rPr>
        <w:t>6.0.2</w:t>
      </w:r>
      <w:r>
        <w:t xml:space="preserve"> </w:t>
      </w:r>
      <w:r>
        <w:rPr>
          <w:rFonts w:hint="eastAsia"/>
        </w:rPr>
        <w:t>机场油库区建设用地面积不应超过表6.0.2的规定。</w:t>
      </w:r>
    </w:p>
    <w:p w14:paraId="4E07AFEC">
      <w:pPr>
        <w:pStyle w:val="3"/>
      </w:pPr>
      <w:r>
        <w:rPr>
          <w:rFonts w:hint="eastAsia"/>
          <w:b/>
          <w:bCs/>
        </w:rPr>
        <w:t>表6.0.2</w:t>
      </w:r>
      <w:r>
        <w:rPr>
          <w:b/>
          <w:bCs/>
        </w:rPr>
        <w:t xml:space="preserve"> </w:t>
      </w:r>
      <w:r>
        <w:rPr>
          <w:rFonts w:hint="eastAsia"/>
          <w:b/>
          <w:bCs/>
        </w:rPr>
        <w:t>油库区建设用地指标</w:t>
      </w:r>
    </w:p>
    <w:tbl>
      <w:tblPr>
        <w:tblStyle w:val="41"/>
        <w:tblW w:w="0" w:type="auto"/>
        <w:tblInd w:w="0" w:type="dxa"/>
        <w:tblLayout w:type="autofit"/>
        <w:tblCellMar>
          <w:top w:w="0" w:type="dxa"/>
          <w:left w:w="108" w:type="dxa"/>
          <w:bottom w:w="0" w:type="dxa"/>
          <w:right w:w="108" w:type="dxa"/>
        </w:tblCellMar>
      </w:tblPr>
      <w:tblGrid>
        <w:gridCol w:w="3960"/>
        <w:gridCol w:w="3960"/>
      </w:tblGrid>
      <w:tr w14:paraId="513CF022">
        <w:tblPrEx>
          <w:tblCellMar>
            <w:top w:w="0" w:type="dxa"/>
            <w:left w:w="108" w:type="dxa"/>
            <w:bottom w:w="0" w:type="dxa"/>
            <w:right w:w="108" w:type="dxa"/>
          </w:tblCellMar>
        </w:tblPrEx>
        <w:trPr>
          <w:tblHeader/>
        </w:trPr>
        <w:tc>
          <w:p w14:paraId="4CCBB27F">
            <w:pPr>
              <w:pStyle w:val="24"/>
              <w:jc w:val="left"/>
            </w:pPr>
            <w:r>
              <w:rPr>
                <w:rFonts w:hint="eastAsia"/>
              </w:rPr>
              <w:t>油库储量（m³）</w:t>
            </w:r>
          </w:p>
        </w:tc>
        <w:tc>
          <w:p w14:paraId="1C38FD0F">
            <w:pPr>
              <w:pStyle w:val="24"/>
              <w:jc w:val="left"/>
            </w:pPr>
            <w:r>
              <w:rPr>
                <w:rFonts w:hint="eastAsia"/>
              </w:rPr>
              <w:t>用地指标（hm²）</w:t>
            </w:r>
          </w:p>
        </w:tc>
      </w:tr>
      <w:tr w14:paraId="4ECAADFF">
        <w:tblPrEx>
          <w:tblCellMar>
            <w:top w:w="0" w:type="dxa"/>
            <w:left w:w="108" w:type="dxa"/>
            <w:bottom w:w="0" w:type="dxa"/>
            <w:right w:w="108" w:type="dxa"/>
          </w:tblCellMar>
        </w:tblPrEx>
        <w:tc>
          <w:p w14:paraId="1F74AD7F">
            <w:pPr>
              <w:pStyle w:val="24"/>
              <w:jc w:val="left"/>
            </w:pPr>
            <w:r>
              <w:t>500</w:t>
            </w:r>
          </w:p>
        </w:tc>
        <w:tc>
          <w:p w14:paraId="414B69AD">
            <w:pPr>
              <w:pStyle w:val="24"/>
              <w:jc w:val="left"/>
            </w:pPr>
            <w:r>
              <w:t>1.60</w:t>
            </w:r>
          </w:p>
        </w:tc>
      </w:tr>
      <w:tr w14:paraId="5166D2A9">
        <w:tblPrEx>
          <w:tblCellMar>
            <w:top w:w="0" w:type="dxa"/>
            <w:left w:w="108" w:type="dxa"/>
            <w:bottom w:w="0" w:type="dxa"/>
            <w:right w:w="108" w:type="dxa"/>
          </w:tblCellMar>
        </w:tblPrEx>
        <w:tc>
          <w:p w14:paraId="3514E390">
            <w:pPr>
              <w:pStyle w:val="24"/>
              <w:jc w:val="left"/>
            </w:pPr>
            <w:r>
              <w:t>2500</w:t>
            </w:r>
          </w:p>
        </w:tc>
        <w:tc>
          <w:p w14:paraId="0A7870FA">
            <w:pPr>
              <w:pStyle w:val="24"/>
              <w:jc w:val="left"/>
            </w:pPr>
            <w:r>
              <w:t>3.00</w:t>
            </w:r>
          </w:p>
        </w:tc>
      </w:tr>
      <w:tr w14:paraId="7D5978DF">
        <w:tblPrEx>
          <w:tblCellMar>
            <w:top w:w="0" w:type="dxa"/>
            <w:left w:w="108" w:type="dxa"/>
            <w:bottom w:w="0" w:type="dxa"/>
            <w:right w:w="108" w:type="dxa"/>
          </w:tblCellMar>
        </w:tblPrEx>
        <w:tc>
          <w:p w14:paraId="76FF2262">
            <w:pPr>
              <w:pStyle w:val="24"/>
              <w:jc w:val="left"/>
            </w:pPr>
            <w:r>
              <w:t>10000</w:t>
            </w:r>
          </w:p>
        </w:tc>
        <w:tc>
          <w:p w14:paraId="216A4059">
            <w:pPr>
              <w:pStyle w:val="24"/>
              <w:jc w:val="left"/>
            </w:pPr>
            <w:r>
              <w:t>5.40</w:t>
            </w:r>
          </w:p>
        </w:tc>
      </w:tr>
      <w:tr w14:paraId="222BFF2F">
        <w:tblPrEx>
          <w:tblCellMar>
            <w:top w:w="0" w:type="dxa"/>
            <w:left w:w="108" w:type="dxa"/>
            <w:bottom w:w="0" w:type="dxa"/>
            <w:right w:w="108" w:type="dxa"/>
          </w:tblCellMar>
        </w:tblPrEx>
        <w:tc>
          <w:p w14:paraId="65C5FE66">
            <w:pPr>
              <w:pStyle w:val="24"/>
              <w:jc w:val="left"/>
            </w:pPr>
            <w:r>
              <w:t>50000</w:t>
            </w:r>
          </w:p>
        </w:tc>
        <w:tc>
          <w:p w14:paraId="55A56E2D">
            <w:pPr>
              <w:pStyle w:val="24"/>
              <w:jc w:val="left"/>
            </w:pPr>
            <w:r>
              <w:t>10.00</w:t>
            </w:r>
          </w:p>
        </w:tc>
      </w:tr>
      <w:tr w14:paraId="1148F02B">
        <w:tblPrEx>
          <w:tblCellMar>
            <w:top w:w="0" w:type="dxa"/>
            <w:left w:w="108" w:type="dxa"/>
            <w:bottom w:w="0" w:type="dxa"/>
            <w:right w:w="108" w:type="dxa"/>
          </w:tblCellMar>
        </w:tblPrEx>
        <w:tc>
          <w:p w14:paraId="739EE26D">
            <w:pPr>
              <w:pStyle w:val="24"/>
              <w:jc w:val="left"/>
            </w:pPr>
            <w:r>
              <w:t>100000</w:t>
            </w:r>
          </w:p>
        </w:tc>
        <w:tc>
          <w:p w14:paraId="647F33E6">
            <w:pPr>
              <w:pStyle w:val="24"/>
              <w:jc w:val="left"/>
            </w:pPr>
            <w:r>
              <w:t>15.00</w:t>
            </w:r>
          </w:p>
        </w:tc>
      </w:tr>
      <w:tr w14:paraId="32314235">
        <w:tblPrEx>
          <w:tblCellMar>
            <w:top w:w="0" w:type="dxa"/>
            <w:left w:w="108" w:type="dxa"/>
            <w:bottom w:w="0" w:type="dxa"/>
            <w:right w:w="108" w:type="dxa"/>
          </w:tblCellMar>
        </w:tblPrEx>
        <w:tc>
          <w:p w14:paraId="029FEC6E">
            <w:pPr>
              <w:pStyle w:val="24"/>
              <w:jc w:val="left"/>
            </w:pPr>
            <w:r>
              <w:t>300000</w:t>
            </w:r>
          </w:p>
        </w:tc>
        <w:tc>
          <w:p w14:paraId="4FA96BF5">
            <w:pPr>
              <w:pStyle w:val="24"/>
              <w:jc w:val="left"/>
            </w:pPr>
            <w:r>
              <w:t>25.00</w:t>
            </w:r>
          </w:p>
        </w:tc>
      </w:tr>
    </w:tbl>
    <w:p w14:paraId="3EFB8380">
      <w:pPr>
        <w:pStyle w:val="3"/>
      </w:pPr>
      <w:r>
        <w:rPr>
          <w:rFonts w:hint="eastAsia"/>
        </w:rPr>
        <w:t>注：不同油库储量可用插入法计算。</w:t>
      </w:r>
    </w:p>
    <w:p w14:paraId="154A02B0">
      <w:pPr>
        <w:pStyle w:val="3"/>
      </w:pPr>
      <w:r>
        <w:rPr>
          <w:b/>
          <w:bCs/>
        </w:rPr>
        <w:t>6.0.3</w:t>
      </w:r>
      <w:r>
        <w:t xml:space="preserve"> </w:t>
      </w:r>
      <w:r>
        <w:rPr>
          <w:rFonts w:hint="eastAsia"/>
        </w:rPr>
        <w:t>油库铁路专用线用地按国家现行的铁路建设用地指标计算。</w:t>
      </w:r>
    </w:p>
    <w:p w14:paraId="06772536">
      <w:pPr>
        <w:pStyle w:val="3"/>
      </w:pPr>
      <w:r>
        <w:rPr>
          <w:b/>
          <w:bCs/>
        </w:rPr>
        <w:t>6.0.4</w:t>
      </w:r>
      <w:r>
        <w:t xml:space="preserve"> </w:t>
      </w:r>
      <w:r>
        <w:rPr>
          <w:rFonts w:hint="eastAsia"/>
        </w:rPr>
        <w:t>场外的铁路卸油站、水路卸油码头等因情况各异，按相关标准并结合实际情况计算。</w:t>
      </w:r>
    </w:p>
    <w:bookmarkEnd w:id="10"/>
    <w:p w14:paraId="188BC334">
      <w:pPr>
        <w:pStyle w:val="4"/>
      </w:pPr>
      <w:bookmarkStart w:id="11" w:name="第七章-场外道路管线及其他设施建设用地指标"/>
      <w:r>
        <w:rPr>
          <w:rFonts w:hint="eastAsia"/>
        </w:rPr>
        <w:t>第七章</w:t>
      </w:r>
      <w:r>
        <w:t xml:space="preserve"> </w:t>
      </w:r>
      <w:r>
        <w:rPr>
          <w:rFonts w:hint="eastAsia"/>
        </w:rPr>
        <w:t>场外道路、管线及其他设施建设用地指标</w:t>
      </w:r>
    </w:p>
    <w:p w14:paraId="2988DAD3">
      <w:pPr>
        <w:pStyle w:val="3"/>
      </w:pPr>
      <w:r>
        <w:rPr>
          <w:b/>
          <w:bCs/>
        </w:rPr>
        <w:t>7.0.1</w:t>
      </w:r>
      <w:r>
        <w:t xml:space="preserve"> </w:t>
      </w:r>
      <w:r>
        <w:rPr>
          <w:rFonts w:hint="eastAsia"/>
        </w:rPr>
        <w:t>机场进场路（场外部分）和通往场外的油库区及通信导航设施区的道路用地应符合国家现行的有关公路建设用地指标。</w:t>
      </w:r>
    </w:p>
    <w:p w14:paraId="0A77FB94">
      <w:pPr>
        <w:pStyle w:val="3"/>
      </w:pPr>
      <w:r>
        <w:rPr>
          <w:b/>
          <w:bCs/>
        </w:rPr>
        <w:t>7.0.2</w:t>
      </w:r>
      <w:r>
        <w:t xml:space="preserve"> </w:t>
      </w:r>
      <w:r>
        <w:rPr>
          <w:rFonts w:hint="eastAsia"/>
        </w:rPr>
        <w:t>场外供电线路、有线通信线路、场外管线、排水、沟渠、输油管线及其他设施按相关标准并结合实际情况计算用地面积。</w:t>
      </w:r>
    </w:p>
    <w:p w14:paraId="1A0C60E3">
      <w:pPr>
        <w:pStyle w:val="3"/>
      </w:pPr>
    </w:p>
    <w:bookmarkEnd w:id="0"/>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DA36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568</Words>
  <Characters>842</Characters>
  <Lines>12</Lines>
  <Paragraphs>8</Paragraphs>
  <TotalTime>6</TotalTime>
  <ScaleCrop>false</ScaleCrop>
  <LinksUpToDate>false</LinksUpToDate>
  <CharactersWithSpaces>851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2026-05-09T07:57:00Z</dcterms:created>
  <dc:creator>晴失</dc:creator>
  <cp:lastModifiedBy>晴失</cp:lastModifiedBy>
  <dcterms:modified xsi:type="dcterms:W3CDTF">2026-05-09T07:58:38Z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A6DD88F04BD64F43B45A467005298813_13</vt:lpwstr>
  </property>
</Properties>
</file>