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708B7">
      <w:pPr>
        <w:widowControl w:val="0"/>
        <w:autoSpaceDE w:val="0"/>
        <w:autoSpaceDN w:val="0"/>
        <w:adjustRightInd w:val="0"/>
        <w:spacing w:after="0" w:line="240" w:lineRule="auto"/>
        <w:ind w:left="6372" w:hanging="3540"/>
        <w:rPr>
          <w:rFonts w:ascii="Bookman Old Style" w:hAnsi="Bookman Old Style" w:cs="Bookman Old Style"/>
          <w:b/>
          <w:bCs/>
          <w:i/>
          <w:iCs/>
          <w:sz w:val="24"/>
          <w:szCs w:val="24"/>
        </w:rPr>
      </w:pPr>
      <w:bookmarkStart w:id="0" w:name="_GoBack"/>
      <w:bookmarkEnd w:id="0"/>
    </w:p>
    <w:p w:rsidR="00000000" w:rsidRDefault="00B708B7">
      <w:pPr>
        <w:widowControl w:val="0"/>
        <w:autoSpaceDE w:val="0"/>
        <w:autoSpaceDN w:val="0"/>
        <w:adjustRightInd w:val="0"/>
        <w:spacing w:after="0" w:line="240" w:lineRule="auto"/>
        <w:ind w:left="6372" w:hanging="3540"/>
        <w:rPr>
          <w:rFonts w:ascii="Bookman Old Style" w:hAnsi="Bookman Old Style" w:cs="Bookman Old Style"/>
          <w:b/>
          <w:bCs/>
          <w:i/>
          <w:iCs/>
          <w:sz w:val="24"/>
          <w:szCs w:val="24"/>
        </w:rPr>
      </w:pPr>
      <w:r>
        <w:rPr>
          <w:rFonts w:ascii="Bookman Old Style" w:hAnsi="Bookman Old Style" w:cs="Bookman Old Style"/>
          <w:b/>
          <w:bCs/>
          <w:i/>
          <w:iCs/>
          <w:sz w:val="24"/>
          <w:szCs w:val="24"/>
        </w:rPr>
        <w:t>Auto Constitucional N° 001/1999</w:t>
      </w:r>
    </w:p>
    <w:p w:rsidR="00000000" w:rsidRDefault="00B708B7">
      <w:pPr>
        <w:widowControl w:val="0"/>
        <w:autoSpaceDE w:val="0"/>
        <w:autoSpaceDN w:val="0"/>
        <w:adjustRightInd w:val="0"/>
        <w:spacing w:after="0" w:line="240" w:lineRule="auto"/>
        <w:rPr>
          <w:rFonts w:ascii="Times New Roman" w:hAnsi="Times New Roman" w:cs="Times New Roman"/>
          <w:sz w:val="20"/>
          <w:szCs w:val="20"/>
        </w:rPr>
      </w:pPr>
    </w:p>
    <w:p w:rsidR="00000000" w:rsidRDefault="00B708B7">
      <w:pPr>
        <w:widowControl w:val="0"/>
        <w:autoSpaceDE w:val="0"/>
        <w:autoSpaceDN w:val="0"/>
        <w:adjustRightInd w:val="0"/>
        <w:spacing w:after="0" w:line="240" w:lineRule="auto"/>
        <w:ind w:left="2832"/>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 xml:space="preserve">Distrito: </w:t>
      </w:r>
      <w:r>
        <w:rPr>
          <w:rFonts w:ascii="Bookman Old Style" w:hAnsi="Bookman Old Style" w:cs="Bookman Old Style"/>
          <w:i/>
          <w:iCs/>
          <w:sz w:val="24"/>
          <w:szCs w:val="24"/>
          <w:lang w:val="es-BO"/>
        </w:rPr>
        <w:t>Chuquisaca</w:t>
      </w:r>
    </w:p>
    <w:p w:rsidR="00000000" w:rsidRDefault="00B708B7">
      <w:pPr>
        <w:widowControl w:val="0"/>
        <w:autoSpaceDE w:val="0"/>
        <w:autoSpaceDN w:val="0"/>
        <w:adjustRightInd w:val="0"/>
        <w:spacing w:after="0" w:line="240" w:lineRule="auto"/>
        <w:ind w:left="2832"/>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 xml:space="preserve">Partes: </w:t>
      </w:r>
      <w:r>
        <w:rPr>
          <w:rFonts w:ascii="Bookman Old Style" w:hAnsi="Bookman Old Style" w:cs="Bookman Old Style"/>
          <w:i/>
          <w:iCs/>
          <w:sz w:val="24"/>
          <w:szCs w:val="24"/>
          <w:lang w:val="es-BO"/>
        </w:rPr>
        <w:t xml:space="preserve">Manuel Michel Huerta y otros c/ Administrador Regional en Sucre de la Dirección General de Pensiones. </w:t>
      </w:r>
    </w:p>
    <w:p w:rsidR="00000000" w:rsidRDefault="00B708B7">
      <w:pPr>
        <w:widowControl w:val="0"/>
        <w:autoSpaceDE w:val="0"/>
        <w:autoSpaceDN w:val="0"/>
        <w:adjustRightInd w:val="0"/>
        <w:spacing w:after="0" w:line="240" w:lineRule="auto"/>
        <w:ind w:left="2832"/>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 xml:space="preserve">Fecha: </w:t>
      </w:r>
      <w:r>
        <w:rPr>
          <w:rFonts w:ascii="Bookman Old Style" w:hAnsi="Bookman Old Style" w:cs="Bookman Old Style"/>
          <w:i/>
          <w:iCs/>
          <w:sz w:val="24"/>
          <w:szCs w:val="24"/>
          <w:lang w:val="es-BO"/>
        </w:rPr>
        <w:t>18 de junio de 1999</w:t>
      </w:r>
    </w:p>
    <w:p w:rsidR="00000000" w:rsidRDefault="00B708B7">
      <w:pPr>
        <w:widowControl w:val="0"/>
        <w:autoSpaceDE w:val="0"/>
        <w:autoSpaceDN w:val="0"/>
        <w:adjustRightInd w:val="0"/>
        <w:spacing w:after="0" w:line="240" w:lineRule="auto"/>
        <w:ind w:left="2832"/>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Materia: AMPARO CONSTITUCIONAL</w:t>
      </w:r>
    </w:p>
    <w:p w:rsidR="00000000" w:rsidRDefault="00B708B7">
      <w:pPr>
        <w:widowControl w:val="0"/>
        <w:autoSpaceDE w:val="0"/>
        <w:autoSpaceDN w:val="0"/>
        <w:adjustRightInd w:val="0"/>
        <w:spacing w:after="0" w:line="240" w:lineRule="auto"/>
        <w:ind w:left="2832"/>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 xml:space="preserve">Magistrado Relator: </w:t>
      </w:r>
      <w:r>
        <w:rPr>
          <w:rFonts w:ascii="Bookman Old Style" w:hAnsi="Bookman Old Style" w:cs="Bookman Old Style"/>
          <w:i/>
          <w:iCs/>
          <w:sz w:val="24"/>
          <w:szCs w:val="24"/>
          <w:lang w:val="es-BO"/>
        </w:rPr>
        <w:t>Pablo Dermizaky Peredo</w:t>
      </w:r>
    </w:p>
    <w:p w:rsidR="00000000" w:rsidRDefault="00B708B7">
      <w:pPr>
        <w:widowControl w:val="0"/>
        <w:autoSpaceDE w:val="0"/>
        <w:autoSpaceDN w:val="0"/>
        <w:adjustRightInd w:val="0"/>
        <w:spacing w:after="0" w:line="240" w:lineRule="auto"/>
        <w:rPr>
          <w:rFonts w:ascii="Bookman Old Style" w:hAnsi="Bookman Old Style" w:cs="Bookman Old Style"/>
          <w:b/>
          <w:bCs/>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b/>
          <w:bCs/>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 xml:space="preserve">VISTOS: </w:t>
      </w:r>
      <w:r>
        <w:rPr>
          <w:rFonts w:ascii="Bookman Old Style" w:hAnsi="Bookman Old Style" w:cs="Bookman Old Style"/>
          <w:i/>
          <w:iCs/>
          <w:sz w:val="24"/>
          <w:szCs w:val="24"/>
          <w:lang w:val="es-BO"/>
        </w:rPr>
        <w:t xml:space="preserve"> En revisión, el auto de fojas 24, de fecha 28 de Mayo de 1999, pronunciado por la Sala Penal de la Corte Superior del Distrito Judicial de Chuquisaca, en el Recurso de Amparo Constitucional interpuesto por Manuel Michel Hu</w:t>
      </w:r>
      <w:r>
        <w:rPr>
          <w:rFonts w:ascii="Bookman Old Style" w:hAnsi="Bookman Old Style" w:cs="Bookman Old Style"/>
          <w:i/>
          <w:iCs/>
          <w:sz w:val="24"/>
          <w:szCs w:val="24"/>
          <w:lang w:val="es-BO"/>
        </w:rPr>
        <w:t xml:space="preserve">erta, Carlos Ortubé Parra y Marcel Toro Wayar contra el Administrador Regional en Sucre de la Dirección General de Pensiones Lic. Nevín Moreno; sus antecedentes y </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CONSIDERANDO:</w:t>
      </w:r>
      <w:r>
        <w:rPr>
          <w:rFonts w:ascii="Bookman Old Style" w:hAnsi="Bookman Old Style" w:cs="Bookman Old Style"/>
          <w:i/>
          <w:iCs/>
          <w:sz w:val="24"/>
          <w:szCs w:val="24"/>
          <w:lang w:val="es-BO"/>
        </w:rPr>
        <w:t xml:space="preserve">  Que de acuerdo con lo dispuesto por el artículo 19 de la Constitución Políti</w:t>
      </w:r>
      <w:r>
        <w:rPr>
          <w:rFonts w:ascii="Bookman Old Style" w:hAnsi="Bookman Old Style" w:cs="Bookman Old Style"/>
          <w:i/>
          <w:iCs/>
          <w:sz w:val="24"/>
          <w:szCs w:val="24"/>
          <w:lang w:val="es-BO"/>
        </w:rPr>
        <w:t>ca del Estado, se ha hecho la debida revisión y compulsa del expediente remitido por el Tribunal de Amparo, llegándose a las siguientes conclusiones:</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i/>
          <w:iCs/>
          <w:sz w:val="24"/>
          <w:szCs w:val="24"/>
          <w:lang w:val="es-BO"/>
        </w:rPr>
        <w:t xml:space="preserve">1.- Se ha dado cumplimiento en la presente causa al trámite y procedimiento señalados por el artículo 19 </w:t>
      </w:r>
      <w:r>
        <w:rPr>
          <w:rFonts w:ascii="Bookman Old Style" w:hAnsi="Bookman Old Style" w:cs="Bookman Old Style"/>
          <w:i/>
          <w:iCs/>
          <w:sz w:val="24"/>
          <w:szCs w:val="24"/>
          <w:lang w:val="es-BO"/>
        </w:rPr>
        <w:t>de la Constitución Política del Estado y por las normas que se indican en el Capítulo X, Título Cuarto de la Ley del Tribunal Constitucional.</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i/>
          <w:iCs/>
          <w:sz w:val="24"/>
          <w:szCs w:val="24"/>
          <w:lang w:val="es-BO"/>
        </w:rPr>
        <w:t>2.- Los recurrentes: Manuel Michel Huerta, Carlos Ortubé Parra y Marcel Toro Wáyar, a tiempo de plantear su deman</w:t>
      </w:r>
      <w:r>
        <w:rPr>
          <w:rFonts w:ascii="Bookman Old Style" w:hAnsi="Bookman Old Style" w:cs="Bookman Old Style"/>
          <w:i/>
          <w:iCs/>
          <w:sz w:val="24"/>
          <w:szCs w:val="24"/>
          <w:lang w:val="es-BO"/>
        </w:rPr>
        <w:t>da de fojas 15 a 18, señalan que el Administrador Regional en Sucre, de la Dirección General de Pensiones, ha venido entorpeciendo y dilatando el pago normal de sus pensiones jubilatorias, reteniendo inclusive momentáneamente las papeletas de pago y anunci</w:t>
      </w:r>
      <w:r>
        <w:rPr>
          <w:rFonts w:ascii="Bookman Old Style" w:hAnsi="Bookman Old Style" w:cs="Bookman Old Style"/>
          <w:i/>
          <w:iCs/>
          <w:sz w:val="24"/>
          <w:szCs w:val="24"/>
          <w:lang w:val="es-BO"/>
        </w:rPr>
        <w:t>ándoles la //.. //..suspensión definitiva de su entrega si no renuncian a su condición de catedráticos de la Facultad de   Derecho, Ciencias Políticas y Sociales de la Universidad Mayor, Real y Pontificia de San Francisco Xavier  de Chuquisaca en el mal en</w:t>
      </w:r>
      <w:r>
        <w:rPr>
          <w:rFonts w:ascii="Bookman Old Style" w:hAnsi="Bookman Old Style" w:cs="Bookman Old Style"/>
          <w:i/>
          <w:iCs/>
          <w:sz w:val="24"/>
          <w:szCs w:val="24"/>
          <w:lang w:val="es-BO"/>
        </w:rPr>
        <w:t xml:space="preserve">tendido -dicen aquellos- de que su ejercicio y la percepción de sus haberes sería incompatible con la renta de vejez, basándose en la resolución del Ministerio de Hacienda N° 026 de 11 de enero de 1999 y en el instructivo VMTCP, N° 001/99, que dispone que </w:t>
      </w:r>
      <w:r>
        <w:rPr>
          <w:rFonts w:ascii="Bookman Old Style" w:hAnsi="Bookman Old Style" w:cs="Bookman Old Style"/>
          <w:i/>
          <w:iCs/>
          <w:sz w:val="24"/>
          <w:szCs w:val="24"/>
          <w:lang w:val="es-BO"/>
        </w:rPr>
        <w:t>los asegurados con renta en curso de pago pueden ejercer funciones activas previa suspensión del pago de sus rentas de vejez.</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i/>
          <w:iCs/>
          <w:sz w:val="24"/>
          <w:szCs w:val="24"/>
          <w:lang w:val="es-BO"/>
        </w:rPr>
        <w:t>3.- El recurrido, a su vez, según consta en el acta de audiencia de fojas 23, expresa que él se limita a hacer cumplir la ley; qu</w:t>
      </w:r>
      <w:r>
        <w:rPr>
          <w:rFonts w:ascii="Bookman Old Style" w:hAnsi="Bookman Old Style" w:cs="Bookman Old Style"/>
          <w:i/>
          <w:iCs/>
          <w:sz w:val="24"/>
          <w:szCs w:val="24"/>
          <w:lang w:val="es-BO"/>
        </w:rPr>
        <w:t xml:space="preserve">e no les amenazó sino que les advirtió sobre el problema, señalando que debían presentar sus papeletas de baja y que es verdad que ellos hicieron sus reclamos y que no se dio solución a los mismos, pero que es probable que se revise dicha  resolución. Los </w:t>
      </w:r>
      <w:r>
        <w:rPr>
          <w:rFonts w:ascii="Bookman Old Style" w:hAnsi="Bookman Old Style" w:cs="Bookman Old Style"/>
          <w:i/>
          <w:iCs/>
          <w:sz w:val="24"/>
          <w:szCs w:val="24"/>
          <w:lang w:val="es-BO"/>
        </w:rPr>
        <w:t>recurrentes, por su parte, dijeron que interpusieron este Amparo Constitucional porque se está violando los artículos 116-IX,  128-IV y 185 de la Constitución Política del Estado.</w:t>
      </w:r>
    </w:p>
    <w:p w:rsidR="00000000" w:rsidRDefault="00B708B7">
      <w:pPr>
        <w:widowControl w:val="0"/>
        <w:autoSpaceDE w:val="0"/>
        <w:autoSpaceDN w:val="0"/>
        <w:adjustRightInd w:val="0"/>
        <w:spacing w:after="0" w:line="240" w:lineRule="auto"/>
        <w:rPr>
          <w:rFonts w:ascii="Bookman Old Style" w:hAnsi="Bookman Old Style" w:cs="Bookman Old Style"/>
          <w:b/>
          <w:bCs/>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b/>
          <w:bCs/>
          <w:i/>
          <w:iCs/>
          <w:sz w:val="24"/>
          <w:szCs w:val="24"/>
          <w:lang w:val="es-BO"/>
        </w:rPr>
        <w:t>CONSIDERANDO:</w:t>
      </w:r>
      <w:r>
        <w:rPr>
          <w:rFonts w:ascii="Bookman Old Style" w:hAnsi="Bookman Old Style" w:cs="Bookman Old Style"/>
          <w:i/>
          <w:iCs/>
          <w:sz w:val="24"/>
          <w:szCs w:val="24"/>
          <w:lang w:val="es-BO"/>
        </w:rPr>
        <w:t xml:space="preserve"> Que el  Tribunal de Amparo, al haber declarado, por auto de  </w:t>
      </w:r>
      <w:r>
        <w:rPr>
          <w:rFonts w:ascii="Bookman Old Style" w:hAnsi="Bookman Old Style" w:cs="Bookman Old Style"/>
          <w:i/>
          <w:iCs/>
          <w:sz w:val="24"/>
          <w:szCs w:val="24"/>
          <w:lang w:val="es-BO"/>
        </w:rPr>
        <w:t>28 de mayo de 1999, cursante a fojas 24, PROCEDENTE el recurso y dispuesto "la entrega normal de los cheques de los recurrentes en forma oportuna y mientras se resuelva el conflicto y reclamaciones pendientes",  no se ha pronunciado en el fondo sobre la co</w:t>
      </w:r>
      <w:r>
        <w:rPr>
          <w:rFonts w:ascii="Bookman Old Style" w:hAnsi="Bookman Old Style" w:cs="Bookman Old Style"/>
          <w:i/>
          <w:iCs/>
          <w:sz w:val="24"/>
          <w:szCs w:val="24"/>
          <w:lang w:val="es-BO"/>
        </w:rPr>
        <w:t xml:space="preserve">ntroversia que sostienen los recurrentes con la Dirección Nacional de Pensiones, sino que ha reconocido el derecho de aquéllos a recibir el pago de sus rentas, otorgándoles la protección inmediata de un derecho adquirido que no puede desconocerse mientras </w:t>
      </w:r>
      <w:r>
        <w:rPr>
          <w:rFonts w:ascii="Bookman Old Style" w:hAnsi="Bookman Old Style" w:cs="Bookman Old Style"/>
          <w:i/>
          <w:iCs/>
          <w:sz w:val="24"/>
          <w:szCs w:val="24"/>
          <w:lang w:val="es-BO"/>
        </w:rPr>
        <w:t>se lo discute  y resuelve por la vía competente.//..</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i/>
          <w:iCs/>
          <w:sz w:val="24"/>
          <w:szCs w:val="24"/>
          <w:lang w:val="es-BO"/>
        </w:rPr>
        <w:t>//..</w:t>
      </w:r>
      <w:r>
        <w:rPr>
          <w:rFonts w:ascii="Bookman Old Style" w:hAnsi="Bookman Old Style" w:cs="Bookman Old Style"/>
          <w:b/>
          <w:bCs/>
          <w:i/>
          <w:iCs/>
          <w:sz w:val="24"/>
          <w:szCs w:val="24"/>
          <w:lang w:val="es-BO"/>
        </w:rPr>
        <w:t>POR TANTO:</w:t>
      </w:r>
      <w:r>
        <w:rPr>
          <w:rFonts w:ascii="Bookman Old Style" w:hAnsi="Bookman Old Style" w:cs="Bookman Old Style"/>
          <w:i/>
          <w:iCs/>
          <w:sz w:val="24"/>
          <w:szCs w:val="24"/>
          <w:lang w:val="es-BO"/>
        </w:rPr>
        <w:t xml:space="preserve"> El Tribunal Constitucional, en virtud de la jurisdicción que ejerce por mandato de los artículos 19 IV y 120 7mo., de la Constitución Política del Estado y 94 a 104 de la Ley 1836, </w:t>
      </w:r>
      <w:r>
        <w:rPr>
          <w:rFonts w:ascii="Bookman Old Style" w:hAnsi="Bookman Old Style" w:cs="Bookman Old Style"/>
          <w:b/>
          <w:bCs/>
          <w:i/>
          <w:iCs/>
          <w:sz w:val="24"/>
          <w:szCs w:val="24"/>
          <w:lang w:val="es-BO"/>
        </w:rPr>
        <w:t>APRUE</w:t>
      </w:r>
      <w:r>
        <w:rPr>
          <w:rFonts w:ascii="Bookman Old Style" w:hAnsi="Bookman Old Style" w:cs="Bookman Old Style"/>
          <w:b/>
          <w:bCs/>
          <w:i/>
          <w:iCs/>
          <w:sz w:val="24"/>
          <w:szCs w:val="24"/>
          <w:lang w:val="es-BO"/>
        </w:rPr>
        <w:t xml:space="preserve">BA </w:t>
      </w:r>
      <w:r>
        <w:rPr>
          <w:rFonts w:ascii="Bookman Old Style" w:hAnsi="Bookman Old Style" w:cs="Bookman Old Style"/>
          <w:i/>
          <w:iCs/>
          <w:sz w:val="24"/>
          <w:szCs w:val="24"/>
          <w:lang w:val="es-BO"/>
        </w:rPr>
        <w:t xml:space="preserve"> en revisión el Auto de fojas 24, de 28 de Mayo de 1999.</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i/>
          <w:iCs/>
          <w:sz w:val="24"/>
          <w:szCs w:val="24"/>
          <w:lang w:val="es-BO"/>
        </w:rPr>
        <w:t>Es de voto disidente la Mag. Elizabeth Iñiguez de Salinas.</w:t>
      </w:r>
    </w:p>
    <w:p w:rsidR="00000000" w:rsidRDefault="00B708B7">
      <w:pPr>
        <w:widowControl w:val="0"/>
        <w:autoSpaceDE w:val="0"/>
        <w:autoSpaceDN w:val="0"/>
        <w:adjustRightInd w:val="0"/>
        <w:spacing w:after="0" w:line="240" w:lineRule="auto"/>
        <w:rPr>
          <w:rFonts w:ascii="Bookman Old Style" w:hAnsi="Bookman Old Style" w:cs="Bookman Old Style"/>
          <w:b/>
          <w:bCs/>
          <w:i/>
          <w:iCs/>
          <w:sz w:val="24"/>
          <w:szCs w:val="24"/>
          <w:lang w:val="es-BO"/>
        </w:rPr>
      </w:pPr>
      <w:r>
        <w:rPr>
          <w:rFonts w:ascii="Bookman Old Style" w:hAnsi="Bookman Old Style" w:cs="Bookman Old Style"/>
          <w:b/>
          <w:bCs/>
          <w:i/>
          <w:iCs/>
          <w:sz w:val="24"/>
          <w:szCs w:val="24"/>
          <w:lang w:val="es-BO"/>
        </w:rPr>
        <w:t>Regístrese y devuélvase.</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p>
    <w:p w:rsidR="00000000" w:rsidRDefault="00B708B7">
      <w:pPr>
        <w:widowControl w:val="0"/>
        <w:autoSpaceDE w:val="0"/>
        <w:autoSpaceDN w:val="0"/>
        <w:adjustRightInd w:val="0"/>
        <w:spacing w:after="0" w:line="240" w:lineRule="auto"/>
        <w:rPr>
          <w:rFonts w:ascii="Bookman Old Style" w:hAnsi="Bookman Old Style" w:cs="Bookman Old Style"/>
          <w:i/>
          <w:iCs/>
          <w:lang w:val="es-MX"/>
        </w:rPr>
      </w:pPr>
    </w:p>
    <w:p w:rsidR="00000000" w:rsidRDefault="00B708B7">
      <w:pPr>
        <w:widowControl w:val="0"/>
        <w:autoSpaceDE w:val="0"/>
        <w:autoSpaceDN w:val="0"/>
        <w:adjustRightInd w:val="0"/>
        <w:spacing w:after="0" w:line="240" w:lineRule="auto"/>
        <w:rPr>
          <w:rFonts w:ascii="Bookman Old Style" w:hAnsi="Bookman Old Style" w:cs="Bookman Old Style"/>
          <w:i/>
          <w:iCs/>
          <w:lang w:val="es-MX"/>
        </w:rPr>
      </w:pPr>
    </w:p>
    <w:p w:rsidR="00000000" w:rsidRDefault="00B708B7">
      <w:pPr>
        <w:widowControl w:val="0"/>
        <w:autoSpaceDE w:val="0"/>
        <w:autoSpaceDN w:val="0"/>
        <w:adjustRightInd w:val="0"/>
        <w:spacing w:after="0" w:line="240" w:lineRule="auto"/>
        <w:rPr>
          <w:rFonts w:ascii="Bookman Old Style" w:hAnsi="Bookman Old Style" w:cs="Bookman Old Style"/>
          <w:i/>
          <w:iCs/>
          <w:lang w:val="es-MX"/>
        </w:rPr>
      </w:pPr>
    </w:p>
    <w:p w:rsidR="00000000" w:rsidRDefault="00B708B7">
      <w:pPr>
        <w:widowControl w:val="0"/>
        <w:autoSpaceDE w:val="0"/>
        <w:autoSpaceDN w:val="0"/>
        <w:adjustRightInd w:val="0"/>
        <w:spacing w:after="0" w:line="240" w:lineRule="auto"/>
        <w:rPr>
          <w:rFonts w:ascii="Bookman Old Style" w:hAnsi="Bookman Old Style" w:cs="Bookman Old Style"/>
          <w:i/>
          <w:iCs/>
          <w:lang w:val="es-MX"/>
        </w:rPr>
      </w:pPr>
    </w:p>
    <w:p w:rsidR="00000000" w:rsidRDefault="00B708B7">
      <w:pPr>
        <w:widowControl w:val="0"/>
        <w:autoSpaceDE w:val="0"/>
        <w:autoSpaceDN w:val="0"/>
        <w:adjustRightInd w:val="0"/>
        <w:spacing w:after="0" w:line="240" w:lineRule="auto"/>
        <w:rPr>
          <w:rFonts w:ascii="Bookman Old Style" w:hAnsi="Bookman Old Style" w:cs="Bookman Old Style"/>
          <w:i/>
          <w:iCs/>
          <w:lang w:val="es-MX"/>
        </w:rPr>
      </w:pPr>
    </w:p>
    <w:p w:rsidR="00000000" w:rsidRDefault="00B708B7">
      <w:pPr>
        <w:widowControl w:val="0"/>
        <w:autoSpaceDE w:val="0"/>
        <w:autoSpaceDN w:val="0"/>
        <w:adjustRightInd w:val="0"/>
        <w:spacing w:after="0" w:line="240" w:lineRule="auto"/>
        <w:rPr>
          <w:rFonts w:ascii="Bookman Old Style" w:hAnsi="Bookman Old Style" w:cs="Bookman Old Style"/>
          <w:i/>
          <w:iCs/>
          <w:lang w:val="es-MX"/>
        </w:rPr>
      </w:pPr>
    </w:p>
    <w:p w:rsidR="00000000" w:rsidRDefault="00B708B7">
      <w:pPr>
        <w:widowControl w:val="0"/>
        <w:tabs>
          <w:tab w:val="left" w:pos="709"/>
        </w:tabs>
        <w:autoSpaceDE w:val="0"/>
        <w:autoSpaceDN w:val="0"/>
        <w:adjustRightInd w:val="0"/>
        <w:spacing w:after="0" w:line="240" w:lineRule="auto"/>
        <w:jc w:val="center"/>
        <w:rPr>
          <w:rFonts w:ascii="Bookman Old Style" w:hAnsi="Bookman Old Style" w:cs="Bookman Old Style"/>
          <w:i/>
          <w:iCs/>
          <w:sz w:val="24"/>
          <w:szCs w:val="24"/>
          <w:lang w:val="es-ES_tradnl"/>
        </w:rPr>
      </w:pPr>
      <w:r>
        <w:rPr>
          <w:rFonts w:ascii="Bookman Old Style" w:hAnsi="Bookman Old Style" w:cs="Bookman Old Style"/>
          <w:i/>
          <w:iCs/>
          <w:sz w:val="24"/>
          <w:szCs w:val="24"/>
          <w:lang w:val="es-ES_tradnl"/>
        </w:rPr>
        <w:t>Dr. Pablo Dermizaky Peredo</w:t>
      </w:r>
    </w:p>
    <w:p w:rsidR="00000000" w:rsidRDefault="00B708B7">
      <w:pPr>
        <w:widowControl w:val="0"/>
        <w:autoSpaceDE w:val="0"/>
        <w:autoSpaceDN w:val="0"/>
        <w:adjustRightInd w:val="0"/>
        <w:spacing w:after="0" w:line="240" w:lineRule="auto"/>
        <w:jc w:val="center"/>
        <w:rPr>
          <w:rFonts w:ascii="Bookman Old Style" w:hAnsi="Bookman Old Style" w:cs="Bookman Old Style"/>
          <w:i/>
          <w:iCs/>
          <w:sz w:val="24"/>
          <w:szCs w:val="24"/>
          <w:lang w:val="es-ES_tradnl"/>
        </w:rPr>
      </w:pPr>
      <w:r>
        <w:rPr>
          <w:rFonts w:ascii="Bookman Old Style" w:hAnsi="Bookman Old Style" w:cs="Bookman Old Style"/>
          <w:b/>
          <w:bCs/>
          <w:i/>
          <w:iCs/>
          <w:sz w:val="24"/>
          <w:szCs w:val="24"/>
          <w:lang w:val="es-ES_tradnl"/>
        </w:rPr>
        <w:t>PRESIDENTE</w:t>
      </w:r>
    </w:p>
    <w:p w:rsidR="00000000" w:rsidRDefault="00B708B7">
      <w:pPr>
        <w:widowControl w:val="0"/>
        <w:tabs>
          <w:tab w:val="left" w:pos="3828"/>
        </w:tabs>
        <w:autoSpaceDE w:val="0"/>
        <w:autoSpaceDN w:val="0"/>
        <w:adjustRightInd w:val="0"/>
        <w:spacing w:after="0" w:line="240" w:lineRule="auto"/>
        <w:rPr>
          <w:rFonts w:ascii="Bookman Old Style" w:hAnsi="Bookman Old Style" w:cs="Bookman Old Style"/>
          <w:i/>
          <w:iCs/>
          <w:lang w:val="es-ES_tradnl"/>
        </w:rPr>
      </w:pPr>
      <w:r>
        <w:rPr>
          <w:rFonts w:ascii="Bookman Old Style" w:hAnsi="Bookman Old Style" w:cs="Bookman Old Style"/>
          <w:i/>
          <w:iCs/>
          <w:lang w:val="es-ES_tradnl"/>
        </w:rPr>
        <w:tab/>
      </w:r>
    </w:p>
    <w:p w:rsidR="00000000" w:rsidRDefault="00B708B7">
      <w:pPr>
        <w:widowControl w:val="0"/>
        <w:tabs>
          <w:tab w:val="left" w:pos="3828"/>
        </w:tabs>
        <w:autoSpaceDE w:val="0"/>
        <w:autoSpaceDN w:val="0"/>
        <w:adjustRightInd w:val="0"/>
        <w:spacing w:after="0" w:line="240" w:lineRule="auto"/>
        <w:rPr>
          <w:rFonts w:ascii="Bookman Old Style" w:hAnsi="Bookman Old Style" w:cs="Bookman Old Style"/>
          <w:i/>
          <w:iCs/>
          <w:lang w:val="es-ES_tradnl"/>
        </w:rPr>
      </w:pPr>
    </w:p>
    <w:p w:rsidR="00000000" w:rsidRDefault="00B708B7">
      <w:pPr>
        <w:widowControl w:val="0"/>
        <w:tabs>
          <w:tab w:val="left" w:pos="3828"/>
        </w:tabs>
        <w:autoSpaceDE w:val="0"/>
        <w:autoSpaceDN w:val="0"/>
        <w:adjustRightInd w:val="0"/>
        <w:spacing w:after="0" w:line="240" w:lineRule="auto"/>
        <w:rPr>
          <w:rFonts w:ascii="Bookman Old Style" w:hAnsi="Bookman Old Style" w:cs="Bookman Old Style"/>
          <w:i/>
          <w:iCs/>
          <w:lang w:val="es-ES_tradnl"/>
        </w:rPr>
      </w:pPr>
    </w:p>
    <w:p w:rsidR="00000000" w:rsidRDefault="00B708B7">
      <w:pPr>
        <w:widowControl w:val="0"/>
        <w:autoSpaceDE w:val="0"/>
        <w:autoSpaceDN w:val="0"/>
        <w:adjustRightInd w:val="0"/>
        <w:spacing w:after="0" w:line="240" w:lineRule="auto"/>
        <w:rPr>
          <w:rFonts w:ascii="Bookman Old Style" w:hAnsi="Bookman Old Style" w:cs="Bookman Old Style"/>
          <w:i/>
          <w:iCs/>
        </w:rPr>
      </w:pPr>
    </w:p>
    <w:p w:rsidR="00000000" w:rsidRDefault="00B708B7">
      <w:pPr>
        <w:widowControl w:val="0"/>
        <w:autoSpaceDE w:val="0"/>
        <w:autoSpaceDN w:val="0"/>
        <w:adjustRightInd w:val="0"/>
        <w:spacing w:after="0" w:line="240" w:lineRule="auto"/>
        <w:rPr>
          <w:rFonts w:ascii="Bookman Old Style" w:hAnsi="Bookman Old Style" w:cs="Bookman Old Style"/>
          <w:i/>
          <w:iCs/>
        </w:rPr>
      </w:pPr>
    </w:p>
    <w:p w:rsidR="00000000" w:rsidRDefault="00B708B7">
      <w:pPr>
        <w:widowControl w:val="0"/>
        <w:autoSpaceDE w:val="0"/>
        <w:autoSpaceDN w:val="0"/>
        <w:adjustRightInd w:val="0"/>
        <w:spacing w:after="0" w:line="240" w:lineRule="auto"/>
        <w:rPr>
          <w:rFonts w:ascii="Bookman Old Style" w:hAnsi="Bookman Old Style" w:cs="Bookman Old Style"/>
          <w:i/>
          <w:iCs/>
        </w:rPr>
      </w:pP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Bookman Old Style" w:hAnsi="Bookman Old Style" w:cs="Bookman Old Style"/>
          <w:i/>
          <w:iCs/>
          <w:sz w:val="24"/>
          <w:szCs w:val="24"/>
          <w:lang w:val="es-BO"/>
        </w:rPr>
        <w:t>Dr. Hugo de la Rocha Navarro  Dr. René Baldivieso Guzmán</w:t>
      </w: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r>
        <w:rPr>
          <w:rFonts w:ascii="Bookman Old Style" w:hAnsi="Bookman Old Style" w:cs="Bookman Old Style"/>
          <w:b/>
          <w:bCs/>
          <w:i/>
          <w:iCs/>
          <w:sz w:val="24"/>
          <w:szCs w:val="24"/>
        </w:rPr>
        <w:t xml:space="preserve">      DECANO</w:t>
      </w:r>
      <w:r>
        <w:rPr>
          <w:rFonts w:ascii="Bookman Old Style" w:hAnsi="Bookman Old Style" w:cs="Bookman Old Style"/>
          <w:i/>
          <w:iCs/>
        </w:rPr>
        <w:tab/>
      </w:r>
      <w:r>
        <w:rPr>
          <w:rFonts w:ascii="Bookman Old Style" w:hAnsi="Bookman Old Style" w:cs="Bookman Old Style"/>
          <w:i/>
          <w:iCs/>
        </w:rPr>
        <w:tab/>
      </w:r>
      <w:r>
        <w:rPr>
          <w:rFonts w:ascii="Bookman Old Style" w:hAnsi="Bookman Old Style" w:cs="Bookman Old Style"/>
          <w:i/>
          <w:iCs/>
        </w:rPr>
        <w:tab/>
      </w:r>
      <w:r>
        <w:rPr>
          <w:rFonts w:ascii="Bookman Old Style" w:hAnsi="Bookman Old Style" w:cs="Bookman Old Style"/>
          <w:i/>
          <w:iCs/>
          <w:sz w:val="24"/>
          <w:szCs w:val="24"/>
        </w:rPr>
        <w:t xml:space="preserve">             </w:t>
      </w:r>
      <w:r>
        <w:rPr>
          <w:rFonts w:ascii="Bookman Old Style" w:hAnsi="Bookman Old Style" w:cs="Bookman Old Style"/>
          <w:b/>
          <w:bCs/>
          <w:i/>
          <w:iCs/>
          <w:sz w:val="24"/>
          <w:szCs w:val="24"/>
        </w:rPr>
        <w:t>MAGISTRADO</w:t>
      </w: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r>
        <w:rPr>
          <w:rFonts w:ascii="Bookman Old Style" w:hAnsi="Bookman Old Style" w:cs="Bookman Old Style"/>
          <w:i/>
          <w:iCs/>
        </w:rPr>
        <w:tab/>
      </w:r>
      <w:r>
        <w:rPr>
          <w:rFonts w:ascii="Bookman Old Style" w:hAnsi="Bookman Old Style" w:cs="Bookman Old Style"/>
          <w:i/>
          <w:iCs/>
        </w:rPr>
        <w:tab/>
      </w:r>
      <w:r>
        <w:rPr>
          <w:rFonts w:ascii="Bookman Old Style" w:hAnsi="Bookman Old Style" w:cs="Bookman Old Style"/>
          <w:i/>
          <w:iCs/>
        </w:rPr>
        <w:tab/>
      </w: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p>
    <w:p w:rsidR="00000000" w:rsidRDefault="00B708B7">
      <w:pPr>
        <w:widowControl w:val="0"/>
        <w:tabs>
          <w:tab w:val="left" w:pos="3828"/>
        </w:tabs>
        <w:autoSpaceDE w:val="0"/>
        <w:autoSpaceDN w:val="0"/>
        <w:adjustRightInd w:val="0"/>
        <w:spacing w:after="0" w:line="240" w:lineRule="auto"/>
        <w:ind w:left="708"/>
        <w:rPr>
          <w:rFonts w:ascii="Bookman Old Style" w:hAnsi="Bookman Old Style" w:cs="Bookman Old Style"/>
          <w:i/>
          <w:iCs/>
        </w:rPr>
      </w:pPr>
    </w:p>
    <w:p w:rsidR="00000000" w:rsidRDefault="00B708B7">
      <w:pPr>
        <w:widowControl w:val="0"/>
        <w:tabs>
          <w:tab w:val="left" w:pos="3828"/>
        </w:tabs>
        <w:autoSpaceDE w:val="0"/>
        <w:autoSpaceDN w:val="0"/>
        <w:adjustRightInd w:val="0"/>
        <w:spacing w:after="0" w:line="240" w:lineRule="auto"/>
        <w:rPr>
          <w:rFonts w:ascii="Bookman Old Style" w:hAnsi="Bookman Old Style" w:cs="Bookman Old Style"/>
          <w:i/>
          <w:iCs/>
          <w:sz w:val="24"/>
          <w:szCs w:val="24"/>
          <w:lang w:val="es-ES_tradnl"/>
        </w:rPr>
      </w:pPr>
      <w:r>
        <w:rPr>
          <w:rFonts w:ascii="Bookman Old Style" w:hAnsi="Bookman Old Style" w:cs="Bookman Old Style"/>
          <w:i/>
          <w:iCs/>
          <w:sz w:val="24"/>
          <w:szCs w:val="24"/>
        </w:rPr>
        <w:t>Dra. Elizabeth Iñiguez de Salinas</w:t>
      </w:r>
      <w:r>
        <w:rPr>
          <w:rFonts w:ascii="Bookman Old Style" w:hAnsi="Bookman Old Style" w:cs="Bookman Old Style"/>
          <w:i/>
          <w:iCs/>
          <w:sz w:val="24"/>
          <w:szCs w:val="24"/>
          <w:lang w:val="es-ES_tradnl"/>
        </w:rPr>
        <w:tab/>
        <w:t xml:space="preserve">      Dr. Willman R. Durán Ribera</w:t>
      </w:r>
    </w:p>
    <w:p w:rsidR="00000000" w:rsidRDefault="00B708B7">
      <w:pPr>
        <w:widowControl w:val="0"/>
        <w:tabs>
          <w:tab w:val="left" w:pos="709"/>
          <w:tab w:val="left" w:pos="1560"/>
        </w:tabs>
        <w:autoSpaceDE w:val="0"/>
        <w:autoSpaceDN w:val="0"/>
        <w:adjustRightInd w:val="0"/>
        <w:spacing w:after="0" w:line="240" w:lineRule="auto"/>
        <w:rPr>
          <w:rFonts w:ascii="Bookman Old Style" w:hAnsi="Bookman Old Style" w:cs="Bookman Old Style"/>
          <w:b/>
          <w:bCs/>
          <w:sz w:val="24"/>
          <w:szCs w:val="24"/>
          <w:lang w:val="es-ES_tradnl"/>
        </w:rPr>
      </w:pPr>
      <w:r>
        <w:rPr>
          <w:rFonts w:ascii="Bookman Old Style" w:hAnsi="Bookman Old Style" w:cs="Bookman Old Style"/>
          <w:b/>
          <w:bCs/>
          <w:i/>
          <w:iCs/>
          <w:sz w:val="24"/>
          <w:szCs w:val="24"/>
          <w:lang w:val="es-ES_tradnl"/>
        </w:rPr>
        <w:t xml:space="preserve"> </w:t>
      </w:r>
      <w:r>
        <w:rPr>
          <w:rFonts w:ascii="Bookman Old Style" w:hAnsi="Bookman Old Style" w:cs="Bookman Old Style"/>
          <w:b/>
          <w:bCs/>
          <w:i/>
          <w:iCs/>
          <w:sz w:val="24"/>
          <w:szCs w:val="24"/>
          <w:lang w:val="es-ES_tradnl"/>
        </w:rPr>
        <w:tab/>
        <w:t xml:space="preserve">        MAGISTRADA                                   MAGISTRADO</w:t>
      </w:r>
    </w:p>
    <w:p w:rsidR="00000000" w:rsidRDefault="00B708B7">
      <w:pPr>
        <w:widowControl w:val="0"/>
        <w:autoSpaceDE w:val="0"/>
        <w:autoSpaceDN w:val="0"/>
        <w:adjustRightInd w:val="0"/>
        <w:spacing w:after="0" w:line="240" w:lineRule="auto"/>
        <w:rPr>
          <w:rFonts w:ascii="Bookman Old Style" w:hAnsi="Bookman Old Style" w:cs="Bookman Old Style"/>
          <w:i/>
          <w:iCs/>
          <w:sz w:val="24"/>
          <w:szCs w:val="24"/>
          <w:lang w:val="es-BO"/>
        </w:rPr>
      </w:pPr>
      <w:r>
        <w:rPr>
          <w:rFonts w:ascii="Times New Roman" w:hAnsi="Times New Roman" w:cs="Times New Roman"/>
        </w:rPr>
        <w:tab/>
      </w:r>
    </w:p>
    <w:p w:rsidR="00000000" w:rsidRDefault="00B708B7">
      <w:pPr>
        <w:widowControl w:val="0"/>
        <w:autoSpaceDE w:val="0"/>
        <w:autoSpaceDN w:val="0"/>
        <w:adjustRightInd w:val="0"/>
        <w:spacing w:after="0" w:line="240" w:lineRule="auto"/>
        <w:rPr>
          <w:rFonts w:ascii="MS Sans Serif" w:hAnsi="MS Sans Serif" w:cs="MS Sans Serif"/>
          <w:sz w:val="16"/>
          <w:szCs w:val="16"/>
          <w:lang w:val="es-ES_tradnl"/>
        </w:rPr>
      </w:pPr>
    </w:p>
    <w:sectPr w:rsidR="0000000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08B7"/>
    <w:rsid w:val="00B708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DBAFE9-29DC-47BC-A768-1103B30B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617</Words>
  <Characters>3394</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Carlos Eduardo Calderon Vildoso</cp:lastModifiedBy>
  <cp:revision>2</cp:revision>
  <dcterms:created xsi:type="dcterms:W3CDTF">2015-09-26T01:28:00Z</dcterms:created>
  <dcterms:modified xsi:type="dcterms:W3CDTF">2015-09-26T01:28:00Z</dcterms:modified>
</cp:coreProperties>
</file>