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right"/>
        <w:rPr>
          <w:rFonts w:ascii="Times New Roman" w:hAnsi="Times New Roman"/>
        </w:rPr>
      </w:pPr>
      <w:r>
        <w:rPr>
          <w:rFonts w:ascii="Times New Roman" w:hAnsi="Times New Roman"/>
          <w:b/>
          <w:bCs/>
        </w:rPr>
        <w:t>Mark Edwin Peteso</w:t>
      </w:r>
      <w:r>
        <w:rPr>
          <w:rFonts w:ascii="Times New Roman" w:hAnsi="Times New Roman"/>
          <w:b/>
          <w:bCs/>
        </w:rPr>
        <w:t>n</w:t>
      </w:r>
    </w:p>
    <w:p>
      <w:pPr>
        <w:pStyle w:val="Normal"/>
        <w:bidi w:val="0"/>
        <w:jc w:val="right"/>
        <w:rPr>
          <w:rFonts w:ascii="Times New Roman" w:hAnsi="Times New Roman"/>
        </w:rPr>
      </w:pPr>
      <w:r>
        <w:rPr>
          <w:rFonts w:ascii="Times New Roman" w:hAnsi="Times New Roman"/>
        </w:rPr>
        <w:t>George Mason University</w:t>
      </w:r>
    </w:p>
    <w:p>
      <w:pPr>
        <w:pStyle w:val="Normal"/>
        <w:bidi w:val="0"/>
        <w:jc w:val="right"/>
        <w:rPr>
          <w:rFonts w:ascii="Times New Roman" w:hAnsi="Times New Roman"/>
          <w:i/>
          <w:i/>
          <w:iCs/>
        </w:rPr>
      </w:pPr>
      <w:r>
        <w:rPr>
          <w:rFonts w:ascii="Times New Roman" w:hAnsi="Times New Roman"/>
          <w:i/>
          <w:iCs/>
        </w:rPr>
        <w:t>CS 860: Social Media</w:t>
      </w:r>
    </w:p>
    <w:p>
      <w:pPr>
        <w:pStyle w:val="Normal"/>
        <w:bidi w:val="0"/>
        <w:jc w:val="right"/>
        <w:rPr>
          <w:rFonts w:ascii="Times New Roman" w:hAnsi="Times New Roman"/>
        </w:rPr>
      </w:pPr>
      <w:r>
        <w:rPr>
          <w:rFonts w:ascii="Times New Roman" w:hAnsi="Times New Roman"/>
        </w:rPr>
        <w:t>2020 Fall</w:t>
      </w:r>
    </w:p>
    <w:p>
      <w:pPr>
        <w:pStyle w:val="Normal"/>
        <w:bidi w:val="0"/>
        <w:jc w:val="right"/>
        <w:rPr/>
      </w:pPr>
      <w:r>
        <w:rPr>
          <w:rFonts w:ascii="Times New Roman" w:hAnsi="Times New Roman"/>
        </w:rPr>
        <w:t>April 7</w:t>
      </w:r>
      <w:r>
        <w:rPr>
          <w:rFonts w:ascii="Times New Roman" w:hAnsi="Times New Roman"/>
        </w:rPr>
        <w:t>, 2021</w:t>
      </w:r>
    </w:p>
    <w:p>
      <w:pPr>
        <w:pStyle w:val="Normal"/>
        <w:bidi w:val="0"/>
        <w:jc w:val="right"/>
        <w:rPr>
          <w:rFonts w:ascii="Times New Roman" w:hAnsi="Times New Roman"/>
        </w:rPr>
      </w:pPr>
      <w:r>
        <w:rPr>
          <w:rFonts w:ascii="Times New Roman" w:hAnsi="Times New Roman"/>
        </w:rPr>
      </w:r>
    </w:p>
    <w:p>
      <w:pPr>
        <w:pStyle w:val="Normal"/>
        <w:bidi w:val="0"/>
        <w:jc w:val="center"/>
        <w:rPr>
          <w:rFonts w:ascii="Times New Roman" w:hAnsi="Times New Roman"/>
          <w:b/>
          <w:b/>
          <w:bCs/>
          <w:sz w:val="32"/>
          <w:szCs w:val="32"/>
        </w:rPr>
      </w:pPr>
      <w:r>
        <w:rPr>
          <w:rFonts w:ascii="Times New Roman" w:hAnsi="Times New Roman"/>
          <w:b/>
          <w:bCs/>
          <w:sz w:val="32"/>
          <w:szCs w:val="32"/>
        </w:rPr>
        <w:t>What Does a Library Do?</w:t>
      </w:r>
    </w:p>
    <w:p>
      <w:pPr>
        <w:pStyle w:val="Normal"/>
        <w:bidi w:val="0"/>
        <w:jc w:val="center"/>
        <w:rPr>
          <w:rFonts w:ascii="Times New Roman" w:hAnsi="Times New Roman"/>
          <w:sz w:val="32"/>
          <w:szCs w:val="32"/>
        </w:rPr>
      </w:pPr>
      <w:r>
        <w:rPr>
          <w:rFonts w:ascii="Times New Roman" w:hAnsi="Times New Roman"/>
          <w:sz w:val="32"/>
          <w:szCs w:val="32"/>
        </w:rPr>
        <w:t>Special Collections Sentiment</w:t>
      </w:r>
    </w:p>
    <w:p>
      <w:pPr>
        <w:pStyle w:val="Normal"/>
        <w:bidi w:val="0"/>
        <w:jc w:val="right"/>
        <w:rPr>
          <w:rFonts w:ascii="Times New Roman" w:hAnsi="Times New Roman"/>
          <w:sz w:val="32"/>
          <w:szCs w:val="32"/>
        </w:rPr>
      </w:pPr>
      <w:r>
        <w:rPr>
          <w:rFonts w:ascii="Times New Roman" w:hAnsi="Times New Roman"/>
          <w:sz w:val="32"/>
          <w:szCs w:val="32"/>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b/>
          <w:b/>
          <w:bCs/>
        </w:rPr>
      </w:pPr>
      <w:r>
        <w:rPr>
          <w:rFonts w:ascii="Times New Roman" w:hAnsi="Times New Roman"/>
          <w:b/>
          <w:bCs/>
        </w:rPr>
        <w:t>Background</w:t>
      </w:r>
    </w:p>
    <w:p>
      <w:pPr>
        <w:pStyle w:val="Normal"/>
        <w:bidi w:val="0"/>
        <w:jc w:val="left"/>
        <w:rPr>
          <w:rFonts w:ascii="Times New Roman" w:hAnsi="Times New Roman"/>
        </w:rPr>
      </w:pPr>
      <w:r>
        <w:rPr>
          <w:rFonts w:ascii="Times New Roman" w:hAnsi="Times New Roman"/>
        </w:rPr>
      </w:r>
    </w:p>
    <w:p>
      <w:pPr>
        <w:pStyle w:val="Normal"/>
        <w:bidi w:val="0"/>
        <w:jc w:val="left"/>
        <w:rPr/>
      </w:pPr>
      <w:r>
        <w:rPr>
          <w:rFonts w:ascii="Times New Roman" w:hAnsi="Times New Roman"/>
        </w:rPr>
        <w:t xml:space="preserve">It has now been over a generation since the Bosnian War, the first disintegration of what had been Yugoslavia. </w:t>
      </w:r>
      <w:r>
        <w:rPr>
          <w:rFonts w:ascii="Times New Roman" w:hAnsi="Times New Roman"/>
        </w:rPr>
        <w:t xml:space="preserve">Discussion of </w:t>
      </w:r>
      <w:r>
        <w:rPr>
          <w:rFonts w:ascii="Times New Roman" w:hAnsi="Times New Roman"/>
        </w:rPr>
        <w:t xml:space="preserve">the conflict at the time </w:t>
      </w:r>
      <w:r>
        <w:rPr>
          <w:rFonts w:ascii="Times New Roman" w:hAnsi="Times New Roman"/>
        </w:rPr>
        <w:t xml:space="preserve">largely </w:t>
      </w:r>
      <w:r>
        <w:rPr>
          <w:rFonts w:ascii="Times New Roman" w:hAnsi="Times New Roman"/>
        </w:rPr>
        <w:t>focused on the horrifying violence taking place once again in Europe</w:t>
      </w:r>
      <w:r>
        <w:rPr>
          <w:rFonts w:ascii="Times New Roman" w:hAnsi="Times New Roman"/>
        </w:rPr>
        <w:t>. A</w:t>
      </w:r>
      <w:r>
        <w:rPr>
          <w:rFonts w:ascii="Times New Roman" w:hAnsi="Times New Roman"/>
        </w:rPr>
        <w:t>nother aspect that shocked many</w:t>
      </w:r>
      <w:r>
        <w:rPr>
          <w:rFonts w:ascii="Times New Roman" w:hAnsi="Times New Roman"/>
        </w:rPr>
        <w:t>, however,</w:t>
      </w:r>
      <w:r>
        <w:rPr>
          <w:rFonts w:ascii="Times New Roman" w:hAnsi="Times New Roman"/>
        </w:rPr>
        <w:t xml:space="preserve"> was the ways in which the destruction of cultural heritage served as a tool of genocide during the four years of war. Effective as any carpet-bombing raid, armies on all sides set fire to many </w:t>
      </w:r>
      <w:r>
        <w:rPr>
          <w:rFonts w:ascii="Times New Roman" w:hAnsi="Times New Roman"/>
        </w:rPr>
        <w:t xml:space="preserve">historically-significant </w:t>
      </w:r>
      <w:r>
        <w:rPr>
          <w:rFonts w:ascii="Times New Roman" w:hAnsi="Times New Roman"/>
        </w:rPr>
        <w:t>monasteries, schools, churches</w:t>
      </w:r>
      <w:r>
        <w:rPr>
          <w:rFonts w:ascii="Times New Roman" w:hAnsi="Times New Roman"/>
        </w:rPr>
        <w:t>,</w:t>
      </w:r>
      <w:r>
        <w:rPr>
          <w:rFonts w:ascii="Times New Roman" w:hAnsi="Times New Roman"/>
        </w:rPr>
        <w:t xml:space="preserve"> and mosques</w:t>
      </w:r>
      <w:r>
        <w:rPr>
          <w:rFonts w:ascii="Times New Roman" w:hAnsi="Times New Roman"/>
        </w:rPr>
        <w:t>.</w:t>
      </w:r>
      <w:r>
        <w:rPr>
          <w:rFonts w:ascii="Times New Roman" w:hAnsi="Times New Roman"/>
        </w:rPr>
        <w:t xml:space="preserve"> The most dramatic example occurred in May of 1992, when Serbian troops directed white phosphorous artillery shells at the Oriental Institute in Sarajevo, completely destroying one of the world's most important collections of medieval Islamic manuscripts. Two months later, the National and University Library of Bosnia and Herzegovina, housed in </w:t>
      </w:r>
      <w:r>
        <w:rPr>
          <w:rFonts w:ascii="Times New Roman" w:hAnsi="Times New Roman"/>
        </w:rPr>
        <w:t>Sarajevo's</w:t>
      </w:r>
      <w:r>
        <w:rPr>
          <w:rFonts w:ascii="Times New Roman" w:hAnsi="Times New Roman"/>
        </w:rPr>
        <w:t xml:space="preserve"> historic city hall, was also effectively destroyed</w:t>
      </w:r>
      <w:r>
        <w:rPr>
          <w:rFonts w:ascii="Times New Roman" w:hAnsi="Times New Roman"/>
        </w:rPr>
        <w:t>.</w:t>
      </w:r>
      <w:r>
        <w:rPr>
          <w:rFonts w:ascii="Times New Roman" w:hAnsi="Times New Roman"/>
        </w:rPr>
        <w:t xml:space="preserve"> </w:t>
      </w:r>
      <w:r>
        <w:rPr>
          <w:rFonts w:ascii="Times New Roman" w:hAnsi="Times New Roman"/>
        </w:rPr>
        <w:t>U</w:t>
      </w:r>
      <w:r>
        <w:rPr>
          <w:rFonts w:ascii="Times New Roman" w:hAnsi="Times New Roman"/>
        </w:rPr>
        <w:t>nique archiv</w:t>
      </w:r>
      <w:r>
        <w:rPr>
          <w:rFonts w:ascii="Times New Roman" w:hAnsi="Times New Roman"/>
        </w:rPr>
        <w:t>al</w:t>
      </w:r>
      <w:r>
        <w:rPr>
          <w:rFonts w:ascii="Times New Roman" w:hAnsi="Times New Roman"/>
        </w:rPr>
        <w:t xml:space="preserve"> collections and rare codices</w:t>
      </w:r>
      <w:r>
        <w:rPr>
          <w:rFonts w:ascii="Times New Roman" w:hAnsi="Times New Roman"/>
        </w:rPr>
        <w:t xml:space="preserve"> were lost</w:t>
      </w:r>
      <w:r>
        <w:rPr>
          <w:rFonts w:ascii="Times New Roman" w:hAnsi="Times New Roman"/>
        </w:rPr>
        <w:t>.</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International calls went out almost immediately to rebuild the collections of Sarajevo, but aid agencies were able to do very little on the ground until the war was over. Cultural heritage groups offered their sympathy, and librarians looked for replacements to donate, but the results were disappointing and never really accomplished much, even after decades of effort.</w:t>
      </w:r>
      <w:r>
        <w:rPr>
          <w:rStyle w:val="FootnoteAnchor"/>
          <w:rFonts w:ascii="Times New Roman" w:hAnsi="Times New Roman"/>
        </w:rPr>
        <w:footnoteReference w:id="2"/>
      </w:r>
      <w:r>
        <w:rPr>
          <w:rFonts w:ascii="Times New Roman" w:hAnsi="Times New Roman"/>
        </w:rPr>
        <w:t xml:space="preserve"> Although the city hall was eventually rebuilt years after the war, few manuscripts were ever recovered or replaced in any way. City leaders moved the National Library,</w:t>
      </w:r>
      <w:r>
        <w:rPr>
          <w:rStyle w:val="FootnoteAnchor"/>
          <w:rFonts w:ascii="Times New Roman" w:hAnsi="Times New Roman"/>
        </w:rPr>
        <w:footnoteReference w:id="3"/>
      </w:r>
      <w:r>
        <w:rPr>
          <w:rFonts w:ascii="Times New Roman" w:hAnsi="Times New Roman"/>
        </w:rPr>
        <w:t xml:space="preserve"> specializing now in online sources, to the university campus, and the Oriental Institute opened as a research center with less than 1</w:t>
      </w:r>
      <w:r>
        <w:rPr>
          <w:rFonts w:ascii="Times New Roman" w:hAnsi="Times New Roman"/>
        </w:rPr>
        <w:t>%</w:t>
      </w:r>
      <w:r>
        <w:rPr>
          <w:rFonts w:ascii="Times New Roman" w:hAnsi="Times New Roman"/>
        </w:rPr>
        <w:t xml:space="preserve"> of its former collection</w:t>
      </w:r>
      <w:r>
        <w:rPr>
          <w:rStyle w:val="FootnoteAnchor"/>
          <w:rFonts w:ascii="Times New Roman" w:hAnsi="Times New Roman"/>
        </w:rPr>
        <w:footnoteReference w:id="4"/>
      </w:r>
      <w:r>
        <w:rPr>
          <w:rFonts w:ascii="Times New Roman" w:hAnsi="Times New Roman"/>
        </w:rPr>
        <w:t>.</w:t>
      </w:r>
      <w:r>
        <w:rPr>
          <w:rFonts w:ascii="Times New Roman" w:hAnsi="Times New Roman"/>
        </w:rPr>
        <w:t xml:space="preserve"> </w:t>
      </w:r>
      <w:r>
        <w:rPr>
          <w:rFonts w:ascii="Times New Roman" w:hAnsi="Times New Roman"/>
        </w:rPr>
        <w:t xml:space="preserve">Important resources for understanding the history of a city and many aspects of life in the Ottoman Empire are gone forever. </w:t>
      </w:r>
    </w:p>
    <w:p>
      <w:pPr>
        <w:pStyle w:val="Normal"/>
        <w:bidi w:val="0"/>
        <w:jc w:val="left"/>
        <w:rPr>
          <w:rFonts w:ascii="Times New Roman" w:hAnsi="Times New Roman"/>
        </w:rPr>
      </w:pPr>
      <w:r>
        <w:rPr>
          <w:rFonts w:ascii="Times New Roman" w:hAnsi="Times New Roman"/>
        </w:rPr>
      </w:r>
    </w:p>
    <w:p>
      <w:pPr>
        <w:pStyle w:val="Normal"/>
        <w:bidi w:val="0"/>
        <w:jc w:val="left"/>
        <w:rPr/>
      </w:pPr>
      <w:r>
        <w:rPr>
          <w:rFonts w:ascii="Times New Roman" w:hAnsi="Times New Roman"/>
        </w:rPr>
        <w:t>Countless disasters such as these litter the wake of library history. Fire, mold, and war find the crowded bookshelves just as easily as patrons</w:t>
      </w:r>
      <w:r>
        <w:rPr>
          <w:rFonts w:ascii="Times New Roman" w:hAnsi="Times New Roman"/>
        </w:rPr>
        <w:t>. W</w:t>
      </w:r>
      <w:r>
        <w:rPr>
          <w:rFonts w:ascii="Times New Roman" w:hAnsi="Times New Roman"/>
        </w:rPr>
        <w:t>hen special collections of rare books or archival documents become damaged, as in Sarajevo, that diminishes our world culture in cris</w:t>
      </w:r>
      <w:r>
        <w:rPr>
          <w:rFonts w:ascii="Times New Roman" w:hAnsi="Times New Roman"/>
        </w:rPr>
        <w:t>es</w:t>
      </w:r>
      <w:r>
        <w:rPr>
          <w:rFonts w:ascii="Times New Roman" w:hAnsi="Times New Roman"/>
        </w:rPr>
        <w:t xml:space="preserve"> that cause strong emotional reactions in many people.</w:t>
      </w:r>
      <w:r>
        <w:rPr>
          <w:rStyle w:val="FootnoteAnchor"/>
          <w:rFonts w:ascii="Times New Roman" w:hAnsi="Times New Roman"/>
        </w:rPr>
        <w:footnoteReference w:id="5"/>
      </w:r>
      <w:r>
        <w:rPr>
          <w:rFonts w:ascii="Times New Roman" w:hAnsi="Times New Roman"/>
        </w:rPr>
        <w:t xml:space="preserve"> You would think that we would be spurred to learn from these events. In the case of Bosnia-Herzegovina, however, the international community turned away from the Sarajevo libraries as a research topic just as much as they neglected to help in concrete ways. After the first public reactions around the world, not much more was heard about Sarajevo's libraries, certainly not in English-language scholarship, which in a few cases has looked at political issues such as the </w:t>
      </w:r>
      <w:r>
        <w:rPr>
          <w:rFonts w:ascii="Times New Roman" w:hAnsi="Times New Roman"/>
        </w:rPr>
        <w:t xml:space="preserve">international </w:t>
      </w:r>
      <w:r>
        <w:rPr>
          <w:rFonts w:ascii="Times New Roman" w:hAnsi="Times New Roman"/>
        </w:rPr>
        <w:t xml:space="preserve">laws protecting cultural heritage, </w:t>
      </w:r>
      <w:r>
        <w:rPr>
          <w:rFonts w:ascii="Times New Roman" w:hAnsi="Times New Roman"/>
        </w:rPr>
        <w:t xml:space="preserve">or the destructive </w:t>
      </w:r>
      <w:r>
        <w:rPr>
          <w:rFonts w:ascii="Times New Roman" w:hAnsi="Times New Roman"/>
        </w:rPr>
        <w:t>Bosnian cultural policies since the war.</w:t>
      </w:r>
      <w:r>
        <w:rPr>
          <w:rStyle w:val="FootnoteAnchor"/>
          <w:rFonts w:ascii="Times New Roman" w:hAnsi="Times New Roman"/>
        </w:rPr>
        <w:footnoteReference w:id="6"/>
      </w:r>
      <w:r>
        <w:rPr>
          <w:rFonts w:ascii="Times New Roman" w:hAnsi="Times New Roman"/>
        </w:rPr>
        <w:t xml:space="preserve"> </w:t>
      </w:r>
      <w:r>
        <w:rPr>
          <w:rFonts w:ascii="Times New Roman" w:hAnsi="Times New Roman"/>
        </w:rPr>
        <w:t>M</w:t>
      </w:r>
      <w:r>
        <w:rPr>
          <w:rFonts w:ascii="Times New Roman" w:hAnsi="Times New Roman"/>
        </w:rPr>
        <w:t xml:space="preserve">y research </w:t>
      </w:r>
      <w:r>
        <w:rPr>
          <w:rFonts w:ascii="Times New Roman" w:hAnsi="Times New Roman"/>
        </w:rPr>
        <w:t>here does nothing to provide</w:t>
      </w:r>
      <w:r>
        <w:rPr>
          <w:rFonts w:ascii="Times New Roman" w:hAnsi="Times New Roman"/>
        </w:rPr>
        <w:t xml:space="preserve"> further insight into the lessons of Sarajevo for the preservation or recovery of cultural heritage. What I want to do, however, is use these historic events, and our continuing public memory of them, to investigate some of the underlying sentiments that spark our emotional </w:t>
      </w:r>
      <w:r>
        <w:rPr>
          <w:rFonts w:ascii="Times New Roman" w:hAnsi="Times New Roman"/>
        </w:rPr>
        <w:t>r</w:t>
      </w:r>
      <w:r>
        <w:rPr>
          <w:rFonts w:ascii="Times New Roman" w:hAnsi="Times New Roman"/>
        </w:rPr>
        <w:t xml:space="preserve">eactions and shape our views on the destruction </w:t>
      </w:r>
      <w:r>
        <w:rPr>
          <w:rFonts w:ascii="Times New Roman" w:hAnsi="Times New Roman"/>
        </w:rPr>
        <w:t xml:space="preserve">of </w:t>
      </w:r>
      <w:r>
        <w:rPr>
          <w:rFonts w:ascii="Times New Roman" w:hAnsi="Times New Roman"/>
        </w:rPr>
        <w:t>books more generally</w:t>
      </w:r>
      <w:r>
        <w:rPr>
          <w:rFonts w:ascii="Times New Roman" w:hAnsi="Times New Roman"/>
        </w:rPr>
        <w:t xml:space="preserve">. </w:t>
      </w:r>
      <w:r>
        <w:rPr>
          <w:rFonts w:ascii="Times New Roman" w:hAnsi="Times New Roman"/>
        </w:rPr>
        <w:t xml:space="preserve"> </w:t>
      </w:r>
      <w:r>
        <w:rPr>
          <w:rFonts w:ascii="Times New Roman" w:hAnsi="Times New Roman"/>
        </w:rPr>
        <w:t xml:space="preserve">Along the way, I hope to call attention to the destruction of Balkan cultural heritage in general (going back to the early twentieth century!) and spark further discussion of how librarians and other stewards can respond to wartime attacks on culture. </w:t>
      </w:r>
      <w:r>
        <w:rPr>
          <w:rFonts w:ascii="Times New Roman" w:hAnsi="Times New Roman"/>
        </w:rPr>
        <w:t xml:space="preserve">My </w:t>
      </w:r>
      <w:r>
        <w:rPr>
          <w:rFonts w:ascii="Times New Roman" w:hAnsi="Times New Roman"/>
        </w:rPr>
        <w:t xml:space="preserve">particular </w:t>
      </w:r>
      <w:r>
        <w:rPr>
          <w:rFonts w:ascii="Times New Roman" w:hAnsi="Times New Roman"/>
        </w:rPr>
        <w:t>interest is American librari</w:t>
      </w:r>
      <w:r>
        <w:rPr>
          <w:rFonts w:ascii="Times New Roman" w:hAnsi="Times New Roman"/>
        </w:rPr>
        <w:t>es holding special collections,</w:t>
      </w:r>
      <w:r>
        <w:rPr>
          <w:rFonts w:ascii="Times New Roman" w:hAnsi="Times New Roman"/>
        </w:rPr>
        <w:t xml:space="preserve"> </w:t>
      </w:r>
      <w:r>
        <w:rPr>
          <w:rFonts w:ascii="Times New Roman" w:hAnsi="Times New Roman"/>
        </w:rPr>
        <w:t xml:space="preserve"> </w:t>
      </w:r>
      <w:r>
        <w:rPr>
          <w:rFonts w:ascii="Times New Roman" w:hAnsi="Times New Roman"/>
        </w:rPr>
        <w:t xml:space="preserve">because </w:t>
      </w:r>
      <w:r>
        <w:rPr>
          <w:rFonts w:ascii="Times New Roman" w:hAnsi="Times New Roman"/>
        </w:rPr>
        <w:t>they</w:t>
      </w:r>
      <w:r>
        <w:rPr>
          <w:rFonts w:ascii="Times New Roman" w:hAnsi="Times New Roman"/>
        </w:rPr>
        <w:t xml:space="preserve"> hold so much unique material </w:t>
      </w:r>
      <w:r>
        <w:rPr>
          <w:rFonts w:ascii="Times New Roman" w:hAnsi="Times New Roman"/>
        </w:rPr>
        <w:t xml:space="preserve">from around the world </w:t>
      </w:r>
      <w:r>
        <w:rPr>
          <w:rFonts w:ascii="Times New Roman" w:hAnsi="Times New Roman"/>
        </w:rPr>
        <w:t xml:space="preserve">that has limited connections to contemporary American culture. </w:t>
      </w:r>
      <w:r>
        <w:rPr>
          <w:rFonts w:ascii="Times New Roman" w:hAnsi="Times New Roman"/>
        </w:rPr>
        <w:t xml:space="preserve">Their collections serve as global storehouses, and they can be especially important in determining what material can be recovered after disaster. </w:t>
      </w:r>
      <w:r>
        <w:rPr>
          <w:rFonts w:ascii="Times New Roman" w:hAnsi="Times New Roman"/>
        </w:rPr>
        <w:t xml:space="preserve">To </w:t>
      </w:r>
      <w:r>
        <w:rPr>
          <w:rFonts w:ascii="Times New Roman" w:hAnsi="Times New Roman"/>
        </w:rPr>
        <w:t xml:space="preserve">begin to </w:t>
      </w:r>
      <w:r>
        <w:rPr>
          <w:rFonts w:ascii="Times New Roman" w:hAnsi="Times New Roman"/>
        </w:rPr>
        <w:t xml:space="preserve">understand what such libraries do, I </w:t>
      </w:r>
      <w:r>
        <w:rPr>
          <w:rFonts w:ascii="Times New Roman" w:hAnsi="Times New Roman"/>
        </w:rPr>
        <w:t xml:space="preserve">first </w:t>
      </w:r>
      <w:r>
        <w:rPr>
          <w:rFonts w:ascii="Times New Roman" w:hAnsi="Times New Roman"/>
        </w:rPr>
        <w:t xml:space="preserve">look to the </w:t>
      </w:r>
      <w:r>
        <w:rPr>
          <w:rFonts w:ascii="Times New Roman" w:hAnsi="Times New Roman"/>
        </w:rPr>
        <w:t xml:space="preserve">their </w:t>
      </w:r>
      <w:r>
        <w:rPr>
          <w:rFonts w:ascii="Times New Roman" w:hAnsi="Times New Roman"/>
        </w:rPr>
        <w:t xml:space="preserve">own </w:t>
      </w:r>
      <w:r>
        <w:rPr>
          <w:rFonts w:ascii="Times New Roman" w:hAnsi="Times New Roman"/>
        </w:rPr>
        <w:t>thoughts on what cultural heritage is for, in general, and why written culture from around the world should be kept in their special collections.</w:t>
      </w:r>
      <w:r>
        <w:rPr>
          <w:rFonts w:ascii="Times New Roman" w:hAnsi="Times New Roman"/>
        </w:rPr>
        <w:t xml:space="preserve"> </w:t>
      </w:r>
      <w:r>
        <w:rPr>
          <w:rFonts w:ascii="Times New Roman" w:hAnsi="Times New Roman"/>
        </w:rPr>
        <w:t xml:space="preserve">A clear idea of their academic mission and their cultural significance makes it easier to understand what </w:t>
      </w:r>
      <w:r>
        <w:rPr>
          <w:rFonts w:ascii="Times New Roman" w:hAnsi="Times New Roman"/>
        </w:rPr>
        <w:t>American libraries can  do</w:t>
      </w:r>
      <w:r>
        <w:rPr>
          <w:rFonts w:ascii="Times New Roman" w:hAnsi="Times New Roman"/>
        </w:rPr>
        <w:t xml:space="preserve"> to protect </w:t>
      </w:r>
      <w:r>
        <w:rPr>
          <w:rFonts w:ascii="Times New Roman" w:hAnsi="Times New Roman"/>
        </w:rPr>
        <w:t>cultural heritage around the world, including efforts to influence the policies of the United States.</w:t>
      </w:r>
    </w:p>
    <w:p>
      <w:pPr>
        <w:pStyle w:val="Normal"/>
        <w:bidi w:val="0"/>
        <w:jc w:val="left"/>
        <w:rPr>
          <w:rFonts w:ascii="Times New Roman" w:hAnsi="Times New Roman"/>
        </w:rPr>
      </w:pPr>
      <w:r>
        <w:rPr>
          <w:rFonts w:ascii="Times New Roman" w:hAnsi="Times New Roman"/>
        </w:rPr>
      </w:r>
    </w:p>
    <w:p>
      <w:pPr>
        <w:pStyle w:val="Normal"/>
        <w:bidi w:val="0"/>
        <w:jc w:val="left"/>
        <w:rPr/>
      </w:pPr>
      <w:r>
        <w:rPr>
          <w:rFonts w:ascii="Times New Roman" w:hAnsi="Times New Roman"/>
        </w:rPr>
        <w:t xml:space="preserve">One significant work that does cover the destruction of Sarajevo's libraries is Richard Ovenden's recent </w:t>
      </w:r>
      <w:r>
        <w:rPr>
          <w:rFonts w:ascii="Times New Roman" w:hAnsi="Times New Roman"/>
          <w:i/>
          <w:iCs/>
        </w:rPr>
        <w:t>Burning the Books</w:t>
      </w:r>
      <w:r>
        <w:rPr>
          <w:rFonts w:ascii="Times New Roman" w:hAnsi="Times New Roman"/>
        </w:rPr>
        <w:t xml:space="preserve">. With the chapter, "Sarajevo Mon Amour," Ovenden lays out the events of 1992 step-by-step, with heavy stress on the heroism of librarians. He describes how attacks on cultural heritage harm the local community, and how rebuilding collections can play a part in helping people recover, </w:t>
      </w:r>
      <w:r>
        <w:rPr>
          <w:rFonts w:ascii="Times New Roman" w:hAnsi="Times New Roman"/>
        </w:rPr>
        <w:t>making</w:t>
      </w:r>
      <w:r>
        <w:rPr>
          <w:rFonts w:ascii="Times New Roman" w:hAnsi="Times New Roman"/>
        </w:rPr>
        <w:t xml:space="preserve"> them feel resilient. "Despite these threats the preservation of knowledge goes on"</w:t>
      </w:r>
      <w:r>
        <w:rPr>
          <w:rStyle w:val="FootnoteAnchor"/>
          <w:rFonts w:ascii="Times New Roman" w:hAnsi="Times New Roman"/>
        </w:rPr>
        <w:footnoteReference w:id="7"/>
      </w:r>
      <w:r>
        <w:rPr>
          <w:rFonts w:ascii="Times New Roman" w:hAnsi="Times New Roman"/>
        </w:rPr>
        <w:t xml:space="preserve">. </w:t>
      </w:r>
      <w:r>
        <w:rPr>
          <w:rFonts w:ascii="Times New Roman" w:hAnsi="Times New Roman"/>
        </w:rPr>
        <w:t xml:space="preserve"> Much of the preservation Ovenden discusses involves digitization.</w:t>
      </w:r>
      <w:r>
        <w:rPr>
          <w:rFonts w:ascii="Times New Roman" w:hAnsi="Times New Roman"/>
        </w:rPr>
        <w:t xml:space="preserve"> </w:t>
      </w:r>
      <w:r>
        <w:rPr>
          <w:rFonts w:ascii="Times New Roman" w:hAnsi="Times New Roman"/>
        </w:rPr>
        <w:t>Producing d</w:t>
      </w:r>
      <w:r>
        <w:rPr>
          <w:rFonts w:ascii="Times New Roman" w:hAnsi="Times New Roman"/>
        </w:rPr>
        <w:t xml:space="preserve">igital surrogates </w:t>
      </w:r>
      <w:r>
        <w:rPr>
          <w:rFonts w:ascii="Times New Roman" w:hAnsi="Times New Roman"/>
        </w:rPr>
        <w:t>makes it possible to give worldwide access to rare books, but it can also save books, in some ways,</w:t>
      </w:r>
      <w:r>
        <w:rPr>
          <w:rFonts w:ascii="Times New Roman" w:hAnsi="Times New Roman"/>
        </w:rPr>
        <w:t xml:space="preserve"> when the originals cannot be kept safe. </w:t>
      </w:r>
      <w:r>
        <w:rPr>
          <w:rFonts w:ascii="Times New Roman" w:hAnsi="Times New Roman"/>
        </w:rPr>
        <w:t xml:space="preserve">Many of the special collections in the United States have pursued digitization in a big way for over thirty years, in order to let the world know about their treasures but also to keep fragile paper from being handled by every researcher with an interest in the material. Their management of digital collections made up of rare written culture, is one more reason why American libraries play a significant role in how the international community responds to the destruction of libraries. András Riedlmayer, a fine arts cataloger at Harvard, has done a lot to put together what can be recovered from the items destroyed in Sarajevo into digital copies, available to everyone. His example, discussed below, illustrates the potential of librarians to work </w:t>
      </w:r>
      <w:r>
        <w:rPr>
          <w:rFonts w:ascii="Times New Roman" w:hAnsi="Times New Roman"/>
        </w:rPr>
        <w:t xml:space="preserve">directly </w:t>
      </w:r>
      <w:r>
        <w:rPr>
          <w:rFonts w:ascii="Times New Roman" w:hAnsi="Times New Roman"/>
        </w:rPr>
        <w:t xml:space="preserve">at cultural recovery and to advocate for stronger protections. </w:t>
      </w:r>
    </w:p>
    <w:p>
      <w:pPr>
        <w:pStyle w:val="Normal"/>
        <w:bidi w:val="0"/>
        <w:jc w:val="left"/>
        <w:rPr>
          <w:rFonts w:ascii="Times New Roman" w:hAnsi="Times New Roman"/>
        </w:rPr>
      </w:pPr>
      <w:r>
        <w:rPr>
          <w:rFonts w:ascii="Times New Roman" w:hAnsi="Times New Roman"/>
        </w:rPr>
      </w:r>
    </w:p>
    <w:p>
      <w:pPr>
        <w:pStyle w:val="Normal"/>
        <w:bidi w:val="0"/>
        <w:jc w:val="left"/>
        <w:rPr/>
      </w:pPr>
      <w:r>
        <w:rPr>
          <w:rFonts w:ascii="Times New Roman" w:hAnsi="Times New Roman"/>
        </w:rPr>
        <w:t>A very different result of American efforts to digitize library material can be seen in the presence of special collections on social media. Because they can pull interesting images from their stores of material and can link them to unfamiliar bits of history, the librarians and archivists who work with digital collections have strong voice</w:t>
      </w:r>
      <w:r>
        <w:rPr>
          <w:rFonts w:ascii="Times New Roman" w:hAnsi="Times New Roman"/>
        </w:rPr>
        <w:t>s</w:t>
      </w:r>
      <w:r>
        <w:rPr>
          <w:rFonts w:ascii="Times New Roman" w:hAnsi="Times New Roman"/>
        </w:rPr>
        <w:t xml:space="preserve"> in the social media </w:t>
      </w:r>
      <w:r>
        <w:rPr>
          <w:rFonts w:ascii="Times New Roman" w:hAnsi="Times New Roman"/>
        </w:rPr>
        <w:t xml:space="preserve">world </w:t>
      </w:r>
      <w:r>
        <w:rPr>
          <w:rFonts w:ascii="Times New Roman" w:hAnsi="Times New Roman"/>
        </w:rPr>
        <w:t xml:space="preserve">of academic libraries, even for the university as a whole. The curator of early books &amp; manuscripts at Harvard, John Overholt, has 22,689 followers on Twitter. Some </w:t>
      </w:r>
      <w:r>
        <w:rPr>
          <w:rFonts w:ascii="Times New Roman" w:hAnsi="Times New Roman"/>
        </w:rPr>
        <w:t xml:space="preserve">institutional collections </w:t>
      </w:r>
      <w:r>
        <w:rPr>
          <w:rFonts w:ascii="Times New Roman" w:hAnsi="Times New Roman"/>
        </w:rPr>
        <w:t>are even more popular. The libraries of the Smithsonian reach more than 66,000 people with their following on Instagram. Because prominent special collections post so much on Twitter, in particular, this study looks at tweets to track</w:t>
      </w:r>
      <w:r>
        <w:rPr>
          <w:rFonts w:ascii="Times New Roman" w:hAnsi="Times New Roman"/>
        </w:rPr>
        <w:t>,</w:t>
      </w:r>
      <w:r>
        <w:rPr>
          <w:rFonts w:ascii="Times New Roman" w:hAnsi="Times New Roman"/>
        </w:rPr>
        <w:t xml:space="preserve"> along with more general mission statements</w:t>
      </w:r>
      <w:r>
        <w:rPr>
          <w:rFonts w:ascii="Times New Roman" w:hAnsi="Times New Roman"/>
        </w:rPr>
        <w:t>,</w:t>
      </w:r>
      <w:r>
        <w:rPr>
          <w:rFonts w:ascii="Times New Roman" w:hAnsi="Times New Roman"/>
        </w:rPr>
        <w:t xml:space="preserve"> to show that special collections librarians in America </w:t>
      </w:r>
      <w:r>
        <w:rPr>
          <w:rFonts w:ascii="Times New Roman" w:hAnsi="Times New Roman"/>
        </w:rPr>
        <w:t xml:space="preserve">consider the digital turn to be not just a new tool in their work to assemble material for researchers, while keeping </w:t>
      </w:r>
      <w:r>
        <w:rPr>
          <w:rFonts w:ascii="Times New Roman" w:hAnsi="Times New Roman"/>
        </w:rPr>
        <w:t xml:space="preserve">that material </w:t>
      </w:r>
      <w:r>
        <w:rPr>
          <w:rFonts w:ascii="Times New Roman" w:hAnsi="Times New Roman"/>
        </w:rPr>
        <w:t xml:space="preserve">safe, but also a method for libraries to continue to control and shape the </w:t>
      </w:r>
      <w:r>
        <w:rPr>
          <w:rFonts w:ascii="Times New Roman" w:hAnsi="Times New Roman"/>
        </w:rPr>
        <w:t xml:space="preserve">resources </w:t>
      </w:r>
      <w:r>
        <w:rPr>
          <w:rFonts w:ascii="Times New Roman" w:hAnsi="Times New Roman"/>
        </w:rPr>
        <w:t xml:space="preserve">available to those of us trying understand the culture of the past. Even as the world gains the ability to access </w:t>
      </w:r>
      <w:r>
        <w:rPr>
          <w:rFonts w:ascii="Times New Roman" w:hAnsi="Times New Roman"/>
        </w:rPr>
        <w:t xml:space="preserve">so much information </w:t>
      </w:r>
      <w:r>
        <w:rPr>
          <w:rFonts w:ascii="Times New Roman" w:hAnsi="Times New Roman"/>
        </w:rPr>
        <w:t xml:space="preserve">online, in the humanities </w:t>
      </w:r>
      <w:r>
        <w:rPr>
          <w:rFonts w:ascii="Times New Roman" w:hAnsi="Times New Roman"/>
        </w:rPr>
        <w:t>knowledge</w:t>
      </w:r>
      <w:r>
        <w:rPr>
          <w:rFonts w:ascii="Times New Roman" w:hAnsi="Times New Roman"/>
        </w:rPr>
        <w:t xml:space="preserve"> continues to be shaped by libraries and, </w:t>
      </w:r>
      <w:r>
        <w:rPr>
          <w:rFonts w:ascii="Times New Roman" w:hAnsi="Times New Roman"/>
        </w:rPr>
        <w:t xml:space="preserve">when it comes to academic research, </w:t>
      </w:r>
      <w:r>
        <w:rPr>
          <w:rFonts w:ascii="Times New Roman" w:hAnsi="Times New Roman"/>
        </w:rPr>
        <w:t xml:space="preserve">to a surprising extent, by the </w:t>
      </w:r>
      <w:r>
        <w:rPr>
          <w:rFonts w:ascii="Times New Roman" w:hAnsi="Times New Roman"/>
        </w:rPr>
        <w:t xml:space="preserve">digital resources controlled by </w:t>
      </w:r>
      <w:r>
        <w:rPr>
          <w:rFonts w:ascii="Times New Roman" w:hAnsi="Times New Roman"/>
        </w:rPr>
        <w:t xml:space="preserve">special collections of American libraries. </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b/>
          <w:b/>
          <w:bCs/>
        </w:rPr>
      </w:pPr>
      <w:r>
        <w:rPr>
          <w:rFonts w:ascii="Times New Roman" w:hAnsi="Times New Roman"/>
          <w:b/>
          <w:bCs/>
        </w:rPr>
        <w:t>The Lost Things before the Last</w:t>
      </w:r>
    </w:p>
    <w:p>
      <w:pPr>
        <w:pStyle w:val="Normal"/>
        <w:bidi w:val="0"/>
        <w:jc w:val="left"/>
        <w:rPr>
          <w:rFonts w:ascii="Times New Roman" w:hAnsi="Times New Roman"/>
          <w:b/>
          <w:b/>
          <w:bCs/>
        </w:rPr>
      </w:pPr>
      <w:r>
        <w:rPr>
          <w:rFonts w:ascii="Times New Roman" w:hAnsi="Times New Roman"/>
          <w:b/>
          <w:bCs/>
        </w:rPr>
      </w:r>
    </w:p>
    <w:p>
      <w:pPr>
        <w:pStyle w:val="Normal"/>
        <w:bidi w:val="0"/>
        <w:jc w:val="left"/>
        <w:rPr/>
      </w:pPr>
      <w:r>
        <w:rPr>
          <w:rFonts w:ascii="Times New Roman" w:hAnsi="Times New Roman"/>
        </w:rPr>
        <w:t xml:space="preserve">Computers today give us the impression that the internet makes all data available, and that an archive is a store of everything that has ever happened. </w:t>
      </w:r>
      <w:r>
        <w:rPr>
          <w:rFonts w:ascii="Times New Roman" w:hAnsi="Times New Roman"/>
        </w:rPr>
        <w:t>A</w:t>
      </w:r>
      <w:r>
        <w:rPr>
          <w:rFonts w:ascii="Times New Roman" w:hAnsi="Times New Roman"/>
        </w:rPr>
        <w:t>rchivists are imagined as selecting the best items from a wealth of resources</w:t>
      </w:r>
      <w:r>
        <w:rPr>
          <w:rFonts w:ascii="Times New Roman" w:hAnsi="Times New Roman"/>
        </w:rPr>
        <w:t>, so that w</w:t>
      </w:r>
      <w:r>
        <w:rPr>
          <w:rFonts w:ascii="Times New Roman" w:hAnsi="Times New Roman"/>
        </w:rPr>
        <w:t>e frequently hear that collections of various types have been "curated"</w:t>
      </w:r>
      <w:r>
        <w:rPr>
          <w:rFonts w:ascii="Times New Roman" w:hAnsi="Times New Roman"/>
        </w:rPr>
        <w:t xml:space="preserve"> </w:t>
      </w:r>
      <w:r>
        <w:rPr>
          <w:rFonts w:ascii="Times New Roman" w:hAnsi="Times New Roman"/>
        </w:rPr>
        <w:t xml:space="preserve">by </w:t>
      </w:r>
      <w:r>
        <w:rPr>
          <w:rFonts w:ascii="Times New Roman" w:hAnsi="Times New Roman"/>
        </w:rPr>
        <w:t>some unseen expert,</w:t>
      </w:r>
      <w:r>
        <w:rPr>
          <w:rFonts w:ascii="Times New Roman" w:hAnsi="Times New Roman"/>
        </w:rPr>
        <w:t xml:space="preserve"> </w:t>
      </w:r>
      <w:r>
        <w:rPr>
          <w:rFonts w:ascii="Times New Roman" w:hAnsi="Times New Roman"/>
        </w:rPr>
        <w:t>with the authority to pick</w:t>
      </w:r>
      <w:r>
        <w:rPr>
          <w:rFonts w:ascii="Times New Roman" w:hAnsi="Times New Roman"/>
        </w:rPr>
        <w:t xml:space="preserve"> the best materials for users, </w:t>
      </w:r>
      <w:r>
        <w:rPr>
          <w:rFonts w:ascii="Times New Roman" w:hAnsi="Times New Roman"/>
        </w:rPr>
        <w:t xml:space="preserve">from song lists to clothing lines to bread. </w:t>
      </w:r>
      <w:r>
        <w:rPr>
          <w:rFonts w:ascii="Times New Roman" w:hAnsi="Times New Roman"/>
        </w:rPr>
        <w:t>Even Derrida wrote of the power that comes from controlling the archive.</w:t>
      </w:r>
      <w:r>
        <w:rPr>
          <w:rStyle w:val="FootnoteAnchor"/>
          <w:rFonts w:ascii="Times New Roman" w:hAnsi="Times New Roman"/>
        </w:rPr>
        <w:footnoteReference w:id="8"/>
      </w:r>
      <w:r>
        <w:rPr>
          <w:rFonts w:ascii="Times New Roman" w:hAnsi="Times New Roman"/>
        </w:rPr>
        <w:t xml:space="preserve"> </w:t>
      </w:r>
      <w:r>
        <w:rPr>
          <w:rFonts w:ascii="Times New Roman" w:hAnsi="Times New Roman"/>
        </w:rPr>
        <w:t xml:space="preserve">But none of this has anything to do with how </w:t>
      </w:r>
      <w:r>
        <w:rPr>
          <w:rFonts w:ascii="Times New Roman" w:hAnsi="Times New Roman"/>
        </w:rPr>
        <w:t>historical ar</w:t>
      </w:r>
      <w:r>
        <w:rPr>
          <w:rFonts w:ascii="Times New Roman" w:hAnsi="Times New Roman"/>
        </w:rPr>
        <w:t xml:space="preserve">chives work. </w:t>
      </w:r>
      <w:r>
        <w:rPr>
          <w:rFonts w:ascii="Times New Roman" w:hAnsi="Times New Roman"/>
        </w:rPr>
        <w:t>It is not uncommon for historians to</w:t>
      </w:r>
      <w:r>
        <w:rPr>
          <w:rFonts w:ascii="Times New Roman" w:hAnsi="Times New Roman"/>
        </w:rPr>
        <w:t xml:space="preserve"> find that what they wanted to study is impossible, because </w:t>
      </w:r>
      <w:r>
        <w:rPr>
          <w:rFonts w:ascii="Times New Roman" w:hAnsi="Times New Roman"/>
        </w:rPr>
        <w:t>no documentary evidence can be found</w:t>
      </w:r>
      <w:r>
        <w:rPr>
          <w:rFonts w:ascii="Times New Roman" w:hAnsi="Times New Roman"/>
        </w:rPr>
        <w:t xml:space="preserve"> in </w:t>
      </w:r>
      <w:r>
        <w:rPr>
          <w:rFonts w:ascii="Times New Roman" w:hAnsi="Times New Roman"/>
        </w:rPr>
        <w:t>any collection</w:t>
      </w:r>
      <w:r>
        <w:rPr>
          <w:rFonts w:ascii="Times New Roman" w:hAnsi="Times New Roman"/>
        </w:rPr>
        <w:t xml:space="preserve">. With new interests and new populations becoming the subject of humanities research (which is </w:t>
      </w:r>
      <w:r>
        <w:rPr>
          <w:rFonts w:ascii="Times New Roman" w:hAnsi="Times New Roman"/>
        </w:rPr>
        <w:t>the normal evolution of academic scholarship)</w:t>
      </w:r>
      <w:r>
        <w:rPr>
          <w:rFonts w:ascii="Times New Roman" w:hAnsi="Times New Roman"/>
        </w:rPr>
        <w:t>, frustration grows as archives increasingly do not have what researchers need</w:t>
      </w:r>
      <w:r>
        <w:rPr>
          <w:rFonts w:ascii="Times New Roman" w:hAnsi="Times New Roman"/>
        </w:rPr>
        <w:t xml:space="preserve">, </w:t>
      </w:r>
      <w:r>
        <w:rPr>
          <w:rFonts w:ascii="Times New Roman" w:hAnsi="Times New Roman"/>
        </w:rPr>
        <w:t xml:space="preserve">and </w:t>
      </w:r>
      <w:r>
        <w:rPr>
          <w:rFonts w:ascii="Times New Roman" w:hAnsi="Times New Roman"/>
        </w:rPr>
        <w:t xml:space="preserve">what they </w:t>
      </w:r>
      <w:r>
        <w:rPr>
          <w:rFonts w:ascii="Times New Roman" w:hAnsi="Times New Roman"/>
        </w:rPr>
        <w:t>have come to expect</w:t>
      </w:r>
      <w:r>
        <w:rPr>
          <w:rFonts w:ascii="Times New Roman" w:hAnsi="Times New Roman"/>
        </w:rPr>
        <w:t xml:space="preserve"> from internet research</w:t>
      </w:r>
      <w:r>
        <w:rPr>
          <w:rFonts w:ascii="Times New Roman" w:hAnsi="Times New Roman"/>
        </w:rPr>
        <w:t xml:space="preserve">. </w:t>
      </w:r>
      <w:r>
        <w:rPr>
          <w:rFonts w:ascii="Times New Roman" w:hAnsi="Times New Roman"/>
        </w:rPr>
        <w:t>In this situation, m</w:t>
      </w:r>
      <w:r>
        <w:rPr>
          <w:rFonts w:ascii="Times New Roman" w:hAnsi="Times New Roman"/>
        </w:rPr>
        <w:t>any special collections have taken it upon themselves to increase their holdings to reflect their communities better, and in some cases, to address injustices of the past.</w:t>
      </w:r>
      <w:r>
        <w:rPr>
          <w:rFonts w:ascii="Times New Roman" w:hAnsi="Times New Roman"/>
        </w:rPr>
        <w:t xml:space="preserve"> Gaps in the archival record are understood to be a result of oppression</w:t>
      </w:r>
      <w:r>
        <w:rPr>
          <w:rFonts w:ascii="Times New Roman" w:hAnsi="Times New Roman"/>
        </w:rPr>
        <w:t>, so the answer is to fill that emptiness</w:t>
      </w:r>
      <w:r>
        <w:rPr>
          <w:rFonts w:ascii="Times New Roman" w:hAnsi="Times New Roman"/>
        </w:rPr>
        <w:t>.</w:t>
      </w:r>
      <w:r>
        <w:rPr>
          <w:rFonts w:ascii="Times New Roman" w:hAnsi="Times New Roman"/>
        </w:rPr>
        <w:t xml:space="preserve"> </w:t>
      </w:r>
      <w:r>
        <w:rPr>
          <w:rFonts w:ascii="Times New Roman" w:hAnsi="Times New Roman"/>
        </w:rPr>
        <w:t>To e</w:t>
      </w:r>
      <w:r>
        <w:rPr>
          <w:rFonts w:ascii="Times New Roman" w:hAnsi="Times New Roman"/>
        </w:rPr>
        <w:t>xpand collections</w:t>
      </w:r>
      <w:r>
        <w:rPr>
          <w:rFonts w:ascii="Times New Roman" w:hAnsi="Times New Roman"/>
        </w:rPr>
        <w:t>, however,</w:t>
      </w:r>
      <w:r>
        <w:rPr>
          <w:rFonts w:ascii="Times New Roman" w:hAnsi="Times New Roman"/>
        </w:rPr>
        <w:t xml:space="preserve"> takes a great deal of creativity from </w:t>
      </w:r>
      <w:r>
        <w:rPr>
          <w:rFonts w:ascii="Times New Roman" w:hAnsi="Times New Roman"/>
        </w:rPr>
        <w:t xml:space="preserve">both </w:t>
      </w:r>
      <w:r>
        <w:rPr>
          <w:rFonts w:ascii="Times New Roman" w:hAnsi="Times New Roman"/>
        </w:rPr>
        <w:t xml:space="preserve">librarians and </w:t>
      </w:r>
      <w:r>
        <w:rPr>
          <w:rFonts w:ascii="Times New Roman" w:hAnsi="Times New Roman"/>
        </w:rPr>
        <w:t>researchers</w:t>
      </w:r>
      <w:r>
        <w:rPr>
          <w:rFonts w:ascii="Times New Roman" w:hAnsi="Times New Roman"/>
        </w:rPr>
        <w:t xml:space="preserve">, </w:t>
      </w:r>
      <w:r>
        <w:rPr>
          <w:rFonts w:ascii="Times New Roman" w:hAnsi="Times New Roman"/>
        </w:rPr>
        <w:t>because in some cases</w:t>
      </w:r>
      <w:r>
        <w:rPr>
          <w:rFonts w:ascii="Times New Roman" w:hAnsi="Times New Roman"/>
        </w:rPr>
        <w:t xml:space="preserve"> the </w:t>
      </w:r>
      <w:r>
        <w:rPr>
          <w:rFonts w:ascii="Times New Roman" w:hAnsi="Times New Roman"/>
        </w:rPr>
        <w:t xml:space="preserve">desired </w:t>
      </w:r>
      <w:r>
        <w:rPr>
          <w:rFonts w:ascii="Times New Roman" w:hAnsi="Times New Roman"/>
        </w:rPr>
        <w:t>documents were</w:t>
      </w:r>
      <w:r>
        <w:rPr>
          <w:rFonts w:ascii="Times New Roman" w:hAnsi="Times New Roman"/>
        </w:rPr>
        <w:t xml:space="preserve"> never created or retained</w:t>
      </w:r>
      <w:r>
        <w:rPr>
          <w:rFonts w:ascii="Times New Roman" w:hAnsi="Times New Roman"/>
        </w:rPr>
        <w:t xml:space="preserve"> in </w:t>
      </w:r>
      <w:r>
        <w:rPr>
          <w:rFonts w:ascii="Times New Roman" w:hAnsi="Times New Roman"/>
        </w:rPr>
        <w:t>the past</w:t>
      </w:r>
      <w:r>
        <w:rPr>
          <w:rFonts w:ascii="Times New Roman" w:hAnsi="Times New Roman"/>
        </w:rPr>
        <w:t>. Dealing with absences has become a new model in serving patrons</w:t>
      </w:r>
      <w:r>
        <w:rPr>
          <w:rFonts w:ascii="Times New Roman" w:hAnsi="Times New Roman"/>
        </w:rPr>
        <w:t>,</w:t>
      </w:r>
      <w:r>
        <w:rPr>
          <w:rFonts w:ascii="Times New Roman" w:hAnsi="Times New Roman"/>
        </w:rPr>
        <w:t xml:space="preserve"> even </w:t>
      </w:r>
      <w:r>
        <w:rPr>
          <w:rFonts w:ascii="Times New Roman" w:hAnsi="Times New Roman"/>
        </w:rPr>
        <w:t>in a time when it</w:t>
      </w:r>
      <w:r>
        <w:rPr>
          <w:rFonts w:ascii="Times New Roman" w:hAnsi="Times New Roman"/>
        </w:rPr>
        <w:t xml:space="preserve"> feels like we are awash in information. </w:t>
      </w:r>
      <w:r>
        <w:rPr>
          <w:rFonts w:ascii="Times New Roman" w:hAnsi="Times New Roman"/>
        </w:rPr>
        <w:t xml:space="preserve">The responses of wealthy American institutions </w:t>
      </w:r>
      <w:r>
        <w:rPr>
          <w:rFonts w:ascii="Times New Roman" w:hAnsi="Times New Roman"/>
        </w:rPr>
        <w:t xml:space="preserve">to </w:t>
      </w:r>
      <w:r>
        <w:rPr>
          <w:rFonts w:ascii="Times New Roman" w:hAnsi="Times New Roman"/>
        </w:rPr>
        <w:t>what they lack</w:t>
      </w:r>
      <w:r>
        <w:rPr>
          <w:rFonts w:ascii="Times New Roman" w:hAnsi="Times New Roman"/>
        </w:rPr>
        <w:t xml:space="preserve"> in the stacks will be important in understanding what needs to be done, mostly in terms of the absences that persist, to truly increase representation and understanding of peoples around the world.</w:t>
      </w:r>
      <w:r>
        <w:rPr>
          <w:rFonts w:ascii="Times New Roman" w:hAnsi="Times New Roman"/>
        </w:rPr>
        <w:t xml:space="preserve"> Librarians' thoughts on the destruction of materials in Sarajevo, show us some of their approaches to the issues of serving </w:t>
      </w:r>
      <w:r>
        <w:rPr>
          <w:rFonts w:ascii="Times New Roman" w:hAnsi="Times New Roman"/>
        </w:rPr>
        <w:t>scholar</w:t>
      </w:r>
      <w:r>
        <w:rPr>
          <w:rFonts w:ascii="Times New Roman" w:hAnsi="Times New Roman"/>
        </w:rPr>
        <w:t>s when their subject cannot be covered by the usual tactics</w:t>
      </w:r>
      <w:r>
        <w:rPr>
          <w:rFonts w:ascii="Times New Roman" w:hAnsi="Times New Roman"/>
        </w:rPr>
        <w:t xml:space="preserve"> of research</w:t>
      </w:r>
      <w:r>
        <w:rPr>
          <w:rFonts w:ascii="Times New Roman" w:hAnsi="Times New Roman"/>
        </w:rPr>
        <w:t xml:space="preserve">. In this catestrophic case, valuable resources provided information, and now they are gone, so people need new avenues to </w:t>
      </w:r>
      <w:r>
        <w:rPr>
          <w:rFonts w:ascii="Times New Roman" w:hAnsi="Times New Roman"/>
        </w:rPr>
        <w:t xml:space="preserve">bypass the missing records and do </w:t>
      </w:r>
      <w:r>
        <w:rPr>
          <w:rFonts w:ascii="Times New Roman" w:hAnsi="Times New Roman"/>
        </w:rPr>
        <w:t>research.</w:t>
      </w:r>
    </w:p>
    <w:p>
      <w:pPr>
        <w:pStyle w:val="Normal"/>
        <w:bidi w:val="0"/>
        <w:jc w:val="left"/>
        <w:rPr>
          <w:rFonts w:ascii="Times New Roman" w:hAnsi="Times New Roman"/>
        </w:rPr>
      </w:pPr>
      <w:r>
        <w:rPr>
          <w:rFonts w:ascii="Times New Roman" w:hAnsi="Times New Roman"/>
        </w:rPr>
      </w:r>
    </w:p>
    <w:p>
      <w:pPr>
        <w:pStyle w:val="Normal"/>
        <w:bidi w:val="0"/>
        <w:jc w:val="left"/>
        <w:rPr/>
      </w:pPr>
      <w:r>
        <w:rPr>
          <w:rFonts w:ascii="Times New Roman" w:hAnsi="Times New Roman"/>
        </w:rPr>
        <w:t>A second reason</w:t>
      </w:r>
      <w:r>
        <w:rPr>
          <w:rFonts w:ascii="Times New Roman" w:hAnsi="Times New Roman"/>
        </w:rPr>
        <w:t xml:space="preserve"> to pay attention to librarians' thoughts on Sarajevo is the </w:t>
      </w:r>
      <w:r>
        <w:rPr>
          <w:rFonts w:ascii="Times New Roman" w:hAnsi="Times New Roman"/>
        </w:rPr>
        <w:t xml:space="preserve">more </w:t>
      </w:r>
      <w:r>
        <w:rPr>
          <w:rFonts w:ascii="Times New Roman" w:hAnsi="Times New Roman"/>
        </w:rPr>
        <w:t xml:space="preserve">general </w:t>
      </w:r>
      <w:r>
        <w:rPr>
          <w:rFonts w:ascii="Times New Roman" w:hAnsi="Times New Roman"/>
        </w:rPr>
        <w:t xml:space="preserve">issue of </w:t>
      </w:r>
      <w:r>
        <w:rPr>
          <w:rFonts w:ascii="Times New Roman" w:hAnsi="Times New Roman"/>
        </w:rPr>
        <w:t xml:space="preserve">loss inherent in </w:t>
      </w:r>
      <w:r>
        <w:rPr>
          <w:rFonts w:ascii="Times New Roman" w:hAnsi="Times New Roman"/>
        </w:rPr>
        <w:t xml:space="preserve">the </w:t>
      </w:r>
      <w:r>
        <w:rPr>
          <w:rFonts w:ascii="Times New Roman" w:hAnsi="Times New Roman"/>
        </w:rPr>
        <w:t xml:space="preserve">collecting </w:t>
      </w:r>
      <w:r>
        <w:rPr>
          <w:rFonts w:ascii="Times New Roman" w:hAnsi="Times New Roman"/>
        </w:rPr>
        <w:t xml:space="preserve">process </w:t>
      </w:r>
      <w:r>
        <w:rPr>
          <w:rFonts w:ascii="Times New Roman" w:hAnsi="Times New Roman"/>
        </w:rPr>
        <w:t xml:space="preserve">mentioned earlier. Access may be increasing, but little written culture from </w:t>
      </w:r>
      <w:r>
        <w:rPr>
          <w:rFonts w:ascii="Times New Roman" w:hAnsi="Times New Roman"/>
        </w:rPr>
        <w:t xml:space="preserve">anything beyond </w:t>
      </w:r>
      <w:r>
        <w:rPr>
          <w:rFonts w:ascii="Times New Roman" w:hAnsi="Times New Roman"/>
        </w:rPr>
        <w:t xml:space="preserve">the </w:t>
      </w:r>
      <w:r>
        <w:rPr>
          <w:rFonts w:ascii="Times New Roman" w:hAnsi="Times New Roman"/>
        </w:rPr>
        <w:t xml:space="preserve">recent </w:t>
      </w:r>
      <w:r>
        <w:rPr>
          <w:rFonts w:ascii="Times New Roman" w:hAnsi="Times New Roman"/>
        </w:rPr>
        <w:t>past is truly being discovered</w:t>
      </w:r>
      <w:r>
        <w:rPr>
          <w:rFonts w:ascii="Times New Roman" w:hAnsi="Times New Roman"/>
        </w:rPr>
        <w:t xml:space="preserve">, though improvements in access give the impression of history continually </w:t>
      </w:r>
      <w:r>
        <w:rPr>
          <w:rFonts w:ascii="Times New Roman" w:hAnsi="Times New Roman"/>
        </w:rPr>
        <w:t>coming to light</w:t>
      </w:r>
      <w:r>
        <w:rPr>
          <w:rFonts w:ascii="Times New Roman" w:hAnsi="Times New Roman"/>
        </w:rPr>
        <w:t xml:space="preserve">. Instead, each shelf weeding or leaky pipe </w:t>
      </w:r>
      <w:r>
        <w:rPr>
          <w:rFonts w:ascii="Times New Roman" w:hAnsi="Times New Roman"/>
        </w:rPr>
        <w:t xml:space="preserve">at a library </w:t>
      </w:r>
      <w:r>
        <w:rPr>
          <w:rFonts w:ascii="Times New Roman" w:hAnsi="Times New Roman"/>
        </w:rPr>
        <w:t xml:space="preserve">favors new replacements or space reassignments. </w:t>
      </w:r>
      <w:r>
        <w:rPr>
          <w:rFonts w:ascii="Times New Roman" w:hAnsi="Times New Roman"/>
        </w:rPr>
        <w:t xml:space="preserve">Local archives lose their funding. </w:t>
      </w:r>
      <w:r>
        <w:rPr>
          <w:rFonts w:ascii="Times New Roman" w:hAnsi="Times New Roman"/>
        </w:rPr>
        <w:t xml:space="preserve">National catalogs and interlibrary loan encourage librarians to worry less about preserving </w:t>
      </w:r>
      <w:r>
        <w:rPr>
          <w:rFonts w:ascii="Times New Roman" w:hAnsi="Times New Roman"/>
        </w:rPr>
        <w:t>p</w:t>
      </w:r>
      <w:r>
        <w:rPr>
          <w:rFonts w:ascii="Times New Roman" w:hAnsi="Times New Roman"/>
        </w:rPr>
        <w:t>rinted</w:t>
      </w:r>
      <w:r>
        <w:rPr>
          <w:rFonts w:ascii="Times New Roman" w:hAnsi="Times New Roman"/>
        </w:rPr>
        <w:t xml:space="preserve"> </w:t>
      </w:r>
      <w:r>
        <w:rPr>
          <w:rFonts w:ascii="Times New Roman" w:hAnsi="Times New Roman"/>
        </w:rPr>
        <w:t>items that exist in other copies nearby, even digital ones</w:t>
      </w:r>
      <w:r>
        <w:rPr>
          <w:rFonts w:ascii="Times New Roman" w:hAnsi="Times New Roman"/>
        </w:rPr>
        <w:t>, which means that p</w:t>
      </w:r>
      <w:r>
        <w:rPr>
          <w:rFonts w:ascii="Times New Roman" w:hAnsi="Times New Roman"/>
        </w:rPr>
        <w:t xml:space="preserve">hysical holdings of historic publications have diminished dramatically in academic libraries, because of conscious decisions by administrators, while the increased focus on special collections has the effect of putting material, paradoxically, at greater risk through handling or disaster. </w:t>
      </w:r>
      <w:r>
        <w:rPr>
          <w:rFonts w:ascii="Times New Roman" w:hAnsi="Times New Roman"/>
        </w:rPr>
        <w:t xml:space="preserve">The result is the loss of heritage which technology can only do </w:t>
      </w:r>
      <w:r>
        <w:rPr>
          <w:rFonts w:ascii="Times New Roman" w:hAnsi="Times New Roman"/>
        </w:rPr>
        <w:t>s</w:t>
      </w:r>
      <w:r>
        <w:rPr>
          <w:rFonts w:ascii="Times New Roman" w:hAnsi="Times New Roman"/>
        </w:rPr>
        <w:t>o much to replace</w:t>
      </w:r>
      <w:r>
        <w:rPr>
          <w:rFonts w:ascii="Times New Roman" w:hAnsi="Times New Roman"/>
        </w:rPr>
        <w:t xml:space="preserve">, </w:t>
      </w:r>
      <w:r>
        <w:rPr>
          <w:rFonts w:ascii="Times New Roman" w:hAnsi="Times New Roman"/>
        </w:rPr>
        <w:t>even as digital access</w:t>
      </w:r>
      <w:r>
        <w:rPr>
          <w:rFonts w:ascii="Times New Roman" w:hAnsi="Times New Roman"/>
        </w:rPr>
        <w:t xml:space="preserve"> increases the demand for more</w:t>
      </w:r>
      <w:r>
        <w:rPr>
          <w:rFonts w:ascii="Times New Roman" w:hAnsi="Times New Roman"/>
        </w:rPr>
        <w:t>. And combatants everywhere actively work to destroy the memory of their enemies</w:t>
      </w:r>
      <w:r>
        <w:rPr>
          <w:rFonts w:ascii="Times New Roman" w:hAnsi="Times New Roman"/>
        </w:rPr>
        <w:t>.</w:t>
      </w:r>
      <w:r>
        <w:rPr>
          <w:rStyle w:val="FootnoteAnchor"/>
          <w:rFonts w:ascii="Times New Roman" w:hAnsi="Times New Roman"/>
        </w:rPr>
        <w:footnoteReference w:id="9"/>
      </w:r>
      <w:r>
        <w:rPr>
          <w:rFonts w:ascii="Times New Roman" w:hAnsi="Times New Roman"/>
        </w:rPr>
        <w:t xml:space="preserve"> Richard Cox has estimated that the number of historic items destroyed in conflicts of the twentieth century surpassed the number saved. The cultural destruction has continued in Iraq and Syria, with little effective response from UNESCO or the </w:t>
      </w:r>
      <w:r>
        <w:rPr>
          <w:rFonts w:ascii="Times New Roman" w:hAnsi="Times New Roman"/>
        </w:rPr>
        <w:t xml:space="preserve">International </w:t>
      </w:r>
      <w:r>
        <w:rPr>
          <w:rFonts w:ascii="Times New Roman" w:hAnsi="Times New Roman"/>
        </w:rPr>
        <w:t>Committees of the Blue Shield.</w:t>
      </w:r>
      <w:r>
        <w:rPr>
          <w:rStyle w:val="FootnoteAnchor"/>
          <w:rFonts w:ascii="Times New Roman" w:hAnsi="Times New Roman"/>
        </w:rPr>
        <w:footnoteReference w:id="10"/>
      </w:r>
      <w:r>
        <w:rPr>
          <w:rFonts w:ascii="Times New Roman" w:hAnsi="Times New Roman"/>
        </w:rPr>
        <w:t xml:space="preserve"> Looking at how libraries respond to this issue of loss can tell us how best to prepare for the realities </w:t>
      </w:r>
      <w:r>
        <w:rPr>
          <w:rFonts w:ascii="Times New Roman" w:hAnsi="Times New Roman"/>
        </w:rPr>
        <w:t xml:space="preserve">of the </w:t>
      </w:r>
      <w:r>
        <w:rPr>
          <w:rFonts w:ascii="Times New Roman" w:hAnsi="Times New Roman"/>
        </w:rPr>
        <w:t>future</w:t>
      </w:r>
      <w:r>
        <w:rPr>
          <w:rFonts w:ascii="Times New Roman" w:hAnsi="Times New Roman"/>
        </w:rPr>
        <w:t xml:space="preserve"> in which more and more </w:t>
      </w:r>
      <w:r>
        <w:rPr>
          <w:rFonts w:ascii="Times New Roman" w:hAnsi="Times New Roman"/>
        </w:rPr>
        <w:t>written culture will be</w:t>
      </w:r>
      <w:r>
        <w:rPr>
          <w:rFonts w:ascii="Times New Roman" w:hAnsi="Times New Roman"/>
        </w:rPr>
        <w:t xml:space="preserve"> lost</w:t>
      </w:r>
      <w:r>
        <w:rPr>
          <w:rFonts w:ascii="Times New Roman" w:hAnsi="Times New Roman"/>
        </w:rPr>
        <w:t>.</w:t>
      </w:r>
    </w:p>
    <w:p>
      <w:pPr>
        <w:pStyle w:val="Normal"/>
        <w:bidi w:val="0"/>
        <w:jc w:val="left"/>
        <w:rPr>
          <w:rFonts w:ascii="Times New Roman" w:hAnsi="Times New Roman"/>
        </w:rPr>
      </w:pPr>
      <w:r>
        <w:rPr/>
      </w:r>
    </w:p>
    <w:p>
      <w:pPr>
        <w:pStyle w:val="Normal"/>
        <w:bidi w:val="0"/>
        <w:jc w:val="left"/>
        <w:rPr/>
      </w:pPr>
      <w:r>
        <w:rPr>
          <w:rFonts w:ascii="Times New Roman" w:hAnsi="Times New Roman"/>
        </w:rPr>
        <w:t xml:space="preserve">If </w:t>
      </w:r>
      <w:r>
        <w:rPr>
          <w:rFonts w:ascii="Times New Roman" w:hAnsi="Times New Roman"/>
        </w:rPr>
        <w:t>the goal is to recover as much as possible</w:t>
      </w:r>
      <w:r>
        <w:rPr>
          <w:rFonts w:ascii="Times New Roman" w:hAnsi="Times New Roman"/>
        </w:rPr>
        <w:t xml:space="preserve"> about the people whose lives appear to have left no record for us to study, in an effort to expand the usefulness of special collections and to reduce their authority over what gets to be researched,</w:t>
      </w:r>
      <w:r>
        <w:rPr>
          <w:rStyle w:val="FootnoteAnchor"/>
          <w:rFonts w:ascii="Times New Roman" w:hAnsi="Times New Roman"/>
        </w:rPr>
        <w:footnoteReference w:id="11"/>
      </w:r>
      <w:r>
        <w:rPr>
          <w:rFonts w:ascii="Times New Roman" w:hAnsi="Times New Roman"/>
        </w:rPr>
        <w:t xml:space="preserve"> then it </w:t>
      </w:r>
      <w:r>
        <w:rPr>
          <w:rFonts w:ascii="Times New Roman" w:hAnsi="Times New Roman"/>
        </w:rPr>
        <w:t>must follow</w:t>
      </w:r>
      <w:r>
        <w:rPr>
          <w:rFonts w:ascii="Times New Roman" w:hAnsi="Times New Roman"/>
        </w:rPr>
        <w:t xml:space="preserve"> that we also </w:t>
      </w:r>
      <w:r>
        <w:rPr>
          <w:rFonts w:ascii="Times New Roman" w:hAnsi="Times New Roman"/>
        </w:rPr>
        <w:t xml:space="preserve">need to </w:t>
      </w:r>
      <w:r>
        <w:rPr>
          <w:rFonts w:ascii="Times New Roman" w:hAnsi="Times New Roman"/>
        </w:rPr>
        <w:t xml:space="preserve">acknowledge that the future will have new interests and methods of research. Just as much of the Classical world only survived in  Arabic or Carolingian translations, the history that gets written by today's winners relies on the practices of last year's winners. </w:t>
      </w:r>
      <w:r>
        <w:rPr>
          <w:rFonts w:ascii="Times New Roman" w:hAnsi="Times New Roman"/>
        </w:rPr>
        <w:t xml:space="preserve">When the United States looks very different, the country's historians will depend to some extent on the work being done in special collections now. </w:t>
      </w:r>
      <w:r>
        <w:rPr>
          <w:rFonts w:ascii="Times New Roman" w:hAnsi="Times New Roman"/>
        </w:rPr>
        <w:t xml:space="preserve">So, the </w:t>
      </w:r>
      <w:r>
        <w:rPr>
          <w:rFonts w:ascii="Times New Roman" w:hAnsi="Times New Roman"/>
        </w:rPr>
        <w:t>response</w:t>
      </w:r>
      <w:r>
        <w:rPr>
          <w:rFonts w:ascii="Times New Roman" w:hAnsi="Times New Roman"/>
        </w:rPr>
        <w:t>s that American librarians have on the fate of Sarajevo's historic libraries can</w:t>
      </w:r>
      <w:r>
        <w:rPr>
          <w:rFonts w:ascii="Times New Roman" w:hAnsi="Times New Roman"/>
        </w:rPr>
        <w:t xml:space="preserve"> also</w:t>
      </w:r>
      <w:r>
        <w:rPr>
          <w:rFonts w:ascii="Times New Roman" w:hAnsi="Times New Roman"/>
        </w:rPr>
        <w:t xml:space="preserve"> reveal to us what academic institutions think that it is that are saving for</w:t>
      </w:r>
      <w:r>
        <w:rPr>
          <w:rFonts w:ascii="Times New Roman" w:hAnsi="Times New Roman"/>
        </w:rPr>
        <w:t>, what the future means for special collections</w:t>
      </w:r>
      <w:r>
        <w:rPr>
          <w:rFonts w:ascii="Times New Roman" w:hAnsi="Times New Roman"/>
        </w:rPr>
        <w:t xml:space="preserve">. </w:t>
      </w:r>
    </w:p>
    <w:p>
      <w:pPr>
        <w:pStyle w:val="Normal"/>
        <w:bidi w:val="0"/>
        <w:jc w:val="left"/>
        <w:rPr>
          <w:rFonts w:ascii="Times New Roman" w:hAnsi="Times New Roman"/>
        </w:rPr>
      </w:pPr>
      <w:r>
        <w:rPr/>
      </w:r>
    </w:p>
    <w:p>
      <w:pPr>
        <w:pStyle w:val="Normal"/>
        <w:bidi w:val="0"/>
        <w:jc w:val="left"/>
        <w:rPr/>
      </w:pPr>
      <w:r>
        <w:rPr>
          <w:rFonts w:ascii="Times New Roman" w:hAnsi="Times New Roman"/>
        </w:rPr>
        <w:t xml:space="preserve">This is not to say that History as a field would falter without expanding libraries or changing the nature of archives. </w:t>
      </w:r>
      <w:r>
        <w:rPr>
          <w:rFonts w:ascii="Times New Roman" w:hAnsi="Times New Roman"/>
        </w:rPr>
        <w:t>As Carolyn Steedman writes, "The practice of history in its modern mode is just one long exercise of the deep satisfaction of finding things."</w:t>
      </w:r>
      <w:r>
        <w:rPr>
          <w:rStyle w:val="FootnoteAnchor"/>
          <w:rFonts w:ascii="Times New Roman" w:hAnsi="Times New Roman"/>
        </w:rPr>
        <w:footnoteReference w:id="12"/>
      </w:r>
      <w:r>
        <w:rPr>
          <w:rFonts w:ascii="Times New Roman" w:hAnsi="Times New Roman"/>
        </w:rPr>
        <w:t xml:space="preserve"> </w:t>
      </w:r>
      <w:r>
        <w:rPr>
          <w:rFonts w:ascii="Times New Roman" w:hAnsi="Times New Roman"/>
        </w:rPr>
        <w:t>In many cases, that means finding the few relevant bits out of oceans of data. Our digital world can make the situation worse than ever.</w:t>
      </w:r>
      <w:r>
        <w:rPr>
          <w:rFonts w:ascii="Times New Roman" w:hAnsi="Times New Roman"/>
        </w:rPr>
        <w:t xml:space="preserve"> This m</w:t>
      </w:r>
      <w:r>
        <w:rPr>
          <w:rFonts w:ascii="Times New Roman" w:hAnsi="Times New Roman"/>
        </w:rPr>
        <w:t>eans that</w:t>
      </w:r>
      <w:r>
        <w:rPr>
          <w:rFonts w:ascii="Times New Roman" w:hAnsi="Times New Roman"/>
        </w:rPr>
        <w:t xml:space="preserve"> the work of the historian </w:t>
      </w:r>
      <w:r>
        <w:rPr>
          <w:rFonts w:ascii="Times New Roman" w:hAnsi="Times New Roman"/>
        </w:rPr>
        <w:t xml:space="preserve">today is </w:t>
      </w:r>
      <w:r>
        <w:rPr>
          <w:rFonts w:ascii="Times New Roman" w:hAnsi="Times New Roman"/>
        </w:rPr>
        <w:t>a process of winnowing as much as interpretation</w:t>
      </w:r>
      <w:r>
        <w:rPr>
          <w:rFonts w:ascii="Times New Roman" w:hAnsi="Times New Roman"/>
        </w:rPr>
        <w:t>, but that has always been the case to some extent</w:t>
      </w:r>
      <w:r>
        <w:rPr>
          <w:rFonts w:ascii="Times New Roman" w:hAnsi="Times New Roman"/>
        </w:rPr>
        <w:t xml:space="preserve">. </w:t>
      </w:r>
      <w:r>
        <w:rPr>
          <w:rFonts w:ascii="Times New Roman" w:hAnsi="Times New Roman"/>
        </w:rPr>
        <w:t xml:space="preserve">And even when dealing with scarcity, researchers still follow the same path. The loss of documentation to the air raids on Tokyo or the rage of the Cultural Revolution has not stopped historians, but their work needs to be built on a foundation of evidence. </w:t>
      </w:r>
      <w:r>
        <w:rPr>
          <w:rFonts w:ascii="Times New Roman" w:hAnsi="Times New Roman"/>
        </w:rPr>
        <w:t>I</w:t>
      </w:r>
      <w:r>
        <w:rPr>
          <w:rFonts w:ascii="Times New Roman" w:hAnsi="Times New Roman"/>
        </w:rPr>
        <w:t xml:space="preserve">n his last, unfinished book, </w:t>
      </w:r>
      <w:r>
        <w:rPr>
          <w:rFonts w:ascii="Times New Roman" w:hAnsi="Times New Roman"/>
          <w:i/>
          <w:iCs/>
        </w:rPr>
        <w:t>History: The Last Things before the Last,</w:t>
      </w:r>
      <w:r>
        <w:rPr>
          <w:rFonts w:ascii="Times New Roman" w:hAnsi="Times New Roman"/>
          <w:i w:val="false"/>
          <w:iCs w:val="false"/>
        </w:rPr>
        <w:t xml:space="preserve"> </w:t>
      </w:r>
      <w:r>
        <w:rPr>
          <w:rFonts w:ascii="Times New Roman" w:hAnsi="Times New Roman"/>
        </w:rPr>
        <w:t>Siegfried Kracauer wrote</w:t>
      </w:r>
      <w:r>
        <w:rPr>
          <w:rFonts w:ascii="Times New Roman" w:hAnsi="Times New Roman"/>
        </w:rPr>
        <w:t xml:space="preserve"> </w:t>
      </w:r>
      <w:r>
        <w:rPr>
          <w:rFonts w:ascii="Times New Roman" w:hAnsi="Times New Roman"/>
        </w:rPr>
        <w:t>that Historiography "is a distinctly empirical science which explores and interprets given historical reality in exactly the same manner as the photographic media render and penetrate the physical world about us."</w:t>
      </w:r>
      <w:r>
        <w:rPr>
          <w:rStyle w:val="FootnoteAnchor"/>
          <w:rFonts w:ascii="Times New Roman" w:hAnsi="Times New Roman"/>
        </w:rPr>
        <w:footnoteReference w:id="13"/>
      </w:r>
      <w:r>
        <w:rPr>
          <w:rFonts w:ascii="Times New Roman" w:hAnsi="Times New Roman"/>
        </w:rPr>
        <w:t xml:space="preserve"> Scholars use computers and scientific analysis, they focus on micro history on the small scale or look at grand sweeping historical vistas.</w:t>
      </w:r>
      <w:r>
        <w:rPr>
          <w:rStyle w:val="FootnoteAnchor"/>
          <w:rFonts w:ascii="Times New Roman" w:hAnsi="Times New Roman"/>
        </w:rPr>
        <w:footnoteReference w:id="14"/>
      </w:r>
      <w:r>
        <w:rPr>
          <w:rFonts w:ascii="Times New Roman" w:hAnsi="Times New Roman"/>
        </w:rPr>
        <w:t xml:space="preserve"> The work involves artistry and technical expertise to create an digestible image of complexity, just as a photographer creates meaning out of the many possibilities of the visual. So, this all means that while special collections do need to consider the needs of current and future users. They do need to protect what is under their stewardship. But they also need an understanding of their role in research and cultural heritage that goes beyond providing service to their immediate users or to abstract ideas of history or justice. If academic libraries are to offset the general trends of fewer physical documents in fewer places involving greater risk, special collections in the United States need to consider what disaster means for communities and how to protect the written culture of the world. Preliminary results of my research on special collections suggests that this is only happening in a few cases where libraries have a sense of mission that includes responding to specific destruction as part of their jobs. Otherwise, umbrage and outrage seem to do little to defend culture or recover from disasters.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b/>
          <w:b/>
          <w:bCs/>
        </w:rPr>
      </w:pPr>
      <w:r>
        <w:rPr>
          <w:rFonts w:ascii="Times New Roman" w:hAnsi="Times New Roman"/>
          <w:b/>
          <w:bCs/>
        </w:rPr>
        <w:t>Judging Sentiment</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 xml:space="preserve">For the central focus of this study, all the posts on Twitter since January 1, 2007 by 64 prominent American libraries, or in </w:t>
      </w:r>
      <w:r>
        <w:rPr>
          <w:rFonts w:ascii="Times New Roman" w:hAnsi="Times New Roman"/>
        </w:rPr>
        <w:t>four</w:t>
      </w:r>
      <w:r>
        <w:rPr>
          <w:rFonts w:ascii="Times New Roman" w:hAnsi="Times New Roman"/>
        </w:rPr>
        <w:t xml:space="preserve"> cases librarians, were reviewed through qualitative analysis. I began the list of users largely based on more than ten years of following rare book issues on Twitter myself, but additional Twitter accounts were added because of connections to cities with large numbers of Bosnian immigrants or large collections of Islamic manuscripts. I included several </w:t>
      </w:r>
      <w:r>
        <w:rPr>
          <w:rFonts w:ascii="Times New Roman" w:hAnsi="Times New Roman"/>
        </w:rPr>
        <w:t xml:space="preserve">complete </w:t>
      </w:r>
      <w:r>
        <w:rPr>
          <w:rFonts w:ascii="Times New Roman" w:hAnsi="Times New Roman"/>
        </w:rPr>
        <w:t>academic library systems at major universities, because they oversaw libraries with relevant special collections and seemed to dominate the social media of the campus libraries. I also included some small</w:t>
      </w:r>
      <w:r>
        <w:rPr>
          <w:rFonts w:ascii="Times New Roman" w:hAnsi="Times New Roman"/>
        </w:rPr>
        <w:t>, specialized</w:t>
      </w:r>
      <w:r>
        <w:rPr>
          <w:rFonts w:ascii="Times New Roman" w:hAnsi="Times New Roman"/>
        </w:rPr>
        <w:t xml:space="preserve"> libraries that had a focused interest  on cultural heritage or book history.</w:t>
      </w:r>
    </w:p>
    <w:p>
      <w:pPr>
        <w:pStyle w:val="Normal"/>
        <w:bidi w:val="0"/>
        <w:jc w:val="left"/>
        <w:rPr>
          <w:rFonts w:ascii="Times New Roman" w:hAnsi="Times New Roman"/>
        </w:rPr>
      </w:pPr>
      <w:r>
        <w:rPr>
          <w:rFonts w:ascii="Times New Roman" w:hAnsi="Times New Roman"/>
        </w:rPr>
      </w:r>
    </w:p>
    <w:p>
      <w:pPr>
        <w:pStyle w:val="Normal"/>
        <w:bidi w:val="0"/>
        <w:jc w:val="left"/>
        <w:rPr/>
      </w:pPr>
      <w:r>
        <w:rPr>
          <w:rFonts w:ascii="Times New Roman" w:hAnsi="Times New Roman"/>
        </w:rPr>
        <w:t xml:space="preserve">Using the Academic Research track at the Twitter Developer API, I was able to search the entire public history of specific users, listed in Appendix A. Limits on the number of characters per search using the Postman app made it necessary to run single terms in two separate groups of users, but still, it was just a matter of running simple keyword searches against a list of Twitter accounts. The final terms used for this study can be found in Appendix B. Some of the </w:t>
      </w:r>
      <w:r>
        <w:rPr>
          <w:rFonts w:ascii="Times New Roman" w:hAnsi="Times New Roman"/>
        </w:rPr>
        <w:t xml:space="preserve">initial </w:t>
      </w:r>
      <w:r>
        <w:rPr>
          <w:rFonts w:ascii="Times New Roman" w:hAnsi="Times New Roman"/>
        </w:rPr>
        <w:t>searches returned irrelevant results or nothing at all. So</w:t>
      </w:r>
      <w:r>
        <w:rPr>
          <w:rFonts w:ascii="Times New Roman" w:hAnsi="Times New Roman"/>
        </w:rPr>
        <w:t xml:space="preserve">, a number of </w:t>
      </w:r>
      <w:r>
        <w:rPr>
          <w:rFonts w:ascii="Times New Roman" w:hAnsi="Times New Roman"/>
        </w:rPr>
        <w:t xml:space="preserve">initial </w:t>
      </w:r>
      <w:r>
        <w:rPr>
          <w:rFonts w:ascii="Times New Roman" w:hAnsi="Times New Roman"/>
        </w:rPr>
        <w:t>search terms</w:t>
      </w:r>
      <w:r>
        <w:rPr>
          <w:rFonts w:ascii="Times New Roman" w:hAnsi="Times New Roman"/>
        </w:rPr>
        <w:t xml:space="preserve"> have not been analyzed for this paper</w:t>
      </w:r>
      <w:r>
        <w:rPr>
          <w:rFonts w:ascii="Times New Roman" w:hAnsi="Times New Roman"/>
        </w:rPr>
        <w:t xml:space="preserve"> but </w:t>
      </w:r>
      <w:r>
        <w:rPr>
          <w:rFonts w:ascii="Times New Roman" w:hAnsi="Times New Roman"/>
        </w:rPr>
        <w:t xml:space="preserve">will be useful for later comparisons. Most notable among the poor results was the fact that the commonly used names for the two destroyed libraries by English speakers, the Oriental Institute of Sarajevo and the Vijecnica, did not appear in any tweets from this group in nearly fifteen years of Twitter.  </w:t>
      </w:r>
      <w:r>
        <w:rPr>
          <w:rFonts w:ascii="Times New Roman" w:hAnsi="Times New Roman"/>
        </w:rPr>
        <w:t>In fact, a</w:t>
      </w:r>
      <w:r>
        <w:rPr>
          <w:rFonts w:ascii="Times New Roman" w:hAnsi="Times New Roman"/>
        </w:rPr>
        <w:t xml:space="preserve"> search for "city hall sarajevo" did not bring up any new results beyond that </w:t>
      </w:r>
      <w:r>
        <w:rPr>
          <w:rFonts w:ascii="Times New Roman" w:hAnsi="Times New Roman"/>
        </w:rPr>
        <w:t>found with</w:t>
      </w:r>
      <w:r>
        <w:rPr>
          <w:rFonts w:ascii="Times New Roman" w:hAnsi="Times New Roman"/>
        </w:rPr>
        <w:t xml:space="preserve"> other terms</w:t>
      </w:r>
      <w:r>
        <w:rPr>
          <w:rFonts w:ascii="Times New Roman" w:hAnsi="Times New Roman"/>
        </w:rPr>
        <w:t>, either</w:t>
      </w:r>
      <w:r>
        <w:rPr>
          <w:rFonts w:ascii="Times New Roman" w:hAnsi="Times New Roman"/>
        </w:rPr>
        <w:t xml:space="preserve">. More than 110 tweets did come up </w:t>
      </w:r>
      <w:r>
        <w:rPr>
          <w:rFonts w:ascii="Times New Roman" w:hAnsi="Times New Roman"/>
        </w:rPr>
        <w:t>from these searches</w:t>
      </w:r>
      <w:r>
        <w:rPr>
          <w:rFonts w:ascii="Times New Roman" w:hAnsi="Times New Roman"/>
        </w:rPr>
        <w:t>, however, which represents about 1% of the roughly 10,000-12,000 tweets created by these users, enough to say a few things about librarian views.</w:t>
      </w:r>
      <w:r>
        <w:rPr>
          <w:rFonts w:ascii="Times New Roman" w:hAnsi="Times New Roman"/>
        </w:rPr>
        <w:t xml:space="preserve"> It is worth remembering that Twitter did not exist in 1992, so the gathered tweets tended to reflect views on the general concept of library destruction, rather than horror at a recent atrocity. </w:t>
      </w:r>
    </w:p>
    <w:p>
      <w:pPr>
        <w:pStyle w:val="Normal"/>
        <w:bidi w:val="0"/>
        <w:jc w:val="left"/>
        <w:rPr>
          <w:rFonts w:ascii="Times New Roman" w:hAnsi="Times New Roman"/>
        </w:rPr>
      </w:pPr>
      <w:r>
        <w:rPr>
          <w:rFonts w:ascii="Times New Roman" w:hAnsi="Times New Roman"/>
        </w:rPr>
      </w:r>
    </w:p>
    <w:p>
      <w:pPr>
        <w:pStyle w:val="Normal"/>
        <w:bidi w:val="0"/>
        <w:jc w:val="left"/>
        <w:rPr/>
      </w:pPr>
      <w:r>
        <w:rPr>
          <w:rFonts w:ascii="Times New Roman" w:hAnsi="Times New Roman"/>
        </w:rPr>
        <w:t xml:space="preserve">The texts of the returned tweets were analyzed for sentiment using </w:t>
      </w:r>
      <w:r>
        <w:rPr>
          <w:rFonts w:ascii="Times New Roman" w:hAnsi="Times New Roman"/>
        </w:rPr>
        <w:t xml:space="preserve">the </w:t>
      </w:r>
      <w:r>
        <w:rPr>
          <w:rFonts w:ascii="Times New Roman" w:hAnsi="Times New Roman"/>
        </w:rPr>
        <w:t xml:space="preserve">Dedoose </w:t>
      </w:r>
      <w:r>
        <w:rPr>
          <w:rFonts w:ascii="Times New Roman" w:hAnsi="Times New Roman"/>
        </w:rPr>
        <w:t xml:space="preserve">program </w:t>
      </w:r>
      <w:r>
        <w:rPr>
          <w:rFonts w:ascii="Times New Roman" w:hAnsi="Times New Roman"/>
        </w:rPr>
        <w:t xml:space="preserve">to code and weight individual statements. Much of the coding merely identified the nature of the tweet, such as a retweet or an announcement of some event. However, each tweet was given a sentiment weight from 1-10 on what the tweet declared about the issue. Declarations were coded as only one type of either condemnation of library destruction, call for help for destroyed libraries, information about the destruction of these libraries, regret over the losses of war, or warning to protect other unique collections in the future. Some of these declaration categories </w:t>
      </w:r>
      <w:r>
        <w:rPr>
          <w:rFonts w:ascii="Times New Roman" w:hAnsi="Times New Roman"/>
        </w:rPr>
        <w:t xml:space="preserve">that I set up </w:t>
      </w:r>
      <w:r>
        <w:rPr>
          <w:rFonts w:ascii="Times New Roman" w:hAnsi="Times New Roman"/>
        </w:rPr>
        <w:t>could not be applied to any particular tweet</w:t>
      </w:r>
      <w:r>
        <w:rPr>
          <w:rFonts w:ascii="Times New Roman" w:hAnsi="Times New Roman"/>
        </w:rPr>
        <w:t>, in the end</w:t>
      </w:r>
      <w:r>
        <w:rPr>
          <w:rFonts w:ascii="Times New Roman" w:hAnsi="Times New Roman"/>
        </w:rPr>
        <w:t xml:space="preserve">, but that was valuable to the project in terms of determining the views </w:t>
      </w:r>
      <w:r>
        <w:rPr>
          <w:rFonts w:ascii="Times New Roman" w:hAnsi="Times New Roman"/>
        </w:rPr>
        <w:t>that</w:t>
      </w:r>
      <w:r>
        <w:rPr>
          <w:rFonts w:ascii="Times New Roman" w:hAnsi="Times New Roman"/>
        </w:rPr>
        <w:t xml:space="preserve"> librarians</w:t>
      </w:r>
      <w:r>
        <w:rPr>
          <w:rFonts w:ascii="Times New Roman" w:hAnsi="Times New Roman"/>
        </w:rPr>
        <w:t xml:space="preserve"> did not consider</w:t>
      </w:r>
      <w:r>
        <w:rPr>
          <w:rFonts w:ascii="Times New Roman" w:hAnsi="Times New Roman"/>
        </w:rPr>
        <w:t xml:space="preserve">. Initial analysis </w:t>
      </w:r>
      <w:r>
        <w:rPr>
          <w:rFonts w:ascii="Times New Roman" w:hAnsi="Times New Roman"/>
        </w:rPr>
        <w:t xml:space="preserve">of the coding for this paper </w:t>
      </w:r>
      <w:r>
        <w:rPr>
          <w:rFonts w:ascii="Times New Roman" w:hAnsi="Times New Roman"/>
        </w:rPr>
        <w:t>consist</w:t>
      </w:r>
      <w:r>
        <w:rPr>
          <w:rFonts w:ascii="Times New Roman" w:hAnsi="Times New Roman"/>
        </w:rPr>
        <w:t>ed</w:t>
      </w:r>
      <w:r>
        <w:rPr>
          <w:rFonts w:ascii="Times New Roman" w:hAnsi="Times New Roman"/>
        </w:rPr>
        <w:t xml:space="preserve"> of simple comparisons of sentiment weight and use of terms.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Additional sentiment research of librarian views online was conducted by downloading the text of library mission statements or</w:t>
      </w:r>
      <w:r>
        <w:rPr>
          <w:rFonts w:ascii="Times New Roman" w:hAnsi="Times New Roman"/>
        </w:rPr>
        <w:t>, in some cases,</w:t>
      </w:r>
      <w:r>
        <w:rPr>
          <w:rFonts w:ascii="Times New Roman" w:hAnsi="Times New Roman"/>
        </w:rPr>
        <w:t xml:space="preserve"> collection strategies listed on the websites</w:t>
      </w:r>
      <w:r>
        <w:rPr>
          <w:rFonts w:ascii="Times New Roman" w:hAnsi="Times New Roman"/>
        </w:rPr>
        <w:t xml:space="preserve"> of special collections</w:t>
      </w:r>
      <w:r>
        <w:rPr>
          <w:rFonts w:ascii="Times New Roman" w:hAnsi="Times New Roman"/>
        </w:rPr>
        <w:t>. The information on these sites varied a great deal, but no effort was made to track down annual reports or other official university statements</w:t>
      </w:r>
      <w:r>
        <w:rPr>
          <w:rFonts w:ascii="Times New Roman" w:hAnsi="Times New Roman"/>
        </w:rPr>
        <w:t xml:space="preserve"> unless such material was listed at the website of the collection wi</w:t>
      </w:r>
      <w:r>
        <w:rPr>
          <w:rFonts w:ascii="Times New Roman" w:hAnsi="Times New Roman"/>
        </w:rPr>
        <w:t>t</w:t>
      </w:r>
      <w:r>
        <w:rPr>
          <w:rFonts w:ascii="Times New Roman" w:hAnsi="Times New Roman"/>
        </w:rPr>
        <w:t>hout any other mission statement. T</w:t>
      </w:r>
      <w:r>
        <w:rPr>
          <w:rFonts w:ascii="Times New Roman" w:hAnsi="Times New Roman"/>
        </w:rPr>
        <w:t>he easier and more public nature of posting an "about" page means that they reflect the views of actual librarians more often</w:t>
      </w:r>
      <w:r>
        <w:rPr>
          <w:rFonts w:ascii="Times New Roman" w:hAnsi="Times New Roman"/>
        </w:rPr>
        <w:t xml:space="preserve"> than official university policies. </w:t>
      </w:r>
      <w:r>
        <w:rPr>
          <w:rFonts w:ascii="Times New Roman" w:hAnsi="Times New Roman"/>
        </w:rPr>
        <w:t xml:space="preserve">Largely because time ran short, the texts of these websites were examined with just a simple word count analysis using Voyant Tools, for the group and for individual sites, to determine some general statements about what </w:t>
      </w:r>
      <w:r>
        <w:rPr>
          <w:rFonts w:ascii="Times New Roman" w:hAnsi="Times New Roman"/>
        </w:rPr>
        <w:t xml:space="preserve">it is that </w:t>
      </w:r>
      <w:r>
        <w:rPr>
          <w:rFonts w:ascii="Times New Roman" w:hAnsi="Times New Roman"/>
        </w:rPr>
        <w:t xml:space="preserve">librarians at these special collections think they do. </w:t>
      </w:r>
      <w:r>
        <w:rPr>
          <w:rFonts w:ascii="Times New Roman" w:hAnsi="Times New Roman"/>
        </w:rPr>
        <w:t>What we can see is that the general goals of the libraries match up with the views expressed on Twitter about the need to give people acces</w:t>
      </w:r>
      <w:r>
        <w:rPr>
          <w:rFonts w:ascii="Times New Roman" w:hAnsi="Times New Roman"/>
        </w:rPr>
        <w:t>s</w:t>
      </w:r>
      <w:r>
        <w:rPr>
          <w:rFonts w:ascii="Times New Roman" w:hAnsi="Times New Roman"/>
        </w:rPr>
        <w:t xml:space="preserve"> to their collections and a feeling that digitization offers hope for future preservation. Coming years after the events in Sarajevo, there was little sense that each library, or the book-loving public, had a responsibility to respond to the loss of culture with aid or condemnation, or even alarm at the possibility of being affected by disaster. The feeling was more that libraries should be ready to open their doors to help those who ask for it, while maintaining their position as stewards of their own material.</w:t>
      </w:r>
      <w:r>
        <w:rPr>
          <w:rFonts w:ascii="Times New Roman" w:hAnsi="Times New Roman"/>
        </w:rPr>
        <w:t xml:space="preserve"> </w:t>
      </w:r>
    </w:p>
    <w:p>
      <w:pPr>
        <w:pStyle w:val="Normal"/>
        <w:bidi w:val="0"/>
        <w:jc w:val="left"/>
        <w:rPr>
          <w:rFonts w:ascii="Times New Roman" w:hAnsi="Times New Roman"/>
        </w:rPr>
      </w:pPr>
      <w:r>
        <w:rPr>
          <w:rFonts w:ascii="Times New Roman" w:hAnsi="Times New Roman"/>
        </w:rPr>
      </w:r>
    </w:p>
    <w:p>
      <w:pPr>
        <w:pStyle w:val="Normal"/>
        <w:bidi w:val="0"/>
        <w:jc w:val="left"/>
        <w:rPr/>
      </w:pPr>
      <w:r>
        <w:rPr>
          <w:rFonts w:ascii="Times New Roman" w:hAnsi="Times New Roman"/>
        </w:rPr>
        <w:t>Fe</w:t>
      </w:r>
      <w:r>
        <w:rPr>
          <w:rFonts w:ascii="Times New Roman" w:hAnsi="Times New Roman"/>
        </w:rPr>
        <w:t>w</w:t>
      </w:r>
      <w:r>
        <w:rPr>
          <w:rFonts w:ascii="Times New Roman" w:hAnsi="Times New Roman"/>
        </w:rPr>
        <w:t xml:space="preserve"> American</w:t>
      </w:r>
      <w:r>
        <w:rPr>
          <w:rFonts w:ascii="Times New Roman" w:hAnsi="Times New Roman"/>
        </w:rPr>
        <w:t xml:space="preserve"> institutions considered </w:t>
      </w:r>
      <w:r>
        <w:rPr>
          <w:rFonts w:ascii="Times New Roman" w:hAnsi="Times New Roman"/>
        </w:rPr>
        <w:t>recovery or reconstruction of Sarajevo documents</w:t>
      </w:r>
      <w:r>
        <w:rPr>
          <w:rFonts w:ascii="Times New Roman" w:hAnsi="Times New Roman"/>
        </w:rPr>
        <w:t xml:space="preserve"> to be part of a larger cause that fit into the mission of the individual library. A final analysis </w:t>
      </w:r>
      <w:r>
        <w:rPr>
          <w:rFonts w:ascii="Times New Roman" w:hAnsi="Times New Roman"/>
        </w:rPr>
        <w:t xml:space="preserve">of librarian sentiment </w:t>
      </w:r>
      <w:r>
        <w:rPr>
          <w:rFonts w:ascii="Times New Roman" w:hAnsi="Times New Roman"/>
        </w:rPr>
        <w:t xml:space="preserve">looked not </w:t>
      </w:r>
      <w:r>
        <w:rPr>
          <w:rFonts w:ascii="Times New Roman" w:hAnsi="Times New Roman"/>
        </w:rPr>
        <w:t>at</w:t>
      </w:r>
      <w:r>
        <w:rPr>
          <w:rFonts w:ascii="Times New Roman" w:hAnsi="Times New Roman"/>
        </w:rPr>
        <w:t xml:space="preserve"> public statement</w:t>
      </w:r>
      <w:r>
        <w:rPr>
          <w:rFonts w:ascii="Times New Roman" w:hAnsi="Times New Roman"/>
        </w:rPr>
        <w:t xml:space="preserve">s </w:t>
      </w:r>
      <w:r>
        <w:rPr>
          <w:rFonts w:ascii="Times New Roman" w:hAnsi="Times New Roman"/>
        </w:rPr>
        <w:t xml:space="preserve">online, </w:t>
      </w:r>
      <w:r>
        <w:rPr>
          <w:rFonts w:ascii="Times New Roman" w:hAnsi="Times New Roman"/>
        </w:rPr>
        <w:t xml:space="preserve">but </w:t>
      </w:r>
      <w:r>
        <w:rPr>
          <w:rFonts w:ascii="Times New Roman" w:hAnsi="Times New Roman"/>
        </w:rPr>
        <w:t>a</w:t>
      </w:r>
      <w:r>
        <w:rPr>
          <w:rFonts w:ascii="Times New Roman" w:hAnsi="Times New Roman"/>
        </w:rPr>
        <w:t>t the views</w:t>
      </w:r>
      <w:r>
        <w:rPr>
          <w:rFonts w:ascii="Times New Roman" w:hAnsi="Times New Roman"/>
        </w:rPr>
        <w:t xml:space="preserve"> inherent in the collections themselves, available in the public catalog</w:t>
      </w:r>
      <w:r>
        <w:rPr>
          <w:rFonts w:ascii="Times New Roman" w:hAnsi="Times New Roman"/>
        </w:rPr>
        <w:t xml:space="preserve"> from those few collections that had a much more direct response to events in Bosnia</w:t>
      </w:r>
      <w:r>
        <w:rPr>
          <w:rFonts w:ascii="Times New Roman" w:hAnsi="Times New Roman"/>
        </w:rPr>
        <w:t xml:space="preserve">. I compared </w:t>
      </w:r>
      <w:r>
        <w:rPr>
          <w:rFonts w:ascii="Times New Roman" w:hAnsi="Times New Roman"/>
        </w:rPr>
        <w:t>the collections</w:t>
      </w:r>
      <w:r>
        <w:rPr>
          <w:rFonts w:ascii="Times New Roman" w:hAnsi="Times New Roman"/>
        </w:rPr>
        <w:t xml:space="preserve"> from the Human Rights Archive at Duke University, the Bosnia Memory Project at Fontbonne University, and the Fine Arts Library at Harvard University </w:t>
      </w:r>
      <w:r>
        <w:rPr>
          <w:rFonts w:ascii="Times New Roman" w:hAnsi="Times New Roman"/>
        </w:rPr>
        <w:t xml:space="preserve">and compared them </w:t>
      </w:r>
      <w:r>
        <w:rPr>
          <w:rFonts w:ascii="Times New Roman" w:hAnsi="Times New Roman"/>
        </w:rPr>
        <w:t xml:space="preserve">with several similar collections from the </w:t>
      </w:r>
      <w:r>
        <w:rPr>
          <w:rFonts w:ascii="Times New Roman" w:hAnsi="Times New Roman"/>
        </w:rPr>
        <w:t xml:space="preserve">overall </w:t>
      </w:r>
      <w:r>
        <w:rPr>
          <w:rFonts w:ascii="Times New Roman" w:hAnsi="Times New Roman"/>
        </w:rPr>
        <w:t xml:space="preserve">group to get a sense </w:t>
      </w:r>
      <w:r>
        <w:rPr>
          <w:rFonts w:ascii="Times New Roman" w:hAnsi="Times New Roman"/>
        </w:rPr>
        <w:t xml:space="preserve">for </w:t>
      </w:r>
      <w:r>
        <w:rPr>
          <w:rFonts w:ascii="Times New Roman" w:hAnsi="Times New Roman"/>
        </w:rPr>
        <w:t xml:space="preserve">what these three libraries considered important </w:t>
      </w:r>
      <w:r>
        <w:rPr>
          <w:rFonts w:ascii="Times New Roman" w:hAnsi="Times New Roman"/>
        </w:rPr>
        <w:t>in forming their collections</w:t>
      </w:r>
      <w:r>
        <w:rPr>
          <w:rFonts w:ascii="Times New Roman" w:hAnsi="Times New Roman"/>
        </w:rPr>
        <w:t xml:space="preserve"> and how general those concerns might be</w:t>
      </w:r>
      <w:r>
        <w:rPr>
          <w:rFonts w:ascii="Times New Roman" w:hAnsi="Times New Roman"/>
        </w:rPr>
        <w:t xml:space="preserve"> to special collections in the United States</w:t>
      </w:r>
      <w:r>
        <w:rPr>
          <w:rFonts w:ascii="Times New Roman" w:hAnsi="Times New Roman"/>
        </w:rPr>
        <w:t xml:space="preserve">. Each has a different approach, trying to include library destruction in the record of potential war crimes, </w:t>
      </w:r>
      <w:r>
        <w:rPr>
          <w:rFonts w:ascii="Times New Roman" w:hAnsi="Times New Roman"/>
        </w:rPr>
        <w:t xml:space="preserve">to </w:t>
      </w:r>
      <w:r>
        <w:rPr>
          <w:rFonts w:ascii="Times New Roman" w:hAnsi="Times New Roman"/>
        </w:rPr>
        <w:t xml:space="preserve">help the people who have left Bosnia-Herzegovina connect with common heritage, or </w:t>
      </w:r>
      <w:r>
        <w:rPr>
          <w:rFonts w:ascii="Times New Roman" w:hAnsi="Times New Roman"/>
        </w:rPr>
        <w:t xml:space="preserve">to </w:t>
      </w:r>
      <w:r>
        <w:rPr>
          <w:rFonts w:ascii="Times New Roman" w:hAnsi="Times New Roman"/>
        </w:rPr>
        <w:t>record the loss of cultural treasures, respectively.</w:t>
      </w:r>
      <w:r>
        <w:rPr>
          <w:rFonts w:ascii="Times New Roman" w:hAnsi="Times New Roman"/>
        </w:rPr>
        <w:t xml:space="preserve"> In the end, collections show how librarians seek to serve their users, to act as stewards of culture for their intended audiences, and to shape the foundations to humanities research.</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b/>
          <w:b/>
          <w:bCs/>
        </w:rPr>
      </w:pPr>
      <w:r>
        <w:rPr>
          <w:rFonts w:ascii="Times New Roman" w:hAnsi="Times New Roman"/>
          <w:b/>
          <w:bCs/>
        </w:rPr>
        <w:t>Data</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 xml:space="preserve">Initial results just how few of the tweets related to this topic directly. For instance, tweets about Serbian, (i.e. looking for topics such as Serbian actions, Serbian forces, Serbian war crimes, etc.) tended to cover a wide variety of issues, few of them having anything to do with libraries during the Bosnian war. </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18186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1818640"/>
                    </a:xfrm>
                    <a:prstGeom prst="rect">
                      <a:avLst/>
                    </a:prstGeom>
                  </pic:spPr>
                </pic:pic>
              </a:graphicData>
            </a:graphic>
          </wp:anchor>
        </w:drawing>
      </w:r>
      <w:r>
        <w:rPr>
          <w:rFonts w:ascii="Times New Roman" w:hAnsi="Times New Roman"/>
        </w:rPr>
        <w:t>H</w:t>
      </w:r>
      <w:r>
        <w:rPr>
          <w:rFonts w:ascii="Times New Roman" w:hAnsi="Times New Roman"/>
        </w:rPr>
        <w:t xml:space="preserve">owever, going through the process of coding all of the tweets returned for these terms did demonstrate enough </w:t>
      </w:r>
      <w:r>
        <w:rPr>
          <w:rFonts w:ascii="Times New Roman" w:hAnsi="Times New Roman"/>
        </w:rPr>
        <w:t>excerpts</w:t>
      </w:r>
      <w:r>
        <w:rPr>
          <w:rFonts w:ascii="Times New Roman" w:hAnsi="Times New Roman"/>
        </w:rPr>
        <w:t xml:space="preserve"> with declarations about library aims in such a way that it was possible to weigh sentiment.</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tbl>
      <w:tblPr>
        <w:tblW w:w="9670" w:type="dxa"/>
        <w:jc w:val="left"/>
        <w:tblInd w:w="-30" w:type="dxa"/>
        <w:tblLayout w:type="fixed"/>
        <w:tblCellMar>
          <w:top w:w="0" w:type="dxa"/>
          <w:left w:w="30" w:type="dxa"/>
          <w:bottom w:w="0" w:type="dxa"/>
          <w:right w:w="30" w:type="dxa"/>
        </w:tblCellMar>
      </w:tblPr>
      <w:tblGrid>
        <w:gridCol w:w="994"/>
        <w:gridCol w:w="964"/>
        <w:gridCol w:w="964"/>
        <w:gridCol w:w="964"/>
        <w:gridCol w:w="964"/>
        <w:gridCol w:w="963"/>
        <w:gridCol w:w="964"/>
        <w:gridCol w:w="964"/>
        <w:gridCol w:w="964"/>
        <w:gridCol w:w="964"/>
      </w:tblGrid>
      <w:tr>
        <w:trPr>
          <w:trHeight w:val="255" w:hRule="atLeast"/>
        </w:trPr>
        <w:tc>
          <w:tcPr>
            <w:tcW w:w="994" w:type="dxa"/>
            <w:tcBorders/>
            <w:vAlign w:val="bottom"/>
          </w:tcPr>
          <w:p>
            <w:pPr>
              <w:pStyle w:val="Normal"/>
              <w:tabs>
                <w:tab w:val="clear" w:pos="720"/>
              </w:tabs>
              <w:bidi w:val="0"/>
              <w:jc w:val="left"/>
              <w:rPr/>
            </w:pPr>
            <w:r>
              <w:rPr/>
            </w:r>
          </w:p>
        </w:tc>
        <w:tc>
          <w:tcPr>
            <w:tcW w:w="964" w:type="dxa"/>
            <w:tcBorders/>
            <w:vAlign w:val="bottom"/>
          </w:tcPr>
          <w:p>
            <w:pPr>
              <w:pStyle w:val="Normal"/>
              <w:tabs>
                <w:tab w:val="clear" w:pos="720"/>
              </w:tabs>
              <w:bidi w:val="0"/>
              <w:jc w:val="left"/>
              <w:rPr/>
            </w:pPr>
            <w:r>
              <w:rPr/>
              <w:t>Count</w:t>
            </w:r>
          </w:p>
        </w:tc>
        <w:tc>
          <w:tcPr>
            <w:tcW w:w="964" w:type="dxa"/>
            <w:tcBorders/>
            <w:vAlign w:val="bottom"/>
          </w:tcPr>
          <w:p>
            <w:pPr>
              <w:pStyle w:val="Normal"/>
              <w:tabs>
                <w:tab w:val="clear" w:pos="720"/>
              </w:tabs>
              <w:bidi w:val="0"/>
              <w:jc w:val="left"/>
              <w:rPr/>
            </w:pPr>
            <w:r>
              <w:rPr/>
              <w:t>Min</w:t>
            </w:r>
          </w:p>
        </w:tc>
        <w:tc>
          <w:tcPr>
            <w:tcW w:w="964" w:type="dxa"/>
            <w:tcBorders/>
            <w:vAlign w:val="bottom"/>
          </w:tcPr>
          <w:p>
            <w:pPr>
              <w:pStyle w:val="Normal"/>
              <w:tabs>
                <w:tab w:val="clear" w:pos="720"/>
              </w:tabs>
              <w:bidi w:val="0"/>
              <w:jc w:val="left"/>
              <w:rPr/>
            </w:pPr>
            <w:r>
              <w:rPr/>
              <w:t>Max</w:t>
            </w:r>
          </w:p>
        </w:tc>
        <w:tc>
          <w:tcPr>
            <w:tcW w:w="964" w:type="dxa"/>
            <w:tcBorders/>
            <w:vAlign w:val="bottom"/>
          </w:tcPr>
          <w:p>
            <w:pPr>
              <w:pStyle w:val="Normal"/>
              <w:tabs>
                <w:tab w:val="clear" w:pos="720"/>
              </w:tabs>
              <w:bidi w:val="0"/>
              <w:jc w:val="left"/>
              <w:rPr/>
            </w:pPr>
            <w:r>
              <w:rPr/>
              <w:t>Mean</w:t>
            </w:r>
          </w:p>
        </w:tc>
        <w:tc>
          <w:tcPr>
            <w:tcW w:w="963" w:type="dxa"/>
            <w:tcBorders/>
            <w:vAlign w:val="bottom"/>
          </w:tcPr>
          <w:p>
            <w:pPr>
              <w:pStyle w:val="Normal"/>
              <w:tabs>
                <w:tab w:val="clear" w:pos="720"/>
              </w:tabs>
              <w:bidi w:val="0"/>
              <w:jc w:val="left"/>
              <w:rPr/>
            </w:pPr>
            <w:r>
              <w:rPr/>
              <w:t>Median</w:t>
            </w:r>
          </w:p>
        </w:tc>
        <w:tc>
          <w:tcPr>
            <w:tcW w:w="964" w:type="dxa"/>
            <w:tcBorders/>
            <w:vAlign w:val="bottom"/>
          </w:tcPr>
          <w:p>
            <w:pPr>
              <w:pStyle w:val="Normal"/>
              <w:tabs>
                <w:tab w:val="clear" w:pos="720"/>
              </w:tabs>
              <w:bidi w:val="0"/>
              <w:jc w:val="left"/>
              <w:rPr/>
            </w:pPr>
            <w:r>
              <w:rPr/>
              <w:t>Range</w:t>
            </w:r>
          </w:p>
        </w:tc>
        <w:tc>
          <w:tcPr>
            <w:tcW w:w="964" w:type="dxa"/>
            <w:tcBorders/>
            <w:vAlign w:val="bottom"/>
          </w:tcPr>
          <w:p>
            <w:pPr>
              <w:pStyle w:val="Normal"/>
              <w:tabs>
                <w:tab w:val="clear" w:pos="720"/>
              </w:tabs>
              <w:bidi w:val="0"/>
              <w:jc w:val="left"/>
              <w:rPr/>
            </w:pPr>
            <w:r>
              <w:rPr/>
              <w:t>Sum</w:t>
            </w:r>
          </w:p>
        </w:tc>
        <w:tc>
          <w:tcPr>
            <w:tcW w:w="964" w:type="dxa"/>
            <w:tcBorders/>
            <w:vAlign w:val="bottom"/>
          </w:tcPr>
          <w:p>
            <w:pPr>
              <w:pStyle w:val="Normal"/>
              <w:tabs>
                <w:tab w:val="clear" w:pos="720"/>
              </w:tabs>
              <w:bidi w:val="0"/>
              <w:jc w:val="left"/>
              <w:rPr/>
            </w:pPr>
            <w:r>
              <w:rPr/>
              <w:t>SD</w:t>
            </w:r>
          </w:p>
        </w:tc>
        <w:tc>
          <w:tcPr>
            <w:tcW w:w="964" w:type="dxa"/>
            <w:tcBorders/>
            <w:vAlign w:val="bottom"/>
          </w:tcPr>
          <w:p>
            <w:pPr>
              <w:pStyle w:val="Normal"/>
              <w:tabs>
                <w:tab w:val="clear" w:pos="720"/>
              </w:tabs>
              <w:bidi w:val="0"/>
              <w:jc w:val="left"/>
              <w:rPr/>
            </w:pPr>
            <w:r>
              <w:rPr/>
              <w:t>Variance</w:t>
            </w:r>
          </w:p>
        </w:tc>
      </w:tr>
      <w:tr>
        <w:trPr>
          <w:trHeight w:val="255" w:hRule="atLeast"/>
        </w:trPr>
        <w:tc>
          <w:tcPr>
            <w:tcW w:w="994" w:type="dxa"/>
            <w:tcBorders/>
            <w:vAlign w:val="bottom"/>
          </w:tcPr>
          <w:p>
            <w:pPr>
              <w:pStyle w:val="Normal"/>
              <w:tabs>
                <w:tab w:val="clear" w:pos="720"/>
              </w:tabs>
              <w:bidi w:val="0"/>
              <w:jc w:val="left"/>
              <w:rPr/>
            </w:pPr>
            <w:r>
              <w:rPr/>
              <w:tab/>
              <w:t>condemn</w:t>
            </w:r>
          </w:p>
        </w:tc>
        <w:tc>
          <w:tcPr>
            <w:tcW w:w="964" w:type="dxa"/>
            <w:tcBorders/>
            <w:vAlign w:val="bottom"/>
          </w:tcPr>
          <w:p>
            <w:pPr>
              <w:pStyle w:val="Normal"/>
              <w:tabs>
                <w:tab w:val="clear" w:pos="720"/>
              </w:tabs>
              <w:bidi w:val="0"/>
              <w:jc w:val="right"/>
              <w:rPr/>
            </w:pPr>
            <w:r>
              <w:rPr/>
              <w:t>16</w:t>
            </w:r>
          </w:p>
        </w:tc>
        <w:tc>
          <w:tcPr>
            <w:tcW w:w="964" w:type="dxa"/>
            <w:tcBorders/>
            <w:vAlign w:val="bottom"/>
          </w:tcPr>
          <w:p>
            <w:pPr>
              <w:pStyle w:val="Normal"/>
              <w:tabs>
                <w:tab w:val="clear" w:pos="720"/>
              </w:tabs>
              <w:bidi w:val="0"/>
              <w:jc w:val="right"/>
              <w:rPr/>
            </w:pPr>
            <w:r>
              <w:rPr/>
              <w:t>0</w:t>
            </w:r>
          </w:p>
        </w:tc>
        <w:tc>
          <w:tcPr>
            <w:tcW w:w="964" w:type="dxa"/>
            <w:tcBorders/>
            <w:vAlign w:val="bottom"/>
          </w:tcPr>
          <w:p>
            <w:pPr>
              <w:pStyle w:val="Normal"/>
              <w:tabs>
                <w:tab w:val="clear" w:pos="720"/>
              </w:tabs>
              <w:bidi w:val="0"/>
              <w:jc w:val="right"/>
              <w:rPr/>
            </w:pPr>
            <w:r>
              <w:rPr/>
              <w:t>7</w:t>
            </w:r>
          </w:p>
        </w:tc>
        <w:tc>
          <w:tcPr>
            <w:tcW w:w="964" w:type="dxa"/>
            <w:tcBorders/>
            <w:vAlign w:val="bottom"/>
          </w:tcPr>
          <w:p>
            <w:pPr>
              <w:pStyle w:val="Normal"/>
              <w:tabs>
                <w:tab w:val="clear" w:pos="720"/>
              </w:tabs>
              <w:bidi w:val="0"/>
              <w:jc w:val="right"/>
              <w:rPr/>
            </w:pPr>
            <w:r>
              <w:rPr/>
              <w:t>4.8</w:t>
            </w:r>
          </w:p>
        </w:tc>
        <w:tc>
          <w:tcPr>
            <w:tcW w:w="963" w:type="dxa"/>
            <w:tcBorders/>
            <w:vAlign w:val="bottom"/>
          </w:tcPr>
          <w:p>
            <w:pPr>
              <w:pStyle w:val="Normal"/>
              <w:tabs>
                <w:tab w:val="clear" w:pos="720"/>
              </w:tabs>
              <w:bidi w:val="0"/>
              <w:jc w:val="right"/>
              <w:rPr/>
            </w:pPr>
            <w:r>
              <w:rPr/>
              <w:t>5</w:t>
            </w:r>
          </w:p>
        </w:tc>
        <w:tc>
          <w:tcPr>
            <w:tcW w:w="964" w:type="dxa"/>
            <w:tcBorders/>
            <w:vAlign w:val="bottom"/>
          </w:tcPr>
          <w:p>
            <w:pPr>
              <w:pStyle w:val="Normal"/>
              <w:tabs>
                <w:tab w:val="clear" w:pos="720"/>
              </w:tabs>
              <w:bidi w:val="0"/>
              <w:jc w:val="right"/>
              <w:rPr/>
            </w:pPr>
            <w:r>
              <w:rPr/>
              <w:t>7</w:t>
            </w:r>
          </w:p>
        </w:tc>
        <w:tc>
          <w:tcPr>
            <w:tcW w:w="964" w:type="dxa"/>
            <w:tcBorders/>
            <w:vAlign w:val="bottom"/>
          </w:tcPr>
          <w:p>
            <w:pPr>
              <w:pStyle w:val="Normal"/>
              <w:tabs>
                <w:tab w:val="clear" w:pos="720"/>
              </w:tabs>
              <w:bidi w:val="0"/>
              <w:jc w:val="right"/>
              <w:rPr/>
            </w:pPr>
            <w:r>
              <w:rPr/>
              <w:t>77</w:t>
            </w:r>
          </w:p>
        </w:tc>
        <w:tc>
          <w:tcPr>
            <w:tcW w:w="964" w:type="dxa"/>
            <w:tcBorders/>
            <w:vAlign w:val="bottom"/>
          </w:tcPr>
          <w:p>
            <w:pPr>
              <w:pStyle w:val="Normal"/>
              <w:tabs>
                <w:tab w:val="clear" w:pos="720"/>
              </w:tabs>
              <w:bidi w:val="0"/>
              <w:jc w:val="right"/>
              <w:rPr/>
            </w:pPr>
            <w:r>
              <w:rPr/>
              <w:t>1.8</w:t>
            </w:r>
          </w:p>
        </w:tc>
        <w:tc>
          <w:tcPr>
            <w:tcW w:w="964" w:type="dxa"/>
            <w:tcBorders/>
            <w:vAlign w:val="bottom"/>
          </w:tcPr>
          <w:p>
            <w:pPr>
              <w:pStyle w:val="Normal"/>
              <w:tabs>
                <w:tab w:val="clear" w:pos="720"/>
              </w:tabs>
              <w:bidi w:val="0"/>
              <w:jc w:val="right"/>
              <w:rPr/>
            </w:pPr>
            <w:r>
              <w:rPr/>
              <w:t>3.1</w:t>
            </w:r>
          </w:p>
        </w:tc>
      </w:tr>
      <w:tr>
        <w:trPr>
          <w:trHeight w:val="255" w:hRule="atLeast"/>
        </w:trPr>
        <w:tc>
          <w:tcPr>
            <w:tcW w:w="994" w:type="dxa"/>
            <w:tcBorders/>
            <w:vAlign w:val="bottom"/>
          </w:tcPr>
          <w:p>
            <w:pPr>
              <w:pStyle w:val="Normal"/>
              <w:tabs>
                <w:tab w:val="clear" w:pos="720"/>
              </w:tabs>
              <w:bidi w:val="0"/>
              <w:jc w:val="left"/>
              <w:rPr/>
            </w:pPr>
            <w:r>
              <w:rPr/>
              <w:tab/>
              <w:t>help</w:t>
            </w:r>
          </w:p>
        </w:tc>
        <w:tc>
          <w:tcPr>
            <w:tcW w:w="964" w:type="dxa"/>
            <w:tcBorders/>
            <w:vAlign w:val="bottom"/>
          </w:tcPr>
          <w:p>
            <w:pPr>
              <w:pStyle w:val="Normal"/>
              <w:tabs>
                <w:tab w:val="clear" w:pos="720"/>
              </w:tabs>
              <w:bidi w:val="0"/>
              <w:jc w:val="right"/>
              <w:rPr/>
            </w:pPr>
            <w:r>
              <w:rPr/>
              <w:t>2</w:t>
            </w:r>
          </w:p>
        </w:tc>
        <w:tc>
          <w:tcPr>
            <w:tcW w:w="964" w:type="dxa"/>
            <w:tcBorders/>
            <w:vAlign w:val="bottom"/>
          </w:tcPr>
          <w:p>
            <w:pPr>
              <w:pStyle w:val="Normal"/>
              <w:tabs>
                <w:tab w:val="clear" w:pos="720"/>
              </w:tabs>
              <w:bidi w:val="0"/>
              <w:jc w:val="right"/>
              <w:rPr/>
            </w:pPr>
            <w:r>
              <w:rPr/>
              <w:t>3</w:t>
            </w:r>
          </w:p>
        </w:tc>
        <w:tc>
          <w:tcPr>
            <w:tcW w:w="964" w:type="dxa"/>
            <w:tcBorders/>
            <w:vAlign w:val="bottom"/>
          </w:tcPr>
          <w:p>
            <w:pPr>
              <w:pStyle w:val="Normal"/>
              <w:tabs>
                <w:tab w:val="clear" w:pos="720"/>
              </w:tabs>
              <w:bidi w:val="0"/>
              <w:jc w:val="right"/>
              <w:rPr/>
            </w:pPr>
            <w:r>
              <w:rPr/>
              <w:t>5</w:t>
            </w:r>
          </w:p>
        </w:tc>
        <w:tc>
          <w:tcPr>
            <w:tcW w:w="964" w:type="dxa"/>
            <w:tcBorders/>
            <w:vAlign w:val="bottom"/>
          </w:tcPr>
          <w:p>
            <w:pPr>
              <w:pStyle w:val="Normal"/>
              <w:tabs>
                <w:tab w:val="clear" w:pos="720"/>
              </w:tabs>
              <w:bidi w:val="0"/>
              <w:jc w:val="right"/>
              <w:rPr/>
            </w:pPr>
            <w:r>
              <w:rPr/>
              <w:t>4</w:t>
            </w:r>
          </w:p>
        </w:tc>
        <w:tc>
          <w:tcPr>
            <w:tcW w:w="963" w:type="dxa"/>
            <w:tcBorders/>
            <w:vAlign w:val="bottom"/>
          </w:tcPr>
          <w:p>
            <w:pPr>
              <w:pStyle w:val="Normal"/>
              <w:tabs>
                <w:tab w:val="clear" w:pos="720"/>
              </w:tabs>
              <w:bidi w:val="0"/>
              <w:jc w:val="right"/>
              <w:rPr/>
            </w:pPr>
            <w:r>
              <w:rPr/>
              <w:t>4</w:t>
            </w:r>
          </w:p>
        </w:tc>
        <w:tc>
          <w:tcPr>
            <w:tcW w:w="964" w:type="dxa"/>
            <w:tcBorders/>
            <w:vAlign w:val="bottom"/>
          </w:tcPr>
          <w:p>
            <w:pPr>
              <w:pStyle w:val="Normal"/>
              <w:tabs>
                <w:tab w:val="clear" w:pos="720"/>
              </w:tabs>
              <w:bidi w:val="0"/>
              <w:jc w:val="right"/>
              <w:rPr/>
            </w:pPr>
            <w:r>
              <w:rPr/>
              <w:t>2</w:t>
            </w:r>
          </w:p>
        </w:tc>
        <w:tc>
          <w:tcPr>
            <w:tcW w:w="964" w:type="dxa"/>
            <w:tcBorders/>
            <w:vAlign w:val="bottom"/>
          </w:tcPr>
          <w:p>
            <w:pPr>
              <w:pStyle w:val="Normal"/>
              <w:tabs>
                <w:tab w:val="clear" w:pos="720"/>
              </w:tabs>
              <w:bidi w:val="0"/>
              <w:jc w:val="right"/>
              <w:rPr/>
            </w:pPr>
            <w:r>
              <w:rPr/>
              <w:t>8</w:t>
            </w:r>
          </w:p>
        </w:tc>
        <w:tc>
          <w:tcPr>
            <w:tcW w:w="964" w:type="dxa"/>
            <w:tcBorders/>
            <w:vAlign w:val="bottom"/>
          </w:tcPr>
          <w:p>
            <w:pPr>
              <w:pStyle w:val="Normal"/>
              <w:tabs>
                <w:tab w:val="clear" w:pos="720"/>
              </w:tabs>
              <w:bidi w:val="0"/>
              <w:jc w:val="right"/>
              <w:rPr/>
            </w:pPr>
            <w:r>
              <w:rPr/>
              <w:t>1.4</w:t>
            </w:r>
          </w:p>
        </w:tc>
        <w:tc>
          <w:tcPr>
            <w:tcW w:w="964" w:type="dxa"/>
            <w:tcBorders/>
            <w:vAlign w:val="bottom"/>
          </w:tcPr>
          <w:p>
            <w:pPr>
              <w:pStyle w:val="Normal"/>
              <w:tabs>
                <w:tab w:val="clear" w:pos="720"/>
              </w:tabs>
              <w:bidi w:val="0"/>
              <w:jc w:val="right"/>
              <w:rPr/>
            </w:pPr>
            <w:r>
              <w:rPr/>
              <w:t>2</w:t>
            </w:r>
          </w:p>
        </w:tc>
      </w:tr>
      <w:tr>
        <w:trPr>
          <w:trHeight w:val="255" w:hRule="atLeast"/>
        </w:trPr>
        <w:tc>
          <w:tcPr>
            <w:tcW w:w="994" w:type="dxa"/>
            <w:tcBorders/>
            <w:vAlign w:val="bottom"/>
          </w:tcPr>
          <w:p>
            <w:pPr>
              <w:pStyle w:val="Normal"/>
              <w:tabs>
                <w:tab w:val="clear" w:pos="720"/>
              </w:tabs>
              <w:bidi w:val="0"/>
              <w:jc w:val="left"/>
              <w:rPr/>
            </w:pPr>
            <w:r>
              <w:rPr/>
              <w:tab/>
              <w:t>inform</w:t>
            </w:r>
          </w:p>
        </w:tc>
        <w:tc>
          <w:tcPr>
            <w:tcW w:w="964" w:type="dxa"/>
            <w:tcBorders/>
            <w:vAlign w:val="bottom"/>
          </w:tcPr>
          <w:p>
            <w:pPr>
              <w:pStyle w:val="Normal"/>
              <w:tabs>
                <w:tab w:val="clear" w:pos="720"/>
              </w:tabs>
              <w:bidi w:val="0"/>
              <w:jc w:val="right"/>
              <w:rPr/>
            </w:pPr>
            <w:r>
              <w:rPr/>
              <w:t>73</w:t>
            </w:r>
          </w:p>
        </w:tc>
        <w:tc>
          <w:tcPr>
            <w:tcW w:w="964" w:type="dxa"/>
            <w:tcBorders/>
            <w:vAlign w:val="bottom"/>
          </w:tcPr>
          <w:p>
            <w:pPr>
              <w:pStyle w:val="Normal"/>
              <w:tabs>
                <w:tab w:val="clear" w:pos="720"/>
              </w:tabs>
              <w:bidi w:val="0"/>
              <w:jc w:val="right"/>
              <w:rPr/>
            </w:pPr>
            <w:r>
              <w:rPr/>
              <w:t>1</w:t>
            </w:r>
          </w:p>
        </w:tc>
        <w:tc>
          <w:tcPr>
            <w:tcW w:w="964" w:type="dxa"/>
            <w:tcBorders/>
            <w:vAlign w:val="bottom"/>
          </w:tcPr>
          <w:p>
            <w:pPr>
              <w:pStyle w:val="Normal"/>
              <w:tabs>
                <w:tab w:val="clear" w:pos="720"/>
              </w:tabs>
              <w:bidi w:val="0"/>
              <w:jc w:val="right"/>
              <w:rPr/>
            </w:pPr>
            <w:r>
              <w:rPr/>
              <w:t>7</w:t>
            </w:r>
          </w:p>
        </w:tc>
        <w:tc>
          <w:tcPr>
            <w:tcW w:w="964" w:type="dxa"/>
            <w:tcBorders/>
            <w:vAlign w:val="bottom"/>
          </w:tcPr>
          <w:p>
            <w:pPr>
              <w:pStyle w:val="Normal"/>
              <w:tabs>
                <w:tab w:val="clear" w:pos="720"/>
              </w:tabs>
              <w:bidi w:val="0"/>
              <w:jc w:val="right"/>
              <w:rPr/>
            </w:pPr>
            <w:r>
              <w:rPr/>
              <w:t>4.3</w:t>
            </w:r>
          </w:p>
        </w:tc>
        <w:tc>
          <w:tcPr>
            <w:tcW w:w="963" w:type="dxa"/>
            <w:tcBorders/>
            <w:vAlign w:val="bottom"/>
          </w:tcPr>
          <w:p>
            <w:pPr>
              <w:pStyle w:val="Normal"/>
              <w:tabs>
                <w:tab w:val="clear" w:pos="720"/>
              </w:tabs>
              <w:bidi w:val="0"/>
              <w:jc w:val="right"/>
              <w:rPr/>
            </w:pPr>
            <w:r>
              <w:rPr/>
              <w:t>5</w:t>
            </w:r>
          </w:p>
        </w:tc>
        <w:tc>
          <w:tcPr>
            <w:tcW w:w="964" w:type="dxa"/>
            <w:tcBorders/>
            <w:vAlign w:val="bottom"/>
          </w:tcPr>
          <w:p>
            <w:pPr>
              <w:pStyle w:val="Normal"/>
              <w:tabs>
                <w:tab w:val="clear" w:pos="720"/>
              </w:tabs>
              <w:bidi w:val="0"/>
              <w:jc w:val="right"/>
              <w:rPr/>
            </w:pPr>
            <w:r>
              <w:rPr/>
              <w:t>6</w:t>
            </w:r>
          </w:p>
        </w:tc>
        <w:tc>
          <w:tcPr>
            <w:tcW w:w="964" w:type="dxa"/>
            <w:tcBorders/>
            <w:vAlign w:val="bottom"/>
          </w:tcPr>
          <w:p>
            <w:pPr>
              <w:pStyle w:val="Normal"/>
              <w:tabs>
                <w:tab w:val="clear" w:pos="720"/>
              </w:tabs>
              <w:bidi w:val="0"/>
              <w:jc w:val="right"/>
              <w:rPr/>
            </w:pPr>
            <w:r>
              <w:rPr/>
              <w:t>314</w:t>
            </w:r>
          </w:p>
        </w:tc>
        <w:tc>
          <w:tcPr>
            <w:tcW w:w="964" w:type="dxa"/>
            <w:tcBorders/>
            <w:vAlign w:val="bottom"/>
          </w:tcPr>
          <w:p>
            <w:pPr>
              <w:pStyle w:val="Normal"/>
              <w:tabs>
                <w:tab w:val="clear" w:pos="720"/>
              </w:tabs>
              <w:bidi w:val="0"/>
              <w:jc w:val="right"/>
              <w:rPr/>
            </w:pPr>
            <w:r>
              <w:rPr/>
              <w:t>1.1</w:t>
            </w:r>
          </w:p>
        </w:tc>
        <w:tc>
          <w:tcPr>
            <w:tcW w:w="964" w:type="dxa"/>
            <w:tcBorders/>
            <w:vAlign w:val="bottom"/>
          </w:tcPr>
          <w:p>
            <w:pPr>
              <w:pStyle w:val="Normal"/>
              <w:tabs>
                <w:tab w:val="clear" w:pos="720"/>
              </w:tabs>
              <w:bidi w:val="0"/>
              <w:jc w:val="right"/>
              <w:rPr/>
            </w:pPr>
            <w:r>
              <w:rPr/>
              <w:t>1.3</w:t>
            </w:r>
          </w:p>
        </w:tc>
      </w:tr>
      <w:tr>
        <w:trPr>
          <w:trHeight w:val="255" w:hRule="atLeast"/>
        </w:trPr>
        <w:tc>
          <w:tcPr>
            <w:tcW w:w="994" w:type="dxa"/>
            <w:tcBorders/>
            <w:vAlign w:val="bottom"/>
          </w:tcPr>
          <w:p>
            <w:pPr>
              <w:pStyle w:val="Normal"/>
              <w:tabs>
                <w:tab w:val="clear" w:pos="720"/>
              </w:tabs>
              <w:bidi w:val="0"/>
              <w:jc w:val="left"/>
              <w:rPr/>
            </w:pPr>
            <w:r>
              <w:rPr/>
              <w:tab/>
              <w:t>regret</w:t>
            </w:r>
          </w:p>
        </w:tc>
        <w:tc>
          <w:tcPr>
            <w:tcW w:w="964" w:type="dxa"/>
            <w:tcBorders/>
            <w:vAlign w:val="bottom"/>
          </w:tcPr>
          <w:p>
            <w:pPr>
              <w:pStyle w:val="Normal"/>
              <w:tabs>
                <w:tab w:val="clear" w:pos="720"/>
              </w:tabs>
              <w:bidi w:val="0"/>
              <w:jc w:val="right"/>
              <w:rPr/>
            </w:pPr>
            <w:r>
              <w:rPr/>
              <w:t>5</w:t>
            </w:r>
          </w:p>
        </w:tc>
        <w:tc>
          <w:tcPr>
            <w:tcW w:w="964" w:type="dxa"/>
            <w:tcBorders/>
            <w:vAlign w:val="bottom"/>
          </w:tcPr>
          <w:p>
            <w:pPr>
              <w:pStyle w:val="Normal"/>
              <w:tabs>
                <w:tab w:val="clear" w:pos="720"/>
              </w:tabs>
              <w:bidi w:val="0"/>
              <w:jc w:val="right"/>
              <w:rPr/>
            </w:pPr>
            <w:r>
              <w:rPr/>
              <w:t>3</w:t>
            </w:r>
          </w:p>
        </w:tc>
        <w:tc>
          <w:tcPr>
            <w:tcW w:w="964" w:type="dxa"/>
            <w:tcBorders/>
            <w:vAlign w:val="bottom"/>
          </w:tcPr>
          <w:p>
            <w:pPr>
              <w:pStyle w:val="Normal"/>
              <w:tabs>
                <w:tab w:val="clear" w:pos="720"/>
              </w:tabs>
              <w:bidi w:val="0"/>
              <w:jc w:val="right"/>
              <w:rPr/>
            </w:pPr>
            <w:r>
              <w:rPr/>
              <w:t>5</w:t>
            </w:r>
          </w:p>
        </w:tc>
        <w:tc>
          <w:tcPr>
            <w:tcW w:w="964" w:type="dxa"/>
            <w:tcBorders/>
            <w:vAlign w:val="bottom"/>
          </w:tcPr>
          <w:p>
            <w:pPr>
              <w:pStyle w:val="Normal"/>
              <w:tabs>
                <w:tab w:val="clear" w:pos="720"/>
              </w:tabs>
              <w:bidi w:val="0"/>
              <w:jc w:val="right"/>
              <w:rPr/>
            </w:pPr>
            <w:r>
              <w:rPr/>
              <w:t>4.2</w:t>
            </w:r>
          </w:p>
        </w:tc>
        <w:tc>
          <w:tcPr>
            <w:tcW w:w="963" w:type="dxa"/>
            <w:tcBorders/>
            <w:vAlign w:val="bottom"/>
          </w:tcPr>
          <w:p>
            <w:pPr>
              <w:pStyle w:val="Normal"/>
              <w:tabs>
                <w:tab w:val="clear" w:pos="720"/>
              </w:tabs>
              <w:bidi w:val="0"/>
              <w:jc w:val="right"/>
              <w:rPr/>
            </w:pPr>
            <w:r>
              <w:rPr/>
              <w:t>5</w:t>
            </w:r>
          </w:p>
        </w:tc>
        <w:tc>
          <w:tcPr>
            <w:tcW w:w="964" w:type="dxa"/>
            <w:tcBorders/>
            <w:vAlign w:val="bottom"/>
          </w:tcPr>
          <w:p>
            <w:pPr>
              <w:pStyle w:val="Normal"/>
              <w:tabs>
                <w:tab w:val="clear" w:pos="720"/>
              </w:tabs>
              <w:bidi w:val="0"/>
              <w:jc w:val="right"/>
              <w:rPr/>
            </w:pPr>
            <w:r>
              <w:rPr/>
              <w:t>2</w:t>
            </w:r>
          </w:p>
        </w:tc>
        <w:tc>
          <w:tcPr>
            <w:tcW w:w="964" w:type="dxa"/>
            <w:tcBorders/>
            <w:vAlign w:val="bottom"/>
          </w:tcPr>
          <w:p>
            <w:pPr>
              <w:pStyle w:val="Normal"/>
              <w:tabs>
                <w:tab w:val="clear" w:pos="720"/>
              </w:tabs>
              <w:bidi w:val="0"/>
              <w:jc w:val="right"/>
              <w:rPr/>
            </w:pPr>
            <w:r>
              <w:rPr/>
              <w:t>21</w:t>
            </w:r>
          </w:p>
        </w:tc>
        <w:tc>
          <w:tcPr>
            <w:tcW w:w="964" w:type="dxa"/>
            <w:tcBorders/>
            <w:vAlign w:val="bottom"/>
          </w:tcPr>
          <w:p>
            <w:pPr>
              <w:pStyle w:val="Normal"/>
              <w:tabs>
                <w:tab w:val="clear" w:pos="720"/>
              </w:tabs>
              <w:bidi w:val="0"/>
              <w:jc w:val="right"/>
              <w:rPr/>
            </w:pPr>
            <w:r>
              <w:rPr/>
              <w:t>1.1</w:t>
            </w:r>
          </w:p>
        </w:tc>
        <w:tc>
          <w:tcPr>
            <w:tcW w:w="964" w:type="dxa"/>
            <w:tcBorders/>
            <w:vAlign w:val="bottom"/>
          </w:tcPr>
          <w:p>
            <w:pPr>
              <w:pStyle w:val="Normal"/>
              <w:tabs>
                <w:tab w:val="clear" w:pos="720"/>
              </w:tabs>
              <w:bidi w:val="0"/>
              <w:jc w:val="right"/>
              <w:rPr/>
            </w:pPr>
            <w:r>
              <w:rPr/>
              <w:t>1.2</w:t>
            </w:r>
          </w:p>
        </w:tc>
      </w:tr>
      <w:tr>
        <w:trPr>
          <w:trHeight w:val="255" w:hRule="atLeast"/>
        </w:trPr>
        <w:tc>
          <w:tcPr>
            <w:tcW w:w="994" w:type="dxa"/>
            <w:tcBorders/>
            <w:vAlign w:val="bottom"/>
          </w:tcPr>
          <w:p>
            <w:pPr>
              <w:pStyle w:val="Normal"/>
              <w:tabs>
                <w:tab w:val="clear" w:pos="720"/>
              </w:tabs>
              <w:bidi w:val="0"/>
              <w:jc w:val="left"/>
              <w:rPr/>
            </w:pPr>
            <w:r>
              <w:rPr/>
              <w:tab/>
              <w:t>warn</w:t>
            </w:r>
          </w:p>
        </w:tc>
        <w:tc>
          <w:tcPr>
            <w:tcW w:w="964" w:type="dxa"/>
            <w:tcBorders/>
            <w:vAlign w:val="bottom"/>
          </w:tcPr>
          <w:p>
            <w:pPr>
              <w:pStyle w:val="Normal"/>
              <w:tabs>
                <w:tab w:val="clear" w:pos="720"/>
              </w:tabs>
              <w:bidi w:val="0"/>
              <w:jc w:val="right"/>
              <w:rPr/>
            </w:pPr>
            <w:r>
              <w:rPr/>
              <w:t>0</w:t>
            </w:r>
          </w:p>
        </w:tc>
        <w:tc>
          <w:tcPr>
            <w:tcW w:w="964" w:type="dxa"/>
            <w:tcBorders/>
            <w:vAlign w:val="bottom"/>
          </w:tcPr>
          <w:p>
            <w:pPr>
              <w:pStyle w:val="Normal"/>
              <w:tabs>
                <w:tab w:val="clear" w:pos="720"/>
              </w:tabs>
              <w:bidi w:val="0"/>
              <w:jc w:val="right"/>
              <w:rPr/>
            </w:pPr>
            <w:r>
              <w:rPr/>
              <w:t>0</w:t>
            </w:r>
          </w:p>
        </w:tc>
        <w:tc>
          <w:tcPr>
            <w:tcW w:w="964" w:type="dxa"/>
            <w:tcBorders/>
            <w:vAlign w:val="bottom"/>
          </w:tcPr>
          <w:p>
            <w:pPr>
              <w:pStyle w:val="Normal"/>
              <w:tabs>
                <w:tab w:val="clear" w:pos="720"/>
              </w:tabs>
              <w:bidi w:val="0"/>
              <w:jc w:val="right"/>
              <w:rPr/>
            </w:pPr>
            <w:r>
              <w:rPr/>
              <w:t>0</w:t>
            </w:r>
          </w:p>
        </w:tc>
        <w:tc>
          <w:tcPr>
            <w:tcW w:w="964" w:type="dxa"/>
            <w:tcBorders/>
            <w:vAlign w:val="bottom"/>
          </w:tcPr>
          <w:p>
            <w:pPr>
              <w:pStyle w:val="Normal"/>
              <w:tabs>
                <w:tab w:val="clear" w:pos="720"/>
              </w:tabs>
              <w:bidi w:val="0"/>
              <w:jc w:val="right"/>
              <w:rPr/>
            </w:pPr>
            <w:r>
              <w:rPr/>
              <w:t>0</w:t>
            </w:r>
          </w:p>
        </w:tc>
        <w:tc>
          <w:tcPr>
            <w:tcW w:w="963" w:type="dxa"/>
            <w:tcBorders/>
            <w:vAlign w:val="bottom"/>
          </w:tcPr>
          <w:p>
            <w:pPr>
              <w:pStyle w:val="Normal"/>
              <w:tabs>
                <w:tab w:val="clear" w:pos="720"/>
              </w:tabs>
              <w:bidi w:val="0"/>
              <w:jc w:val="right"/>
              <w:rPr/>
            </w:pPr>
            <w:r>
              <w:rPr/>
              <w:t>0</w:t>
            </w:r>
          </w:p>
        </w:tc>
        <w:tc>
          <w:tcPr>
            <w:tcW w:w="964" w:type="dxa"/>
            <w:tcBorders/>
            <w:vAlign w:val="bottom"/>
          </w:tcPr>
          <w:p>
            <w:pPr>
              <w:pStyle w:val="Normal"/>
              <w:tabs>
                <w:tab w:val="clear" w:pos="720"/>
              </w:tabs>
              <w:bidi w:val="0"/>
              <w:jc w:val="right"/>
              <w:rPr/>
            </w:pPr>
            <w:r>
              <w:rPr/>
              <w:t>0</w:t>
            </w:r>
          </w:p>
        </w:tc>
        <w:tc>
          <w:tcPr>
            <w:tcW w:w="964" w:type="dxa"/>
            <w:tcBorders/>
            <w:vAlign w:val="bottom"/>
          </w:tcPr>
          <w:p>
            <w:pPr>
              <w:pStyle w:val="Normal"/>
              <w:tabs>
                <w:tab w:val="clear" w:pos="720"/>
              </w:tabs>
              <w:bidi w:val="0"/>
              <w:jc w:val="right"/>
              <w:rPr/>
            </w:pPr>
            <w:r>
              <w:rPr/>
              <w:t>0</w:t>
            </w:r>
          </w:p>
        </w:tc>
        <w:tc>
          <w:tcPr>
            <w:tcW w:w="964" w:type="dxa"/>
            <w:tcBorders/>
            <w:vAlign w:val="bottom"/>
          </w:tcPr>
          <w:p>
            <w:pPr>
              <w:pStyle w:val="Normal"/>
              <w:tabs>
                <w:tab w:val="clear" w:pos="720"/>
              </w:tabs>
              <w:bidi w:val="0"/>
              <w:jc w:val="right"/>
              <w:rPr/>
            </w:pPr>
            <w:r>
              <w:rPr/>
              <w:t>0</w:t>
            </w:r>
          </w:p>
        </w:tc>
        <w:tc>
          <w:tcPr>
            <w:tcW w:w="964" w:type="dxa"/>
            <w:tcBorders/>
            <w:vAlign w:val="bottom"/>
          </w:tcPr>
          <w:p>
            <w:pPr>
              <w:pStyle w:val="Normal"/>
              <w:tabs>
                <w:tab w:val="clear" w:pos="720"/>
              </w:tabs>
              <w:bidi w:val="0"/>
              <w:jc w:val="right"/>
              <w:rPr/>
            </w:pPr>
            <w:r>
              <w:rPr/>
              <w:t>0</w:t>
            </w:r>
          </w:p>
        </w:tc>
      </w:tr>
    </w:tbl>
    <w:p>
      <w:pPr>
        <w:pStyle w:val="Normal"/>
        <w:bidi w:val="0"/>
        <w:jc w:val="left"/>
        <w:rPr/>
      </w:pPr>
      <w:r>
        <w:rPr/>
      </w:r>
    </w:p>
    <w:p>
      <w:pPr>
        <w:pStyle w:val="Normal"/>
        <w:bidi w:val="0"/>
        <w:jc w:val="left"/>
        <w:rPr/>
      </w:pPr>
      <w:r>
        <w:rPr>
          <w:rFonts w:ascii="Times New Roman" w:hAnsi="Times New Roman"/>
        </w:rPr>
        <w:t>The main thing to say about results like these</w:t>
      </w:r>
      <w:r>
        <w:rPr>
          <w:rFonts w:ascii="Times New Roman" w:hAnsi="Times New Roman"/>
        </w:rPr>
        <w:t xml:space="preserve"> </w:t>
      </w:r>
      <w:r>
        <w:rPr>
          <w:rFonts w:ascii="Times New Roman" w:hAnsi="Times New Roman"/>
        </w:rPr>
        <w:t xml:space="preserve">is that </w:t>
      </w:r>
      <w:r>
        <w:rPr>
          <w:rFonts w:ascii="Times New Roman" w:hAnsi="Times New Roman"/>
        </w:rPr>
        <w:t>they</w:t>
      </w:r>
      <w:r>
        <w:rPr>
          <w:rFonts w:ascii="Times New Roman" w:hAnsi="Times New Roman"/>
        </w:rPr>
        <w:t xml:space="preserve"> show that special collections in the United States largely use </w:t>
      </w:r>
      <w:r>
        <w:rPr>
          <w:rFonts w:ascii="Times New Roman" w:hAnsi="Times New Roman"/>
        </w:rPr>
        <w:t>T</w:t>
      </w:r>
      <w:r>
        <w:rPr>
          <w:rFonts w:ascii="Times New Roman" w:hAnsi="Times New Roman"/>
        </w:rPr>
        <w:t>witter to inform people about the events and collections in their own libraries. Tweets on libraries destroyed or books burned rarely had any connection to Sarajevo or any international collection at all, since the</w:t>
      </w:r>
      <w:r>
        <w:rPr>
          <w:rFonts w:ascii="Times New Roman" w:hAnsi="Times New Roman"/>
        </w:rPr>
        <w:t xml:space="preserve"> tweets on these topics</w:t>
      </w:r>
      <w:r>
        <w:rPr>
          <w:rFonts w:ascii="Times New Roman" w:hAnsi="Times New Roman"/>
        </w:rPr>
        <w:t xml:space="preserve"> also tended to focus on local interests</w:t>
      </w:r>
      <w:r>
        <w:rPr>
          <w:rFonts w:ascii="Times New Roman" w:hAnsi="Times New Roman"/>
        </w:rPr>
        <w:t>,</w:t>
      </w:r>
      <w:r>
        <w:rPr>
          <w:rFonts w:ascii="Times New Roman" w:hAnsi="Times New Roman"/>
        </w:rPr>
        <w:t xml:space="preserve"> such as "on this day" trivia or connections to publicity for collections on site</w:t>
      </w:r>
      <w:r>
        <w:rPr>
          <w:rFonts w:ascii="Times New Roman" w:hAnsi="Times New Roman"/>
        </w:rPr>
        <w:t>,</w:t>
      </w:r>
      <w:r>
        <w:rPr>
          <w:rFonts w:ascii="Times New Roman" w:hAnsi="Times New Roman"/>
        </w:rPr>
        <w:t xml:space="preserve"> with the exception of a few notices about Nazi book burning. The names of the authors Ovenden and Reidlemayer were searched for, after noticing the prevalence of author talks, and they did indeed bring back some of the most concrete references to the libraries in Sarajevo. Librarians announced that they liked a book about protecting libraries or had an author coming to campus. Even in these cases, informing the public was much more prevalent than any reaction to crimes of the past or concerns for the future. Much as archivists, and librarians in general, are seeking more and more to encourage more people to use their collections by including a wider body of material, none of these analyzed tweets mentioned anything about expanding collections. References to Islamic manuscripts were limited to new exhibits of beautiful works that had been acquired by collectors in the </w:t>
      </w:r>
      <w:r>
        <w:rPr>
          <w:rFonts w:ascii="Times New Roman" w:hAnsi="Times New Roman"/>
        </w:rPr>
        <w:t>heyday</w:t>
      </w:r>
      <w:r>
        <w:rPr>
          <w:rFonts w:ascii="Times New Roman" w:hAnsi="Times New Roman"/>
        </w:rPr>
        <w:t xml:space="preserve"> of Orientalism. </w:t>
      </w:r>
    </w:p>
    <w:p>
      <w:pPr>
        <w:pStyle w:val="Normal"/>
        <w:bidi w:val="0"/>
        <w:jc w:val="left"/>
        <w:rPr>
          <w:rFonts w:ascii="Times New Roman" w:hAnsi="Times New Roman"/>
        </w:rPr>
      </w:pPr>
      <w:r>
        <w:rPr/>
      </w:r>
    </w:p>
    <w:p>
      <w:pPr>
        <w:pStyle w:val="Normal"/>
        <w:bidi w:val="0"/>
        <w:jc w:val="left"/>
        <w:rPr/>
      </w:pPr>
      <w:r>
        <w:rPr>
          <w:rFonts w:ascii="Times New Roman" w:hAnsi="Times New Roman"/>
        </w:rPr>
        <w:t xml:space="preserve">One exception is a tweet from the Newberry Library in Chicago during Banned Books Week, a celebrated event in the library world and a time when librarians are most outspoken about their positive role in society. "For the record, our official position is anti-books being banned or burned. Book burning is rooted in censorship, and has often been a way of exerting cultural, religious, or political control." Far more typical is a retweet from the Morgan Library in New York. "Thanks for putting your Islamic manuscripts online, @MorganLibrary! Glorious." This is not meant to indicate disappointment in the focus of </w:t>
      </w:r>
      <w:r>
        <w:rPr>
          <w:rFonts w:ascii="Times New Roman" w:hAnsi="Times New Roman"/>
        </w:rPr>
        <w:t>library</w:t>
      </w:r>
      <w:r>
        <w:rPr>
          <w:rFonts w:ascii="Times New Roman" w:hAnsi="Times New Roman"/>
        </w:rPr>
        <w:t xml:space="preserve"> Twitter, just to point out the nature of how </w:t>
      </w:r>
      <w:r>
        <w:rPr>
          <w:rFonts w:ascii="Times New Roman" w:hAnsi="Times New Roman"/>
        </w:rPr>
        <w:t>special collections librarians</w:t>
      </w:r>
      <w:r>
        <w:rPr>
          <w:rFonts w:ascii="Times New Roman" w:hAnsi="Times New Roman"/>
        </w:rPr>
        <w:t xml:space="preserve"> use tweets to connect with the public and build their brand. It would be helpful to carry out a more complete harvesting and coding of the tweets from these same institutions, in order to say anything deeper about their thoughts on the dangers of libricide or the effective ways to respond. This study does suggest, however, that few libraries feel any significant responsibility to call for the persecution of war crimes, the protection of libraries, or the recovery of cultural heritage.</w:t>
      </w:r>
    </w:p>
    <w:p>
      <w:pPr>
        <w:pStyle w:val="Normal"/>
        <w:bidi w:val="0"/>
        <w:jc w:val="left"/>
        <w:rPr>
          <w:rFonts w:ascii="Times New Roman" w:hAnsi="Times New Roman"/>
        </w:rPr>
      </w:pPr>
      <w:r>
        <w:rPr/>
      </w:r>
    </w:p>
    <w:p>
      <w:pPr>
        <w:pStyle w:val="Normal"/>
        <w:bidi w:val="0"/>
        <w:jc w:val="left"/>
        <w:rPr/>
      </w:pPr>
      <w:r>
        <w:rPr>
          <w:rFonts w:ascii="Times New Roman" w:hAnsi="Times New Roman"/>
        </w:rPr>
        <w:t xml:space="preserve">A look at the ways in </w:t>
      </w:r>
      <w:r>
        <w:rPr>
          <w:rFonts w:ascii="Times New Roman" w:hAnsi="Times New Roman"/>
        </w:rPr>
        <w:t>which libraries describe themselves confirms a focus on informing their patrons on site, as you would expect, and a mission to collect as much as the libraries can collect in the areas they have determined are worthwhile. Of course, not all special collections have collection budgets, so there is a bit of theater in some of these statements. For many institutions the mission statements serve more as justifications for turning away donations that just have nothing to do with the collections already on hand. Still, most of these libraries on my list have big enough budgets to spend at least some money pursuing their stated collecting goals. A simple look at some of their statements shows us some general themes.</w:t>
      </w:r>
    </w:p>
    <w:p>
      <w:pPr>
        <w:pStyle w:val="Normal"/>
        <w:bidi w:val="0"/>
        <w:jc w:val="left"/>
        <w:rPr>
          <w:rFonts w:ascii="Times New Roman" w:hAnsi="Times New Roman"/>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204335" cy="24218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204335" cy="2421890"/>
                    </a:xfrm>
                    <a:prstGeom prst="rect">
                      <a:avLst/>
                    </a:prstGeom>
                  </pic:spPr>
                </pic:pic>
              </a:graphicData>
            </a:graphic>
          </wp:anchor>
        </w:drawing>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pPr>
      <w:r>
        <w:rPr>
          <w:rFonts w:ascii="Times New Roman" w:hAnsi="Times New Roman"/>
        </w:rPr>
        <w:t>These include building the collections, focusing on history and the needs of a diverse community, as well as the faculty and students on campus, providing them with services and a well-prepared staff so that they can conduct their research. One notable point is the greater interest in easily purchased and displayed books, rather than the difficult to obtain and describe archival collections. New and rare types of materials both get mentioned frequently, as do American and the general topic of World History.  The main thing to notice with this simple type of review is that libraries do not mention any overarching body of standards to be maintained. The campus determines how the library does its work, and the needs of the campus community is really why the library exists, whatever they may say about being available to the community, which might suggest larger reasons why special collections do not have much to say on Twitter about dangers to cultural heritage or the issues of preservation.</w:t>
      </w:r>
    </w:p>
    <w:p>
      <w:pPr>
        <w:pStyle w:val="Normal"/>
        <w:bidi w:val="0"/>
        <w:jc w:val="left"/>
        <w:rPr>
          <w:rFonts w:ascii="Times New Roman" w:hAnsi="Times New Roman"/>
        </w:rPr>
      </w:pPr>
      <w:r>
        <w:rPr/>
      </w:r>
    </w:p>
    <w:p>
      <w:pPr>
        <w:pStyle w:val="Normal"/>
        <w:bidi w:val="0"/>
        <w:jc w:val="left"/>
        <w:rPr/>
      </w:pPr>
      <w:r>
        <w:rPr>
          <w:rFonts w:ascii="Times New Roman" w:hAnsi="Times New Roman"/>
        </w:rPr>
        <w:t>By comparing focused collections to the general patterns of academic libraries in the United States we can see the importance of determined efforts to collect on specific topics in response to world events. The Center for Bosnian Studies, which was the Bosnian Memory Project until just recently, is housed at Fontbonne University in St. Louis, the city with the largest population of refugees from Bosnia-Herzegovina in the country. The library responds to the disruptions of war and emigration with an effort to record this history as it is going on, and to recover items dispersed by the conflicts in the former Yugoslavia because this activity is important to the community and many of the students at Fontbonne</w:t>
      </w:r>
      <w:r>
        <w:rPr>
          <w:rFonts w:ascii="Times New Roman" w:hAnsi="Times New Roman"/>
        </w:rPr>
        <w:t xml:space="preserve"> in terms of their sense of identity and belonging</w:t>
      </w:r>
      <w:r>
        <w:rPr>
          <w:rFonts w:ascii="Times New Roman" w:hAnsi="Times New Roman"/>
        </w:rPr>
        <w:t>. "The Center began as the Bosnia Memory Project in 2006 and was renamed the Center for Bosnian Studies to reflect its increasing role as a hub of knowledge and resources on Bosnia. Part of the College of Arts and Sciences at Fontbonne University, it preserves stories and artifacts from the Bosnian war and genocide, through an oral history project, special collections with many rare items, and a growing digital collections of unique resources on Bosnia and its diaspora."</w:t>
      </w:r>
      <w:r>
        <w:rPr>
          <w:rStyle w:val="FootnoteAnchor"/>
          <w:rFonts w:ascii="Times New Roman" w:hAnsi="Times New Roman"/>
        </w:rPr>
        <w:footnoteReference w:id="15"/>
      </w:r>
      <w:r>
        <w:rPr>
          <w:rFonts w:ascii="Times New Roman" w:hAnsi="Times New Roman"/>
        </w:rPr>
        <w:t xml:space="preserve"> Their holdings include a collection of propaganda distributed during the Bosnian War. Few libraries in the world have items like this, according to WorldCat. A search of the Yale library system brought up only a few books that have any connection to this topic. </w:t>
      </w:r>
    </w:p>
    <w:p>
      <w:pPr>
        <w:pStyle w:val="Normal"/>
        <w:bidi w:val="0"/>
        <w:jc w:val="left"/>
        <w:rPr>
          <w:rFonts w:ascii="Times New Roman" w:hAnsi="Times New Roman"/>
        </w:rPr>
      </w:pPr>
      <w:r>
        <w:rPr/>
      </w:r>
    </w:p>
    <w:p>
      <w:pPr>
        <w:pStyle w:val="Normal"/>
        <w:bidi w:val="0"/>
        <w:jc w:val="left"/>
        <w:rPr/>
      </w:pPr>
      <w:r>
        <w:rPr>
          <w:rFonts w:ascii="Times New Roman" w:hAnsi="Times New Roman"/>
        </w:rPr>
        <w:t>One of the things that happened after the Bosnian War was that systematic destruction of cultural heritage bec</w:t>
      </w:r>
      <w:r>
        <w:rPr>
          <w:rFonts w:ascii="Times New Roman" w:hAnsi="Times New Roman"/>
        </w:rPr>
        <w:t>a</w:t>
      </w:r>
      <w:r>
        <w:rPr>
          <w:rFonts w:ascii="Times New Roman" w:hAnsi="Times New Roman"/>
        </w:rPr>
        <w:t xml:space="preserve">me more firmly defined as a war crime by the international community. Though it is a small issue in their general list of interests, the Human Rights Archive at Duke University again shows that libraries concern themselves with the issues of protecting international culture when it fits </w:t>
      </w:r>
      <w:r>
        <w:rPr>
          <w:rFonts w:ascii="Times New Roman" w:hAnsi="Times New Roman"/>
        </w:rPr>
        <w:t xml:space="preserve">as a specific issue </w:t>
      </w:r>
      <w:r>
        <w:rPr>
          <w:rFonts w:ascii="Times New Roman" w:hAnsi="Times New Roman"/>
        </w:rPr>
        <w:t xml:space="preserve">within their defined mission. In line with their material on the abuses of the wars in Yugoslavia, the library contains a small number of items on the destruction and genocide that occurred in Sarajevo, with a few videos and articles on the fate of the libraries, </w:t>
      </w:r>
      <w:r>
        <w:rPr>
          <w:rFonts w:ascii="Times New Roman" w:hAnsi="Times New Roman"/>
        </w:rPr>
        <w:t xml:space="preserve">much </w:t>
      </w:r>
      <w:r>
        <w:rPr>
          <w:rFonts w:ascii="Times New Roman" w:hAnsi="Times New Roman"/>
        </w:rPr>
        <w:t xml:space="preserve">more than most American collections. </w:t>
      </w:r>
    </w:p>
    <w:p>
      <w:pPr>
        <w:pStyle w:val="Normal"/>
        <w:bidi w:val="0"/>
        <w:jc w:val="left"/>
        <w:rPr>
          <w:rFonts w:ascii="Times New Roman" w:hAnsi="Times New Roman"/>
        </w:rPr>
      </w:pPr>
      <w:r>
        <w:rPr/>
      </w:r>
    </w:p>
    <w:p>
      <w:pPr>
        <w:pStyle w:val="Normal"/>
        <w:bidi w:val="0"/>
        <w:jc w:val="left"/>
        <w:rPr/>
      </w:pPr>
      <w:r>
        <w:rPr>
          <w:rFonts w:ascii="Times New Roman" w:hAnsi="Times New Roman"/>
        </w:rPr>
        <w:t>András Riedlmayer, a cataloger at the Fine Arts Library at Harvard</w:t>
      </w:r>
      <w:r>
        <w:rPr>
          <w:rFonts w:ascii="Times New Roman" w:hAnsi="Times New Roman"/>
        </w:rPr>
        <w:t>,</w:t>
      </w:r>
      <w:r>
        <w:rPr>
          <w:rFonts w:ascii="Times New Roman" w:hAnsi="Times New Roman"/>
        </w:rPr>
        <w:t xml:space="preserve"> studied the architecture of the Ottoman Empire in his native Hungary before moving to Harvard. In response to the destruction of the Sarajevo libraries in 1992, Riedlmayer set about immediately contacting scholars who might have notes or photocopies of the material they had researched in Yugoslavia. Notices soon followed on international listservs for scholars and librarians. As the war continued and more cultural destruction followed it, he travelled to the region multiple times to try </w:t>
      </w:r>
      <w:r>
        <w:rPr>
          <w:rFonts w:ascii="Times New Roman" w:hAnsi="Times New Roman"/>
        </w:rPr>
        <w:t xml:space="preserve">to </w:t>
      </w:r>
      <w:r>
        <w:rPr>
          <w:rFonts w:ascii="Times New Roman" w:hAnsi="Times New Roman"/>
        </w:rPr>
        <w:t xml:space="preserve">document the loss of cultural heritage and call for punishment for the perpatrators. Riedlmayer eventually produced official reports and toured with a slideshow to show the world what </w:t>
      </w:r>
      <w:r>
        <w:rPr>
          <w:rFonts w:ascii="Times New Roman" w:hAnsi="Times New Roman"/>
        </w:rPr>
        <w:t xml:space="preserve">had </w:t>
      </w:r>
      <w:r>
        <w:rPr>
          <w:rFonts w:ascii="Times New Roman" w:hAnsi="Times New Roman"/>
        </w:rPr>
        <w:t>happened to culture in the region. His personal collection, housed at the fine arts library</w:t>
      </w:r>
      <w:r>
        <w:rPr>
          <w:rFonts w:ascii="Times New Roman" w:hAnsi="Times New Roman"/>
        </w:rPr>
        <w:t>,</w:t>
      </w:r>
      <w:r>
        <w:rPr>
          <w:rFonts w:ascii="Times New Roman" w:hAnsi="Times New Roman"/>
        </w:rPr>
        <w:t xml:space="preserve"> contains over eighteen archival boxes of what he has managed to put together. Even though this is best collection in the world on what was lost</w:t>
      </w:r>
      <w:r>
        <w:rPr>
          <w:rFonts w:ascii="Times New Roman" w:hAnsi="Times New Roman"/>
        </w:rPr>
        <w:t xml:space="preserve"> in Bosnia, Kosovo, and the rest of what had been Yugoslavia</w:t>
      </w:r>
      <w:r>
        <w:rPr>
          <w:rFonts w:ascii="Times New Roman" w:hAnsi="Times New Roman"/>
        </w:rPr>
        <w:t xml:space="preserve">, </w:t>
      </w:r>
      <w:r>
        <w:rPr>
          <w:rFonts w:ascii="Times New Roman" w:hAnsi="Times New Roman"/>
        </w:rPr>
        <w:t>few</w:t>
      </w:r>
      <w:r>
        <w:rPr>
          <w:rFonts w:ascii="Times New Roman" w:hAnsi="Times New Roman"/>
        </w:rPr>
        <w:t xml:space="preserve"> actual manuscripts or even texts could be recovered in this process.</w:t>
      </w:r>
      <w:r>
        <w:rPr>
          <w:rStyle w:val="FootnoteAnchor"/>
          <w:rFonts w:ascii="Times New Roman" w:hAnsi="Times New Roman"/>
        </w:rPr>
        <w:footnoteReference w:id="16"/>
      </w:r>
      <w:r>
        <w:rPr>
          <w:rFonts w:ascii="Times New Roman" w:hAnsi="Times New Roman"/>
        </w:rPr>
        <w:t xml:space="preserve"> </w:t>
      </w:r>
      <w:r>
        <w:rPr>
          <w:rFonts w:ascii="Times New Roman" w:hAnsi="Times New Roman"/>
        </w:rPr>
        <w:t xml:space="preserve">The collection illustrates two things for us here. There is a huge difference between the general support of American special collections for the cultural heritage of the world and the libraries that fix on specific topics as connected to their academic mission to serve their users, as they define them. The other lesson of his work is just how difficult it really is to respond to libricide with any plan to rebuild collections. Even in cases that only involve contemporary publications, history has shown repeatedly that destruction means destruction. For unique or rare materials housed in special collections, the world as it is has few mechanisms in place to protect them, and no effective use of the moral authority of American libraries to orchestrate any forces of preservation or punishment for special collections. The weak responses to the destruction of books by major institutions on Twitter reflects this situation. </w:t>
      </w:r>
      <w:r>
        <w:br w:type="page"/>
      </w:r>
    </w:p>
    <w:p>
      <w:pPr>
        <w:pStyle w:val="Normal"/>
        <w:bidi w:val="0"/>
        <w:jc w:val="left"/>
        <w:rPr>
          <w:rFonts w:ascii="Times New Roman" w:hAnsi="Times New Roman"/>
          <w:b/>
          <w:b/>
          <w:bCs/>
        </w:rPr>
      </w:pPr>
      <w:r>
        <w:rPr>
          <w:rFonts w:ascii="Times New Roman" w:hAnsi="Times New Roman"/>
          <w:b/>
          <w:bCs/>
        </w:rPr>
        <w:t>Appendix A: Tweeters</w:t>
      </w:r>
    </w:p>
    <w:p>
      <w:pPr>
        <w:pStyle w:val="Normal"/>
        <w:bidi w:val="0"/>
        <w:jc w:val="left"/>
        <w:rPr>
          <w:rFonts w:ascii="Times New Roman" w:hAnsi="Times New Roman"/>
        </w:rPr>
      </w:pPr>
      <w:r>
        <w:rPr>
          <w:rFonts w:ascii="Times New Roman" w:hAnsi="Times New Roman"/>
        </w:rPr>
      </w:r>
    </w:p>
    <w:p>
      <w:pPr>
        <w:pStyle w:val="Normal"/>
        <w:bidi w:val="0"/>
        <w:jc w:val="left"/>
        <w:rPr/>
      </w:pPr>
      <w:r>
        <w:rPr>
          <w:rFonts w:ascii="Times New Roman" w:hAnsi="Times New Roman"/>
        </w:rPr>
        <w:t xml:space="preserve"> </w:t>
      </w:r>
      <w:r>
        <w:rPr>
          <w:rFonts w:ascii="Times New Roman" w:hAnsi="Times New Roman"/>
        </w:rPr>
        <w:t>Name Listed in Twitter</w:t>
        <w:tab/>
        <w:tab/>
        <w:tab/>
        <w:t>Twitter Handle</w:t>
        <w:tab/>
        <w:t>Institution</w:t>
      </w:r>
    </w:p>
    <w:p>
      <w:pPr>
        <w:pStyle w:val="Normal"/>
        <w:bidi w:val="0"/>
        <w:jc w:val="left"/>
        <w:rPr>
          <w:rFonts w:ascii="Times New Roman" w:hAnsi="Times New Roman"/>
        </w:rPr>
      </w:pPr>
      <w:r>
        <w:rPr/>
      </w:r>
    </w:p>
    <w:p>
      <w:pPr>
        <w:pStyle w:val="Normal"/>
        <w:bidi w:val="0"/>
        <w:jc w:val="left"/>
        <w:rPr/>
      </w:pPr>
      <w:r>
        <w:rPr>
          <w:rFonts w:ascii="Times New Roman" w:hAnsi="Times New Roman"/>
        </w:rPr>
        <w:t xml:space="preserve">The Bibliographical Society of America </w:t>
        <w:tab/>
        <w:t>@BibSocAmer</w:t>
        <w:tab/>
      </w:r>
      <w:r>
        <w:rPr/>
        <w:t>University of Virginia</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Wilson Library, UNC Chapel Hill  </w:t>
        <w:tab/>
        <w:tab/>
        <w:t>@WilsonLibUNC</w:t>
        <w:tab/>
        <w:t>University of North Carolina</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Special Collections  </w:t>
        <w:tab/>
        <w:tab/>
        <w:tab/>
        <w:tab/>
        <w:t>@uwspeccoll</w:t>
        <w:tab/>
        <w:tab/>
        <w:t>University of Washington</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University Library  </w:t>
        <w:tab/>
        <w:tab/>
        <w:tab/>
        <w:tab/>
        <w:t>@IllinoisLibrary</w:t>
        <w:tab/>
        <w:t>University of Illinois</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IU Lilly Library </w:t>
        <w:tab/>
        <w:tab/>
        <w:tab/>
        <w:tab/>
        <w:t>@IULillyLibrary</w:t>
        <w:tab/>
        <w:t>Indiana University</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UChicago Library </w:t>
        <w:tab/>
        <w:tab/>
        <w:tab/>
        <w:tab/>
        <w:t>@UChicagoLibrary</w:t>
        <w:tab/>
        <w:t>University of Chicago</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Fontbonne Library</w:t>
        <w:tab/>
        <w:t xml:space="preserve"> </w:t>
        <w:tab/>
        <w:tab/>
        <w:tab/>
        <w:t>@fbulibrary</w:t>
        <w:tab/>
        <w:tab/>
        <w:t>Fontbonne University</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Special Collections Research Center </w:t>
        <w:tab/>
        <w:t>@UChicagoSCRC</w:t>
        <w:tab/>
        <w:t>University of Chicago</w:t>
      </w:r>
    </w:p>
    <w:p>
      <w:pPr>
        <w:pStyle w:val="Normal"/>
        <w:bidi w:val="0"/>
        <w:jc w:val="left"/>
        <w:rPr/>
      </w:pPr>
      <w:r>
        <w:rPr>
          <w:rFonts w:ascii="Times New Roman" w:hAnsi="Times New Roman"/>
        </w:rPr>
        <w:t xml:space="preserve"> </w:t>
      </w:r>
      <w:r>
        <w:rPr>
          <w:rFonts w:ascii="Times New Roman" w:hAnsi="Times New Roman"/>
        </w:rPr>
        <w:t xml:space="preserve">UVA Special Collections </w:t>
        <w:tab/>
        <w:tab/>
        <w:tab/>
        <w:t>@RareUVA</w:t>
        <w:tab/>
        <w:tab/>
      </w:r>
      <w:r>
        <w:rPr/>
        <w:t>University of Virginia</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The Grolier Club   </w:t>
        <w:tab/>
        <w:tab/>
        <w:tab/>
        <w:tab/>
        <w:t>@GrolierClub</w:t>
        <w:tab/>
        <w:tab/>
        <w:t>The Grolier Club</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LSU Special Collections   </w:t>
        <w:tab/>
        <w:tab/>
        <w:tab/>
        <w:t xml:space="preserve">@WhatintheHill    </w:t>
        <w:tab/>
        <w:t>Louisiana State University</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CornellRMC   </w:t>
        <w:tab/>
        <w:tab/>
        <w:tab/>
        <w:tab/>
        <w:t xml:space="preserve">@CornellRMC  </w:t>
        <w:tab/>
        <w:t>Cornell University</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SLU Special Collections   </w:t>
        <w:tab/>
        <w:tab/>
        <w:tab/>
        <w:t xml:space="preserve">@SLUSpecColl  </w:t>
        <w:tab/>
        <w:t>St. Louis University</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Princeton University Library   </w:t>
        <w:tab/>
        <w:tab/>
        <w:t xml:space="preserve">@PULibrary  </w:t>
        <w:tab/>
        <w:tab/>
        <w:t>Princeton University</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Penn Special Collections Processing   </w:t>
        <w:tab/>
        <w:t xml:space="preserve">@Pennrare  </w:t>
        <w:tab/>
        <w:tab/>
        <w:t>University of Pennsylvania</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Elizabeth Ott   </w:t>
        <w:tab/>
        <w:tab/>
        <w:tab/>
        <w:tab/>
        <w:t xml:space="preserve">@eliz_ott  </w:t>
        <w:tab/>
        <w:tab/>
        <w:t>University of North Carolina</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Stanford Libraries   </w:t>
        <w:tab/>
        <w:tab/>
        <w:tab/>
        <w:tab/>
        <w:t xml:space="preserve">@StanfordLibs  </w:t>
        <w:tab/>
        <w:t>Stanford University</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Hoover Institution Library &amp; Archives   </w:t>
        <w:tab/>
        <w:t xml:space="preserve">@HooverArchives  </w:t>
        <w:tab/>
        <w:t>Stanford University</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Houghton Library   </w:t>
        <w:tab/>
        <w:tab/>
        <w:tab/>
        <w:tab/>
        <w:t xml:space="preserve">@HoughtonLib  </w:t>
        <w:tab/>
        <w:t>Harvard University</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UCLA Library   </w:t>
        <w:tab/>
        <w:tab/>
        <w:tab/>
        <w:tab/>
        <w:t xml:space="preserve">@UCLALibrary  </w:t>
        <w:tab/>
        <w:t>University of California-LA</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UMD SpecColl   </w:t>
        <w:tab/>
        <w:tab/>
        <w:tab/>
        <w:tab/>
        <w:t xml:space="preserve">@HornbakeLibrary  </w:t>
        <w:tab/>
        <w:t>University of Maryland</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Wayne State Libraries   </w:t>
        <w:tab/>
        <w:tab/>
        <w:tab/>
        <w:t xml:space="preserve">@waynestatelib  </w:t>
        <w:tab/>
        <w:t>Wayne State University</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Folger Research   </w:t>
        <w:tab/>
        <w:tab/>
        <w:tab/>
        <w:tab/>
        <w:t xml:space="preserve">@FolgerResearch  </w:t>
        <w:tab/>
        <w:t>Folger Shakespeare Library</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Pius Library   </w:t>
        <w:tab/>
        <w:tab/>
        <w:tab/>
        <w:tab/>
        <w:t xml:space="preserve">@piuslibrary  </w:t>
        <w:tab/>
        <w:tab/>
        <w:t>St. Louis University</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Hoole Spec Coll Lib   </w:t>
        <w:tab/>
        <w:tab/>
        <w:tab/>
        <w:t xml:space="preserve">@coolathoole  </w:t>
        <w:tab/>
        <w:t>University of Alabama</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UMD Libraries   </w:t>
        <w:tab/>
        <w:tab/>
        <w:tab/>
        <w:tab/>
        <w:t xml:space="preserve">@UMDLibraries  </w:t>
        <w:tab/>
        <w:t>University of Maryland</w:t>
      </w:r>
    </w:p>
    <w:p>
      <w:pPr>
        <w:pStyle w:val="Normal"/>
        <w:bidi w:val="0"/>
        <w:ind w:left="0" w:right="-180" w:hanging="0"/>
        <w:jc w:val="left"/>
        <w:rPr>
          <w:rFonts w:ascii="Times New Roman" w:hAnsi="Times New Roman"/>
        </w:rPr>
      </w:pPr>
      <w:r>
        <w:rPr>
          <w:rFonts w:ascii="Times New Roman" w:hAnsi="Times New Roman"/>
        </w:rPr>
        <w:t xml:space="preserve"> </w:t>
      </w:r>
      <w:r>
        <w:rPr>
          <w:rFonts w:ascii="Times New Roman" w:hAnsi="Times New Roman"/>
        </w:rPr>
        <w:t xml:space="preserve">Special Collections   </w:t>
        <w:tab/>
        <w:tab/>
        <w:tab/>
        <w:tab/>
        <w:t>@unccspeccoll</w:t>
        <w:tab/>
        <w:t>University of North Carolina Charlotte</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Mudd Library   </w:t>
        <w:tab/>
        <w:tab/>
        <w:tab/>
        <w:tab/>
        <w:t xml:space="preserve">@muddlibrary  </w:t>
        <w:tab/>
        <w:t>Princeton University</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UofSC Rare Books   </w:t>
        <w:tab/>
        <w:tab/>
        <w:tab/>
        <w:tab/>
        <w:t>@UofSCRareBooks</w:t>
        <w:tab/>
        <w:t>University of South Carolina</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The University of Alabama Libraries   </w:t>
        <w:tab/>
        <w:t xml:space="preserve">@GorgasLib  </w:t>
        <w:tab/>
        <w:tab/>
        <w:t>University of Alabama</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John Overholt   </w:t>
        <w:tab/>
        <w:tab/>
        <w:tab/>
        <w:tab/>
        <w:t xml:space="preserve">@john_overholt  </w:t>
        <w:tab/>
        <w:t>Harvard University</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University of Houston Libraries   </w:t>
        <w:tab/>
        <w:tab/>
        <w:t xml:space="preserve">@UHoustonLib  </w:t>
        <w:tab/>
        <w:t>University of Houston</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The Bancroft Library   </w:t>
        <w:tab/>
        <w:tab/>
        <w:tab/>
        <w:t xml:space="preserve">@bancroftlibrary  </w:t>
        <w:tab/>
        <w:t>University of California-Berkeley</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Columbia Libraries   </w:t>
        <w:tab/>
        <w:tab/>
        <w:tab/>
        <w:tab/>
        <w:t xml:space="preserve">@columbialib  </w:t>
        <w:tab/>
        <w:t>Columbia University</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Aaron T. Pratt   </w:t>
        <w:tab/>
        <w:tab/>
        <w:tab/>
        <w:tab/>
        <w:t xml:space="preserve">@aarontpratt  </w:t>
        <w:tab/>
        <w:tab/>
        <w:t>University of Texas</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Georgetown University Library   </w:t>
        <w:tab/>
        <w:tab/>
        <w:t xml:space="preserve">@gtownlibrary  </w:t>
        <w:tab/>
        <w:t>Georgetown University</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LSU Libraries   </w:t>
        <w:tab/>
        <w:tab/>
        <w:tab/>
        <w:tab/>
        <w:t xml:space="preserve">@lsulibraries  </w:t>
        <w:tab/>
        <w:tab/>
        <w:t>Louisiana State University</w:t>
      </w:r>
    </w:p>
    <w:p>
      <w:pPr>
        <w:pStyle w:val="Normal"/>
        <w:bidi w:val="0"/>
        <w:jc w:val="left"/>
        <w:rPr/>
      </w:pPr>
      <w:r>
        <w:rPr>
          <w:rFonts w:ascii="Times New Roman" w:hAnsi="Times New Roman"/>
        </w:rPr>
        <w:t xml:space="preserve"> </w:t>
      </w:r>
      <w:r>
        <w:rPr>
          <w:rFonts w:ascii="Times New Roman" w:hAnsi="Times New Roman"/>
        </w:rPr>
        <w:t xml:space="preserve">University of Virginia Library   </w:t>
        <w:tab/>
        <w:tab/>
        <w:t xml:space="preserve">@UVALibrary  </w:t>
        <w:tab/>
      </w:r>
      <w:r>
        <w:rPr/>
        <w:t>University of Virginia</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UNF Library   </w:t>
        <w:tab/>
        <w:tab/>
        <w:tab/>
        <w:tab/>
        <w:t xml:space="preserve">@unflibrary  </w:t>
        <w:tab/>
        <w:tab/>
        <w:t>University of North Florida</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Harvard Library   </w:t>
        <w:tab/>
        <w:tab/>
        <w:tab/>
        <w:tab/>
        <w:t xml:space="preserve">@HarvardLibrary  </w:t>
        <w:tab/>
        <w:t>Harvard University</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Fenwick Library, Mason Libraries   </w:t>
        <w:tab/>
        <w:tab/>
        <w:t xml:space="preserve">@fenrefstaff  </w:t>
        <w:tab/>
        <w:tab/>
        <w:t>George Mason University</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Washington University Libraries   </w:t>
        <w:tab/>
        <w:tab/>
        <w:t xml:space="preserve">@WUSTLlibraries  </w:t>
        <w:tab/>
        <w:t>Washingon University</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UNC Library   </w:t>
        <w:tab/>
        <w:tab/>
        <w:tab/>
        <w:tab/>
        <w:t xml:space="preserve">@UNCLibrary  </w:t>
        <w:tab/>
        <w:t>University of North Carolina</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Tom Hyry   </w:t>
        <w:tab/>
        <w:tab/>
        <w:tab/>
        <w:tab/>
        <w:tab/>
        <w:t xml:space="preserve">@thyry  </w:t>
        <w:tab/>
        <w:tab/>
        <w:t>Harvard University</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Beinecke Library   </w:t>
        <w:tab/>
        <w:tab/>
        <w:tab/>
        <w:tab/>
        <w:t>@BeineckeLibrary</w:t>
        <w:tab/>
        <w:t>Yale University</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UW Libraries   </w:t>
        <w:tab/>
        <w:tab/>
        <w:tab/>
        <w:tab/>
        <w:t xml:space="preserve">@uwlibraries  </w:t>
        <w:tab/>
        <w:t>University of Washington</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UT Libraries   </w:t>
        <w:tab/>
        <w:tab/>
        <w:tab/>
        <w:tab/>
        <w:t xml:space="preserve">@utlibraries  </w:t>
        <w:tab/>
        <w:tab/>
        <w:t>University of Texas</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ransomcenter   </w:t>
        <w:tab/>
        <w:tab/>
        <w:tab/>
        <w:tab/>
        <w:t xml:space="preserve">@ransomcenter  </w:t>
        <w:tab/>
        <w:t>University of Texas</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Yale University Library   </w:t>
        <w:tab/>
        <w:tab/>
        <w:tab/>
        <w:t xml:space="preserve">@yalelibrary  </w:t>
        <w:tab/>
        <w:tab/>
        <w:t>Yale University</w:t>
        <w:tab/>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UF Libraries   </w:t>
        <w:tab/>
        <w:tab/>
        <w:tab/>
        <w:tab/>
        <w:t xml:space="preserve">@uflib  </w:t>
        <w:tab/>
        <w:tab/>
        <w:t>University of Florida</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The Penn Libraries   </w:t>
        <w:tab/>
        <w:tab/>
        <w:tab/>
        <w:tab/>
        <w:t xml:space="preserve">@upennlib  </w:t>
        <w:tab/>
        <w:tab/>
        <w:t>University of Pennsylvania</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Newberry Library   </w:t>
        <w:tab/>
        <w:tab/>
        <w:tab/>
        <w:tab/>
        <w:t xml:space="preserve">@NewberryLibrary  </w:t>
        <w:tab/>
        <w:t>Newberry Library</w:t>
      </w:r>
    </w:p>
    <w:p>
      <w:pPr>
        <w:pStyle w:val="Normal"/>
        <w:bidi w:val="0"/>
        <w:jc w:val="left"/>
        <w:rPr/>
      </w:pPr>
      <w:r>
        <w:rPr>
          <w:rFonts w:ascii="Times New Roman" w:hAnsi="Times New Roman"/>
        </w:rPr>
        <w:t xml:space="preserve"> </w:t>
      </w:r>
      <w:r>
        <w:rPr>
          <w:rFonts w:ascii="Times New Roman" w:hAnsi="Times New Roman"/>
        </w:rPr>
        <w:t xml:space="preserve">Rare Book School   </w:t>
        <w:tab/>
        <w:tab/>
        <w:tab/>
        <w:tab/>
        <w:t xml:space="preserve">@rarebookschool  </w:t>
        <w:tab/>
      </w:r>
      <w:r>
        <w:rPr/>
        <w:t>University of Virginia</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The Morgan   </w:t>
        <w:tab/>
        <w:tab/>
        <w:tab/>
        <w:tab/>
      </w:r>
      <w:r>
        <w:rPr>
          <w:rFonts w:ascii="Times New Roman" w:hAnsi="Times New Roman"/>
        </w:rPr>
        <w:tab/>
      </w:r>
      <w:r>
        <w:rPr>
          <w:rFonts w:ascii="Times New Roman" w:hAnsi="Times New Roman"/>
        </w:rPr>
        <w:t xml:space="preserve">@MorganLibrary  </w:t>
        <w:tab/>
        <w:t>The Morgan Library</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Northwestern Libraries   </w:t>
        <w:tab/>
        <w:tab/>
        <w:tab/>
        <w:t xml:space="preserve">@NU_LIBRARY  </w:t>
        <w:tab/>
        <w:t>Northwestern University</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NY Public Library   </w:t>
        <w:tab/>
        <w:tab/>
        <w:tab/>
        <w:tab/>
        <w:t xml:space="preserve">@nypl  </w:t>
        <w:tab/>
        <w:tab/>
        <w:t>New York Public Library</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mselibrary   </w:t>
        <w:tab/>
        <w:tab/>
        <w:tab/>
        <w:tab/>
        <w:tab/>
        <w:t xml:space="preserve">@mselibrary  </w:t>
        <w:tab/>
        <w:tab/>
        <w:t>Johns Hopkins University</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ASU Library   </w:t>
        <w:tab/>
        <w:tab/>
        <w:tab/>
        <w:tab/>
        <w:t xml:space="preserve">@ASULibraries  </w:t>
        <w:tab/>
        <w:t>Arizona State University</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Cornell_Library   </w:t>
        <w:tab/>
        <w:tab/>
        <w:tab/>
        <w:tab/>
        <w:t xml:space="preserve">@Cornell_Library  </w:t>
        <w:tab/>
        <w:t>Cornell University</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Rubenstein Library   </w:t>
        <w:tab/>
        <w:tab/>
        <w:tab/>
        <w:tab/>
        <w:t xml:space="preserve">@rubensteinlib  </w:t>
        <w:tab/>
        <w:t>Duke University</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Duke Libraries   </w:t>
        <w:tab/>
        <w:tab/>
        <w:tab/>
        <w:tab/>
        <w:t xml:space="preserve">@DukeLibraries  </w:t>
        <w:tab/>
        <w:t>Duke University</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Getty   </w:t>
        <w:tab/>
        <w:tab/>
        <w:tab/>
        <w:tab/>
        <w:tab/>
        <w:t xml:space="preserve">@GettyMuseum  </w:t>
        <w:tab/>
        <w:t>The Getty Research Institute</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The Huntington   </w:t>
        <w:tab/>
        <w:tab/>
        <w:tab/>
        <w:tab/>
        <w:t xml:space="preserve">@TheHuntington  </w:t>
        <w:tab/>
        <w:t>The Huntington Library</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Linda Hall Library   </w:t>
        <w:tab/>
        <w:tab/>
        <w:tab/>
        <w:tab/>
        <w:t xml:space="preserve">@LindaHall_org  </w:t>
        <w:tab/>
        <w:t>Linda Hall Library</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r>
        <w:br w:type="page"/>
      </w:r>
    </w:p>
    <w:p>
      <w:pPr>
        <w:pStyle w:val="Normal"/>
        <w:bidi w:val="0"/>
        <w:jc w:val="left"/>
        <w:rPr>
          <w:rFonts w:ascii="Times New Roman" w:hAnsi="Times New Roman"/>
          <w:b/>
          <w:b/>
          <w:bCs/>
        </w:rPr>
      </w:pPr>
      <w:r>
        <w:rPr>
          <w:rFonts w:ascii="Times New Roman" w:hAnsi="Times New Roman"/>
          <w:b/>
          <w:bCs/>
        </w:rPr>
        <w:t>Appendix B: Twitter Search Terms</w:t>
      </w:r>
    </w:p>
    <w:p>
      <w:pPr>
        <w:pStyle w:val="Normal"/>
        <w:bidi w:val="0"/>
        <w:jc w:val="left"/>
        <w:rPr>
          <w:rFonts w:ascii="Times New Roman" w:hAnsi="Times New Roman"/>
        </w:rPr>
      </w:pPr>
      <w:r>
        <w:rPr>
          <w:rFonts w:ascii="Times New Roman" w:hAnsi="Times New Roman"/>
        </w:rPr>
        <w:tab/>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bosnia</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burned books</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genocide</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islamic manuscripts</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library destroyed</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oriental institute</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ovenden</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sarajevo</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serbian</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yugoslavia</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riedlmayer</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r>
        <w:br w:type="page"/>
      </w:r>
    </w:p>
    <w:p>
      <w:pPr>
        <w:pStyle w:val="Normal"/>
        <w:bidi w:val="0"/>
        <w:jc w:val="left"/>
        <w:rPr>
          <w:rFonts w:ascii="Times New Roman" w:hAnsi="Times New Roman"/>
          <w:b/>
          <w:b/>
          <w:bCs/>
        </w:rPr>
      </w:pPr>
      <w:r>
        <w:rPr>
          <w:rFonts w:ascii="Times New Roman" w:hAnsi="Times New Roman"/>
          <w:b/>
          <w:bCs/>
        </w:rPr>
        <w:t>Bibliography</w:t>
      </w:r>
    </w:p>
    <w:p>
      <w:pPr>
        <w:pStyle w:val="Normal"/>
        <w:bidi w:val="0"/>
        <w:jc w:val="left"/>
        <w:rPr>
          <w:rFonts w:ascii="Times New Roman" w:hAnsi="Times New Roman"/>
        </w:rPr>
      </w:pPr>
      <w:r>
        <w:rPr>
          <w:rFonts w:ascii="Times New Roman" w:hAnsi="Times New Roman"/>
        </w:rPr>
      </w:r>
    </w:p>
    <w:p>
      <w:pPr>
        <w:pStyle w:val="HangingIndent"/>
        <w:bidi w:val="0"/>
        <w:ind w:left="567" w:right="0" w:hanging="283"/>
        <w:jc w:val="left"/>
        <w:rPr/>
      </w:pPr>
      <w:r>
        <w:rPr/>
        <w:t xml:space="preserve">Al-Daihani, Sultan M., and Suha A. AlAwadhi. 2015. “Exploring Academic Libraries’ Use of Twitter: A Content Analysis.” </w:t>
      </w:r>
      <w:r>
        <w:rPr>
          <w:i/>
        </w:rPr>
        <w:t>Electronic Library</w:t>
      </w:r>
      <w:r>
        <w:rPr/>
        <w:t xml:space="preserve"> 33 (6): 1002–15. </w:t>
      </w:r>
      <w:hyperlink r:id="rId4">
        <w:r>
          <w:rPr>
            <w:rStyle w:val="InternetLink"/>
          </w:rPr>
          <w:t>https://doi.org/10.1108/EL-05-2014-0084</w:t>
        </w:r>
      </w:hyperlink>
      <w:r>
        <w:rPr/>
        <w:t>.</w:t>
      </w:r>
    </w:p>
    <w:p>
      <w:pPr>
        <w:pStyle w:val="HangingIndent"/>
        <w:bidi w:val="0"/>
        <w:ind w:left="567" w:right="0" w:hanging="283"/>
        <w:jc w:val="left"/>
        <w:rPr/>
      </w:pPr>
      <w:r>
        <w:rPr/>
        <w:t xml:space="preserve">Bakarŝić, Kemal. 2002. “Back Where We Started: Bosnia’s Digital Archives.” </w:t>
      </w:r>
      <w:r>
        <w:rPr>
          <w:i/>
        </w:rPr>
        <w:t>Slavic &amp; East European Information Resources</w:t>
      </w:r>
      <w:r>
        <w:rPr/>
        <w:t xml:space="preserve"> 3 (2–3): 55–79. </w:t>
      </w:r>
      <w:hyperlink r:id="rId5">
        <w:r>
          <w:rPr>
            <w:rStyle w:val="InternetLink"/>
          </w:rPr>
          <w:t>https://doi.org/10.1300/J167v03n02_07</w:t>
        </w:r>
      </w:hyperlink>
      <w:r>
        <w:rPr/>
        <w:t>.</w:t>
      </w:r>
    </w:p>
    <w:p>
      <w:pPr>
        <w:pStyle w:val="HangingIndent"/>
        <w:bidi w:val="0"/>
        <w:ind w:left="567" w:right="0" w:hanging="283"/>
        <w:jc w:val="left"/>
        <w:rPr/>
      </w:pPr>
      <w:r>
        <w:rPr/>
        <w:t xml:space="preserve">Bennington, Geoffrey. 2014. “Derrida’s Archive.” </w:t>
      </w:r>
      <w:r>
        <w:rPr>
          <w:i/>
        </w:rPr>
        <w:t>Theory, Culture &amp; Society</w:t>
      </w:r>
      <w:r>
        <w:rPr/>
        <w:t xml:space="preserve"> 31 (7–8): 111–19. </w:t>
      </w:r>
      <w:hyperlink r:id="rId6">
        <w:r>
          <w:rPr>
            <w:rStyle w:val="InternetLink"/>
          </w:rPr>
          <w:t>https://doi.org/10.1177/0263276414561271</w:t>
        </w:r>
      </w:hyperlink>
      <w:r>
        <w:rPr/>
        <w:t>.</w:t>
      </w:r>
    </w:p>
    <w:p>
      <w:pPr>
        <w:pStyle w:val="HangingIndent"/>
        <w:bidi w:val="0"/>
        <w:ind w:left="567" w:right="0" w:hanging="283"/>
        <w:jc w:val="left"/>
        <w:rPr/>
      </w:pPr>
      <w:r>
        <w:rPr/>
        <w:t xml:space="preserve">Birkner, Thomas, and André Donk. 2020. “Collective Memory and Social Media: Fostering a New Historical Consciousness in the Digital Age?” </w:t>
      </w:r>
      <w:r>
        <w:rPr>
          <w:i/>
        </w:rPr>
        <w:t>Memory Studies</w:t>
      </w:r>
      <w:r>
        <w:rPr/>
        <w:t xml:space="preserve"> 13 (4): 367–83. </w:t>
      </w:r>
      <w:hyperlink r:id="rId7">
        <w:r>
          <w:rPr>
            <w:rStyle w:val="InternetLink"/>
          </w:rPr>
          <w:t>https://doi.org/10.1177/1750698017750012</w:t>
        </w:r>
      </w:hyperlink>
      <w:r>
        <w:rPr/>
        <w:t>.</w:t>
      </w:r>
    </w:p>
    <w:p>
      <w:pPr>
        <w:pStyle w:val="HangingIndent"/>
        <w:bidi w:val="0"/>
        <w:ind w:left="567" w:right="0" w:hanging="283"/>
        <w:jc w:val="left"/>
        <w:rPr/>
      </w:pPr>
      <w:r>
        <w:rPr/>
        <w:t xml:space="preserve">Cushing, Amber L. 2018. “‘We’ve No Problem Inheriting That Knowledge on to Other People’: Exploring the Characteristics of Motivation for Attending a Participatory Archives Event.” </w:t>
      </w:r>
      <w:r>
        <w:rPr>
          <w:i/>
        </w:rPr>
        <w:t>Library &amp; Information Science Research</w:t>
      </w:r>
      <w:r>
        <w:rPr/>
        <w:t xml:space="preserve"> 40 (2): 135–43. </w:t>
      </w:r>
      <w:hyperlink r:id="rId8">
        <w:r>
          <w:rPr>
            <w:rStyle w:val="InternetLink"/>
          </w:rPr>
          <w:t>https://doi.org/10.1016/j.lisr.2018.06.005</w:t>
        </w:r>
      </w:hyperlink>
      <w:r>
        <w:rPr/>
        <w:t>.</w:t>
      </w:r>
    </w:p>
    <w:p>
      <w:pPr>
        <w:pStyle w:val="HangingIndent"/>
        <w:bidi w:val="0"/>
        <w:ind w:left="567" w:right="0" w:hanging="283"/>
        <w:jc w:val="left"/>
        <w:rPr/>
      </w:pPr>
      <w:r>
        <w:rPr/>
        <w:t xml:space="preserve">Foner, Eric. 2002. </w:t>
      </w:r>
      <w:r>
        <w:rPr>
          <w:i/>
        </w:rPr>
        <w:t>Who Owns History?: Rethinking the Past in a Changing World</w:t>
      </w:r>
      <w:r>
        <w:rPr/>
        <w:t>. 1st ed. New York: Hill and Wang.</w:t>
      </w:r>
    </w:p>
    <w:p>
      <w:pPr>
        <w:pStyle w:val="HangingIndent"/>
        <w:bidi w:val="0"/>
        <w:ind w:left="567" w:right="0" w:hanging="283"/>
        <w:jc w:val="left"/>
        <w:rPr/>
      </w:pPr>
      <w:r>
        <w:rPr/>
        <w:t xml:space="preserve">Fontana, Giuditta. 2013. “War by Other Means: Cultural Policy and the Politics of Corporate Consociation in Bosnia and Herzegovina.” </w:t>
      </w:r>
      <w:r>
        <w:rPr>
          <w:i/>
        </w:rPr>
        <w:t>Nationalism &amp; Ethnic Politics</w:t>
      </w:r>
      <w:r>
        <w:rPr/>
        <w:t xml:space="preserve"> 19 (4): 447–66. </w:t>
      </w:r>
      <w:hyperlink r:id="rId9">
        <w:r>
          <w:rPr>
            <w:rStyle w:val="InternetLink"/>
          </w:rPr>
          <w:t>https://doi.org/10.1080/13537113.2013.847601</w:t>
        </w:r>
      </w:hyperlink>
      <w:r>
        <w:rPr/>
        <w:t>.</w:t>
      </w:r>
    </w:p>
    <w:p>
      <w:pPr>
        <w:pStyle w:val="HangingIndent"/>
        <w:bidi w:val="0"/>
        <w:ind w:left="567" w:right="0" w:hanging="283"/>
        <w:jc w:val="left"/>
        <w:rPr/>
      </w:pPr>
      <w:r>
        <w:rPr/>
        <w:t xml:space="preserve">Gerhardt, Christina. 2012. “On Natural History: Concepts of History in Adorno and Kracauer.” In </w:t>
      </w:r>
      <w:r>
        <w:rPr>
          <w:i/>
        </w:rPr>
        <w:t>Culture in the Anteroom: The Legacies of Siegfried Kracauer</w:t>
      </w:r>
      <w:r>
        <w:rPr/>
        <w:t xml:space="preserve">, edited by Johannes von Moltke and Gerd Gemünden. Ann Arbor, UNITED STATES: University of Michigan Press. </w:t>
      </w:r>
    </w:p>
    <w:p>
      <w:pPr>
        <w:pStyle w:val="HangingIndent"/>
        <w:bidi w:val="0"/>
        <w:ind w:left="567" w:right="0" w:hanging="283"/>
        <w:jc w:val="left"/>
        <w:rPr/>
      </w:pPr>
      <w:r>
        <w:rPr/>
        <w:t xml:space="preserve">Hartmann, Kristen M. 2016. “Fragmentation and Forgetting: Sarajevo’s Vijećnica.” </w:t>
      </w:r>
      <w:r>
        <w:rPr>
          <w:i/>
        </w:rPr>
        <w:t>International Journal of Heritage Studies : IJHS</w:t>
      </w:r>
      <w:r>
        <w:rPr/>
        <w:t xml:space="preserve"> 22 (4): 312–24. </w:t>
      </w:r>
      <w:hyperlink r:id="rId10">
        <w:r>
          <w:rPr>
            <w:rStyle w:val="InternetLink"/>
          </w:rPr>
          <w:t>https://doi.org/10.1080/13527258.2016.1138317</w:t>
        </w:r>
      </w:hyperlink>
      <w:r>
        <w:rPr/>
        <w:t>.</w:t>
      </w:r>
    </w:p>
    <w:p>
      <w:pPr>
        <w:pStyle w:val="HangingIndent"/>
        <w:bidi w:val="0"/>
        <w:ind w:left="567" w:right="0" w:hanging="283"/>
        <w:jc w:val="left"/>
        <w:rPr/>
      </w:pPr>
      <w:r>
        <w:rPr/>
        <w:t xml:space="preserve">Holly, Michael Ann. 2013. </w:t>
      </w:r>
      <w:r>
        <w:rPr>
          <w:i/>
        </w:rPr>
        <w:t>The Melancholy Art</w:t>
      </w:r>
      <w:r>
        <w:rPr/>
        <w:t>. Essays in the Arts. Princeton: University Press.</w:t>
      </w:r>
    </w:p>
    <w:p>
      <w:pPr>
        <w:pStyle w:val="HangingIndent"/>
        <w:bidi w:val="0"/>
        <w:ind w:left="567" w:right="0" w:hanging="283"/>
        <w:jc w:val="left"/>
        <w:rPr/>
      </w:pPr>
      <w:r>
        <w:rPr/>
        <w:t xml:space="preserve">James, Deborah. 2013. “Social Networking Sarajevo Roses: Digital Representations of Postconflict Civil Life in (the Former) Yugoslavia.” </w:t>
      </w:r>
      <w:r>
        <w:rPr>
          <w:i/>
        </w:rPr>
        <w:t>Journal of Communication</w:t>
      </w:r>
      <w:r>
        <w:rPr/>
        <w:t xml:space="preserve"> 63 (5): 975–92. </w:t>
      </w:r>
      <w:hyperlink r:id="rId11">
        <w:r>
          <w:rPr>
            <w:rStyle w:val="InternetLink"/>
          </w:rPr>
          <w:t>https://doi.org/10.1111/jcom.12057</w:t>
        </w:r>
      </w:hyperlink>
      <w:r>
        <w:rPr/>
        <w:t>.</w:t>
      </w:r>
    </w:p>
    <w:p>
      <w:pPr>
        <w:pStyle w:val="HangingIndent"/>
        <w:bidi w:val="0"/>
        <w:ind w:left="567" w:right="0" w:hanging="283"/>
        <w:jc w:val="left"/>
        <w:rPr/>
      </w:pPr>
      <w:r>
        <w:rPr/>
        <w:t xml:space="preserve">Kossiakoff, Megan. 2004. “The Art of War: The Protection of Cultural Property during the ‘Siege’ of Sarajevo.” </w:t>
      </w:r>
      <w:r>
        <w:rPr>
          <w:i/>
        </w:rPr>
        <w:t>DePaul Journal of Art, Technology &amp; Intellectual Property Law</w:t>
      </w:r>
      <w:r>
        <w:rPr/>
        <w:t xml:space="preserve"> 14 (1 Special Section: Art and War): 109–69.</w:t>
      </w:r>
    </w:p>
    <w:p>
      <w:pPr>
        <w:pStyle w:val="HangingIndent"/>
        <w:bidi w:val="0"/>
        <w:ind w:left="567" w:right="0" w:hanging="283"/>
        <w:jc w:val="left"/>
        <w:rPr/>
      </w:pPr>
      <w:r>
        <w:rPr/>
        <w:t xml:space="preserve">Kracauer, Siegfried. 1969. </w:t>
      </w:r>
      <w:r>
        <w:rPr>
          <w:i/>
        </w:rPr>
        <w:t>History: The Last Things Before the Last</w:t>
      </w:r>
      <w:r>
        <w:rPr/>
        <w:t>. New York: Oxford University Press.</w:t>
      </w:r>
    </w:p>
    <w:p>
      <w:pPr>
        <w:pStyle w:val="HangingIndent"/>
        <w:bidi w:val="0"/>
        <w:ind w:left="567" w:right="0" w:hanging="283"/>
        <w:jc w:val="left"/>
        <w:rPr/>
      </w:pPr>
      <w:r>
        <w:rPr/>
        <w:t xml:space="preserve">Kriesberg, Adam. 2014. “Increasing Access in 140 Characters or Less: Or, What Are Archival Institutions Doing on Twitter?” </w:t>
      </w:r>
      <w:r>
        <w:rPr>
          <w:i/>
        </w:rPr>
        <w:t>The American Archivist</w:t>
      </w:r>
      <w:r>
        <w:rPr/>
        <w:t xml:space="preserve"> 77 (2): 534–57. </w:t>
      </w:r>
      <w:hyperlink r:id="rId12">
        <w:r>
          <w:rPr>
            <w:rStyle w:val="InternetLink"/>
          </w:rPr>
          <w:t>https://doi.org/10.17723/aarc.77.2.7661l201544xv5qr</w:t>
        </w:r>
      </w:hyperlink>
      <w:r>
        <w:rPr/>
        <w:t>.</w:t>
      </w:r>
    </w:p>
    <w:p>
      <w:pPr>
        <w:pStyle w:val="HangingIndent"/>
        <w:bidi w:val="0"/>
        <w:ind w:left="567" w:right="0" w:hanging="283"/>
        <w:jc w:val="left"/>
        <w:rPr/>
      </w:pPr>
      <w:r>
        <w:rPr/>
        <w:t xml:space="preserve">Manca, Stefania. 2021. “Digital Memory in the Post-Witness Era: How Holocaust Museums Use Social Media as New Memory Ecologies.” </w:t>
      </w:r>
      <w:r>
        <w:rPr>
          <w:i/>
        </w:rPr>
        <w:t>Information (Basel)</w:t>
      </w:r>
      <w:r>
        <w:rPr/>
        <w:t xml:space="preserve"> 12 (1): 31-. </w:t>
      </w:r>
      <w:hyperlink r:id="rId13">
        <w:r>
          <w:rPr>
            <w:rStyle w:val="InternetLink"/>
          </w:rPr>
          <w:t>https://doi.org/10.3390/info12010031</w:t>
        </w:r>
      </w:hyperlink>
      <w:r>
        <w:rPr/>
        <w:t>.</w:t>
      </w:r>
    </w:p>
    <w:p>
      <w:pPr>
        <w:pStyle w:val="HangingIndent"/>
        <w:bidi w:val="0"/>
        <w:ind w:left="567" w:right="0" w:hanging="283"/>
        <w:jc w:val="left"/>
        <w:rPr/>
      </w:pPr>
      <w:r>
        <w:rPr/>
        <w:t xml:space="preserve">Maniou, Theodora A. 2021. “Semantic Analysis of Cultural Heritage News Propagation in Social Media: Assessing the Role of Media and Journalists in the Era of Big Data.” </w:t>
      </w:r>
      <w:r>
        <w:rPr>
          <w:i/>
        </w:rPr>
        <w:t xml:space="preserve">Sustainability </w:t>
      </w:r>
      <w:r>
        <w:rPr/>
        <w:t>13 (1): 341-</w:t>
      </w:r>
      <w:r>
        <w:rPr/>
        <w:t>54</w:t>
      </w:r>
      <w:r>
        <w:rPr/>
        <w:t xml:space="preserve">. </w:t>
      </w:r>
      <w:hyperlink r:id="rId14">
        <w:r>
          <w:rPr>
            <w:rStyle w:val="InternetLink"/>
          </w:rPr>
          <w:t>https://doi.org/10.3390/su13010341</w:t>
        </w:r>
      </w:hyperlink>
      <w:r>
        <w:rPr/>
        <w:t>.</w:t>
      </w:r>
    </w:p>
    <w:p>
      <w:pPr>
        <w:pStyle w:val="HangingIndent"/>
        <w:bidi w:val="0"/>
        <w:ind w:left="567" w:right="0" w:hanging="283"/>
        <w:jc w:val="left"/>
        <w:rPr/>
      </w:pPr>
      <w:r>
        <w:rPr/>
        <w:t xml:space="preserve">Moustafa, Laila Hussein. 2013. “Disaster Management Plans in Middle East Libraries and Archives in Time of War: Case Studies of Iraq and Egypt.” </w:t>
      </w:r>
      <w:r>
        <w:rPr>
          <w:i/>
        </w:rPr>
        <w:t>Library &amp; Archival Security</w:t>
      </w:r>
      <w:r>
        <w:rPr/>
        <w:t xml:space="preserve"> 26 (1–2): 15–35. </w:t>
      </w:r>
      <w:hyperlink r:id="rId15">
        <w:r>
          <w:rPr>
            <w:rStyle w:val="InternetLink"/>
          </w:rPr>
          <w:t>https://doi.org/10.1080/01960075.2014.908689</w:t>
        </w:r>
      </w:hyperlink>
      <w:r>
        <w:rPr/>
        <w:t>.</w:t>
      </w:r>
    </w:p>
    <w:p>
      <w:pPr>
        <w:pStyle w:val="HangingIndent"/>
        <w:bidi w:val="0"/>
        <w:ind w:left="567" w:right="0" w:hanging="283"/>
        <w:jc w:val="left"/>
        <w:rPr/>
      </w:pPr>
      <w:r>
        <w:rPr/>
        <w:t xml:space="preserve">Ovenden, Richard. 2020. </w:t>
      </w:r>
      <w:r>
        <w:rPr>
          <w:i/>
        </w:rPr>
        <w:t>Burning the Books</w:t>
      </w:r>
      <w:r>
        <w:rPr/>
        <w:t>. Cambridge</w:t>
      </w:r>
      <w:r>
        <w:rPr/>
        <w:t>, Mass.</w:t>
      </w:r>
      <w:r>
        <w:rPr/>
        <w:t>: Harvard University Press.</w:t>
      </w:r>
    </w:p>
    <w:p>
      <w:pPr>
        <w:pStyle w:val="HangingIndent"/>
        <w:bidi w:val="0"/>
        <w:ind w:left="567" w:right="0" w:hanging="283"/>
        <w:jc w:val="left"/>
        <w:rPr/>
      </w:pPr>
      <w:r>
        <w:rPr/>
        <w:t xml:space="preserve">Owens, Brian M. 2003. “The Safeguarding of Memory: The Divine Function of the Librarian and Archivist.” </w:t>
      </w:r>
      <w:r>
        <w:rPr>
          <w:i/>
        </w:rPr>
        <w:t>Library &amp; Archival Security</w:t>
      </w:r>
      <w:r>
        <w:rPr/>
        <w:t xml:space="preserve"> 18 (1): 9–41. </w:t>
      </w:r>
      <w:hyperlink r:id="rId16">
        <w:r>
          <w:rPr>
            <w:rStyle w:val="InternetLink"/>
          </w:rPr>
          <w:t>https://doi.org/10.1300/J114v18n01_03</w:t>
        </w:r>
      </w:hyperlink>
      <w:r>
        <w:rPr/>
        <w:t>.</w:t>
      </w:r>
    </w:p>
    <w:p>
      <w:pPr>
        <w:pStyle w:val="HangingIndent"/>
        <w:bidi w:val="0"/>
        <w:ind w:left="567" w:right="0" w:hanging="283"/>
        <w:jc w:val="left"/>
        <w:rPr/>
      </w:pPr>
      <w:r>
        <w:rPr/>
        <w:t xml:space="preserve">Piper, Alana. n.d. “Digital Crowdsourcing and Public Understandings of the Past: Citizen Historians Meet Criminal Characters.” </w:t>
      </w:r>
      <w:r>
        <w:rPr>
          <w:i/>
        </w:rPr>
        <w:t>History Australia</w:t>
      </w:r>
      <w:r>
        <w:rPr/>
        <w:t xml:space="preserve"> (ahead-of-print): 1–17. </w:t>
      </w:r>
      <w:hyperlink r:id="rId17">
        <w:r>
          <w:rPr>
            <w:rStyle w:val="InternetLink"/>
          </w:rPr>
          <w:t>https://doi.org/10.1080/14490854.2020.1796500</w:t>
        </w:r>
      </w:hyperlink>
      <w:r>
        <w:rPr/>
        <w:t>.</w:t>
      </w:r>
    </w:p>
    <w:p>
      <w:pPr>
        <w:pStyle w:val="HangingIndent"/>
        <w:bidi w:val="0"/>
        <w:ind w:left="567" w:right="0" w:hanging="283"/>
        <w:jc w:val="left"/>
        <w:rPr/>
      </w:pPr>
      <w:r>
        <w:rPr/>
        <w:t xml:space="preserve">Prins, Annelot. 2020. “Live-Archiving the Crisis: Instagram, Cultural Studies and Times of Collapse.” </w:t>
      </w:r>
      <w:r>
        <w:rPr>
          <w:i/>
        </w:rPr>
        <w:t>European Journal of Cultural Studies</w:t>
      </w:r>
      <w:r>
        <w:rPr/>
        <w:t xml:space="preserve"> 23 (6): 1046–53. </w:t>
      </w:r>
      <w:hyperlink r:id="rId18">
        <w:r>
          <w:rPr>
            <w:rStyle w:val="InternetLink"/>
          </w:rPr>
          <w:t>https://doi.org/10.1177/1367549420944519</w:t>
        </w:r>
      </w:hyperlink>
      <w:r>
        <w:rPr/>
        <w:t>.</w:t>
      </w:r>
    </w:p>
    <w:p>
      <w:pPr>
        <w:pStyle w:val="HangingIndent"/>
        <w:bidi w:val="0"/>
        <w:ind w:left="567" w:right="0" w:hanging="283"/>
        <w:jc w:val="left"/>
        <w:rPr/>
      </w:pPr>
      <w:r>
        <w:rPr/>
        <w:t xml:space="preserve">Rodowick, D N. 1987. “The Last Things before the Last: Kracauer and History.” </w:t>
      </w:r>
      <w:r>
        <w:rPr>
          <w:i/>
        </w:rPr>
        <w:t>New German Critique</w:t>
      </w:r>
      <w:r>
        <w:rPr/>
        <w:t xml:space="preserve"> 41 (41): 109–39. </w:t>
      </w:r>
      <w:hyperlink r:id="rId19">
        <w:r>
          <w:rPr>
            <w:rStyle w:val="InternetLink"/>
          </w:rPr>
          <w:t>https://doi.org/10.2307/488278</w:t>
        </w:r>
      </w:hyperlink>
      <w:r>
        <w:rPr/>
        <w:t>.</w:t>
      </w:r>
    </w:p>
    <w:p>
      <w:pPr>
        <w:pStyle w:val="HangingIndent"/>
        <w:bidi w:val="0"/>
        <w:ind w:left="567" w:right="0" w:hanging="283"/>
        <w:jc w:val="left"/>
        <w:rPr/>
      </w:pPr>
      <w:r>
        <w:rPr/>
        <w:t xml:space="preserve">Roeschley, Ana, and Jeonghyun Kim. 2019. “‘Something That Feels like a Community’: The Role of Personal Stories in Building Community-Based Participatory Archives.” </w:t>
      </w:r>
      <w:r>
        <w:rPr>
          <w:i/>
        </w:rPr>
        <w:t>Archival Science; Dordrecht</w:t>
      </w:r>
      <w:r>
        <w:rPr/>
        <w:t xml:space="preserve">. </w:t>
      </w:r>
      <w:hyperlink r:id="rId20">
        <w:r>
          <w:rPr>
            <w:rStyle w:val="InternetLink"/>
          </w:rPr>
          <w:t>http://dx.doi.org.mutex.gmu.edu/10.1007/s10502-019-09302-2</w:t>
        </w:r>
      </w:hyperlink>
      <w:r>
        <w:rPr/>
        <w:t>.</w:t>
      </w:r>
    </w:p>
    <w:p>
      <w:pPr>
        <w:pStyle w:val="HangingIndent"/>
        <w:bidi w:val="0"/>
        <w:ind w:left="567" w:right="0" w:hanging="283"/>
        <w:jc w:val="left"/>
        <w:rPr/>
      </w:pPr>
      <w:r>
        <w:rPr/>
        <w:t xml:space="preserve">Rothberg, Michael. 2009. </w:t>
      </w:r>
      <w:r>
        <w:rPr>
          <w:i/>
        </w:rPr>
        <w:t>Multidirectional Memory: Remembering the Holocaust in the Age of Decolonization</w:t>
      </w:r>
      <w:r>
        <w:rPr/>
        <w:t>. Cultural Memory in the Present. Stanford: Stanford</w:t>
      </w:r>
      <w:r>
        <w:rPr/>
        <w:t xml:space="preserve"> University Press</w:t>
      </w:r>
      <w:r>
        <w:rPr/>
        <w:t>.</w:t>
      </w:r>
    </w:p>
    <w:p>
      <w:pPr>
        <w:pStyle w:val="HangingIndent"/>
        <w:bidi w:val="0"/>
        <w:ind w:left="567" w:right="0" w:hanging="283"/>
        <w:jc w:val="left"/>
        <w:rPr/>
      </w:pPr>
      <w:r>
        <w:rPr/>
        <w:t xml:space="preserve">Sexton, Anna, and Dolly Sen. 2018. “More Voice, Less Ventriloquism- Exploring the Relational Dynamics in a Participatory Archive of Mental Health Recovery.” </w:t>
      </w:r>
      <w:r>
        <w:rPr>
          <w:i/>
        </w:rPr>
        <w:t>International Journal of Heritage Studies: Themed Section: Inclusive Archives and Recordkeeping: Towards a Critical Manifesto</w:t>
      </w:r>
      <w:r>
        <w:rPr/>
        <w:t xml:space="preserve"> 24 (8): 874–88. </w:t>
      </w:r>
      <w:hyperlink r:id="rId21">
        <w:r>
          <w:rPr>
            <w:rStyle w:val="InternetLink"/>
          </w:rPr>
          <w:t>https://doi.org/10.1080/13527258.2017.1339109</w:t>
        </w:r>
      </w:hyperlink>
      <w:r>
        <w:rPr/>
        <w:t>.</w:t>
      </w:r>
    </w:p>
    <w:p>
      <w:pPr>
        <w:pStyle w:val="HangingIndent"/>
        <w:bidi w:val="0"/>
        <w:ind w:left="567" w:right="0" w:hanging="283"/>
        <w:jc w:val="left"/>
        <w:rPr/>
      </w:pPr>
      <w:r>
        <w:rPr/>
        <w:t xml:space="preserve">Steedman, Carolyn. 2001. </w:t>
      </w:r>
      <w:r>
        <w:rPr>
          <w:i/>
        </w:rPr>
        <w:t>Dust</w:t>
      </w:r>
      <w:r>
        <w:rPr/>
        <w:t>. Manchester University Press.</w:t>
      </w:r>
    </w:p>
    <w:p>
      <w:pPr>
        <w:pStyle w:val="HangingIndent"/>
        <w:bidi w:val="0"/>
        <w:ind w:left="567" w:right="0" w:hanging="283"/>
        <w:jc w:val="left"/>
        <w:rPr/>
      </w:pPr>
      <w:r>
        <w:rPr/>
        <w:t xml:space="preserve">Suchak, Aakash M. 2018. “The Place of Consignation, or Memory and Writing in Derrida’s Archive.(Jacques Derrida’s ‘Archive Fever’).” </w:t>
      </w:r>
      <w:r>
        <w:rPr>
          <w:i/>
        </w:rPr>
        <w:t>Journal of Comparative Literature &amp; Aesthetics</w:t>
      </w:r>
      <w:r>
        <w:rPr/>
        <w:t xml:space="preserve"> 41–2 (1): 55-.</w:t>
      </w:r>
    </w:p>
    <w:p>
      <w:pPr>
        <w:pStyle w:val="HangingIndent"/>
        <w:bidi w:val="0"/>
        <w:ind w:left="567" w:right="0" w:hanging="283"/>
        <w:jc w:val="left"/>
        <w:rPr/>
      </w:pPr>
      <w:r>
        <w:rPr/>
        <w:t xml:space="preserve">Williams, Lyneise. 2019. “What Computational Archival Science Can Learn from Art History and Material Culture Studies.” In </w:t>
      </w:r>
      <w:r>
        <w:rPr>
          <w:i/>
        </w:rPr>
        <w:t>2019 IEEE International Conference on Big Data</w:t>
      </w:r>
      <w:r>
        <w:rPr/>
        <w:t xml:space="preserve">, 3153–55. </w:t>
      </w:r>
      <w:hyperlink r:id="rId22">
        <w:r>
          <w:rPr>
            <w:rStyle w:val="InternetLink"/>
          </w:rPr>
          <w:t>https://doi.org/10.1109/BigData47090.2019.9006527</w:t>
        </w:r>
      </w:hyperlink>
      <w:r>
        <w:rPr/>
        <w:t>.</w:t>
      </w:r>
    </w:p>
    <w:p>
      <w:pPr>
        <w:pStyle w:val="HangingIndent"/>
        <w:bidi w:val="0"/>
        <w:ind w:left="567" w:right="0" w:hanging="283"/>
        <w:jc w:val="left"/>
        <w:rPr/>
      </w:pPr>
      <w:r>
        <w:rPr/>
        <w:t xml:space="preserve">Winterhager, Helena. </w:t>
      </w:r>
      <w:r>
        <w:rPr/>
        <w:t>2019.</w:t>
      </w:r>
      <w:r>
        <w:rPr/>
        <w:t xml:space="preserve"> “Social Media in der Öffentlichkeitsarbeit großer Bibliotheken im internationalen Vergleich: Strategien – Umsetzung – Best Practice.” Master’s</w:t>
      </w:r>
      <w:r>
        <w:rPr/>
        <w:t xml:space="preserve"> Thesis. Humboldt University</w:t>
      </w:r>
      <w:r>
        <w:rPr/>
        <w:t>.</w:t>
      </w:r>
    </w:p>
    <w:p>
      <w:pPr>
        <w:pStyle w:val="HangingIndent"/>
        <w:bidi w:val="0"/>
        <w:ind w:left="567" w:right="0" w:hanging="283"/>
        <w:jc w:val="left"/>
        <w:rPr/>
      </w:pPr>
      <w:r>
        <w:rPr/>
        <w:t xml:space="preserve">Zimmer, Michael, and John Proferes. 2014. “A Topology of Twitter Research: Disciplines, Methods, and Ethics.” </w:t>
      </w:r>
      <w:r>
        <w:rPr>
          <w:i/>
        </w:rPr>
        <w:t>Aslib Journal of Information Management</w:t>
      </w:r>
      <w:r>
        <w:rPr/>
        <w:t xml:space="preserve"> 66 (3): 250–61. </w:t>
      </w:r>
      <w:hyperlink r:id="rId23">
        <w:r>
          <w:rPr>
            <w:rStyle w:val="InternetLink"/>
          </w:rPr>
          <w:t>https://doi.org/10.1108/AJIM-09-2013-0083</w:t>
        </w:r>
      </w:hyperlink>
      <w:r>
        <w:rPr/>
        <w:t>.</w:t>
      </w:r>
    </w:p>
    <w:p>
      <w:pPr>
        <w:pStyle w:val="Normal"/>
        <w:bidi w:val="0"/>
        <w:jc w:val="left"/>
        <w:rPr>
          <w:rFonts w:ascii="Times New Roman" w:hAnsi="Times New Roman"/>
        </w:rPr>
      </w:pPr>
      <w:r>
        <w:rPr>
          <w:rFonts w:ascii="Times New Roman" w:hAnsi="Times New Roman"/>
        </w:rPr>
      </w:r>
    </w:p>
    <w:sectPr>
      <w:headerReference w:type="default" r:id="rId24"/>
      <w:headerReference w:type="first" r:id="rId25"/>
      <w:footnotePr>
        <w:numFmt w:val="decimal"/>
      </w:footnotePr>
      <w:type w:val="nextPage"/>
      <w:pgSz w:w="12240" w:h="15840"/>
      <w:pgMar w:left="1134" w:right="1134" w:header="1134" w:top="1698" w:footer="0" w:bottom="1134" w:gutter="0"/>
      <w:pgNumType w:fmt="decimal"/>
      <w:formProt w:val="false"/>
      <w:titlePg/>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uppressLineNumbers/>
        <w:bidi w:val="0"/>
        <w:ind w:left="339" w:right="0" w:hanging="339"/>
        <w:jc w:val="left"/>
        <w:rPr/>
      </w:pPr>
      <w:r>
        <w:rPr>
          <w:rStyle w:val="FootnoteCharacters"/>
        </w:rPr>
        <w:footnoteRef/>
      </w:r>
      <w:r>
        <w:rPr/>
        <w:tab/>
        <w:t xml:space="preserve">Megan Kossiakoff, “The Art of War: The Protection of Cultural Property during the ‘Siege’ of Sarajevo,” </w:t>
      </w:r>
      <w:r>
        <w:rPr>
          <w:i/>
        </w:rPr>
        <w:t>DePaul Journal of Art, Technology &amp; Intellectual Property Law</w:t>
      </w:r>
      <w:r>
        <w:rPr/>
        <w:t xml:space="preserve"> 14, no. 1 Special Section: Art and War (2004): </w:t>
      </w:r>
      <w:r>
        <w:rPr/>
        <w:t>161-63.</w:t>
      </w:r>
    </w:p>
  </w:footnote>
  <w:footnote w:id="3">
    <w:p>
      <w:pPr>
        <w:pStyle w:val="Footnote"/>
        <w:suppressLineNumbers/>
        <w:bidi w:val="0"/>
        <w:ind w:left="339" w:right="0" w:hanging="339"/>
        <w:jc w:val="left"/>
        <w:rPr/>
      </w:pPr>
      <w:r>
        <w:rPr>
          <w:rStyle w:val="FootnoteCharacters"/>
        </w:rPr>
        <w:footnoteRef/>
      </w:r>
      <w:r>
        <w:rPr/>
        <w:tab/>
        <w:t xml:space="preserve">Kristen M. Hartmann, “Fragmentation and Forgetting: Sarajevo’s Vijećnica,” </w:t>
      </w:r>
      <w:r>
        <w:rPr>
          <w:i/>
        </w:rPr>
        <w:t>International Journal of Heritage Studies : IJHS</w:t>
      </w:r>
      <w:r>
        <w:rPr/>
        <w:t xml:space="preserve"> 22, no. 4 (2016): 31</w:t>
      </w:r>
      <w:r>
        <w:rPr/>
        <w:t>6.</w:t>
      </w:r>
    </w:p>
  </w:footnote>
  <w:footnote w:id="4">
    <w:p>
      <w:pPr>
        <w:pStyle w:val="Footnote"/>
        <w:suppressLineNumbers/>
        <w:bidi w:val="0"/>
        <w:ind w:left="339" w:right="0" w:hanging="339"/>
        <w:jc w:val="left"/>
        <w:rPr/>
      </w:pPr>
      <w:r>
        <w:rPr>
          <w:rStyle w:val="FootnoteCharacters"/>
        </w:rPr>
        <w:footnoteRef/>
      </w:r>
      <w:r>
        <w:rPr/>
        <w:tab/>
        <w:t xml:space="preserve">Kemal Bakarŝić, “Back Where We Started: Bosnia’s Digital Archives,” </w:t>
      </w:r>
      <w:r>
        <w:rPr>
          <w:i/>
        </w:rPr>
        <w:t>Slavic &amp; East European Information Resources</w:t>
      </w:r>
      <w:r>
        <w:rPr/>
        <w:t xml:space="preserve"> 3, no. 2–3 (2002): </w:t>
      </w:r>
      <w:r>
        <w:rPr/>
        <w:t>63.</w:t>
      </w:r>
    </w:p>
  </w:footnote>
  <w:footnote w:id="5">
    <w:p>
      <w:pPr>
        <w:pStyle w:val="Footnote"/>
        <w:suppressLineNumbers/>
        <w:bidi w:val="0"/>
        <w:ind w:left="339" w:right="0" w:hanging="339"/>
        <w:jc w:val="left"/>
        <w:rPr/>
      </w:pPr>
      <w:r>
        <w:rPr>
          <w:rStyle w:val="FootnoteCharacters"/>
        </w:rPr>
        <w:footnoteRef/>
      </w:r>
      <w:r>
        <w:rPr/>
        <w:tab/>
        <w:t xml:space="preserve">Richard Ovenden, </w:t>
      </w:r>
      <w:r>
        <w:rPr>
          <w:i/>
        </w:rPr>
        <w:t>Burning the Books</w:t>
      </w:r>
      <w:r>
        <w:rPr/>
        <w:t xml:space="preserve"> (Cambridge: Harvard University Press, 2020).</w:t>
      </w:r>
    </w:p>
  </w:footnote>
  <w:footnote w:id="6">
    <w:p>
      <w:pPr>
        <w:pStyle w:val="Footnote"/>
        <w:suppressLineNumbers/>
        <w:bidi w:val="0"/>
        <w:ind w:left="339" w:right="0" w:hanging="339"/>
        <w:jc w:val="left"/>
        <w:rPr/>
      </w:pPr>
      <w:r>
        <w:rPr>
          <w:rStyle w:val="FootnoteCharacters"/>
        </w:rPr>
        <w:footnoteRef/>
      </w:r>
      <w:r>
        <w:rPr/>
        <w:tab/>
        <w:t xml:space="preserve">Giuditta Fontana, “War by Other Means: Cultural Policy and the Politics of Corporate Consociation in Bosnia and Herzegovina,” </w:t>
      </w:r>
      <w:r>
        <w:rPr>
          <w:i/>
        </w:rPr>
        <w:t>Nationalism &amp; Ethnic Politics</w:t>
      </w:r>
      <w:r>
        <w:rPr/>
        <w:t xml:space="preserve"> 19, no. 4 (2013): 447–66</w:t>
      </w:r>
      <w:r>
        <w:rPr/>
        <w:t>.</w:t>
      </w:r>
    </w:p>
  </w:footnote>
  <w:footnote w:id="7">
    <w:p>
      <w:pPr>
        <w:pStyle w:val="Footnote"/>
        <w:suppressLineNumbers/>
        <w:bidi w:val="0"/>
        <w:ind w:left="339" w:right="0" w:hanging="339"/>
        <w:jc w:val="left"/>
        <w:rPr/>
      </w:pPr>
      <w:r>
        <w:rPr>
          <w:rStyle w:val="FootnoteCharacters"/>
        </w:rPr>
        <w:footnoteRef/>
      </w:r>
      <w:r>
        <w:rPr/>
        <w:tab/>
        <w:t xml:space="preserve">Ovenden, </w:t>
      </w:r>
      <w:r>
        <w:rPr>
          <w:i/>
        </w:rPr>
        <w:t>Burning the Books</w:t>
      </w:r>
      <w:r>
        <w:rPr>
          <w:i/>
        </w:rPr>
        <w:t>,</w:t>
      </w:r>
      <w:r>
        <w:rPr/>
        <w:t xml:space="preserve"> 168.</w:t>
      </w:r>
    </w:p>
  </w:footnote>
  <w:footnote w:id="8">
    <w:p>
      <w:pPr>
        <w:pStyle w:val="Footnote"/>
        <w:bidi w:val="0"/>
        <w:jc w:val="left"/>
        <w:rPr/>
      </w:pPr>
      <w:r>
        <w:rPr>
          <w:rStyle w:val="FootnoteCharacters"/>
        </w:rPr>
        <w:footnoteRef/>
      </w:r>
      <w:r>
        <w:rPr/>
        <w:tab/>
        <w:t>Carolyn</w:t>
      </w:r>
      <w:r>
        <w:rPr/>
        <w:t xml:space="preserve"> </w:t>
      </w:r>
      <w:r>
        <w:rPr/>
        <w:t xml:space="preserve">Steedman, </w:t>
      </w:r>
      <w:r>
        <w:rPr>
          <w:i/>
          <w:iCs/>
        </w:rPr>
        <w:t>Dust</w:t>
      </w:r>
      <w:r>
        <w:rPr/>
        <w:t xml:space="preserve"> </w:t>
      </w:r>
      <w:r>
        <w:rPr/>
        <w:t>(</w:t>
      </w:r>
      <w:r>
        <w:rPr/>
        <w:t>Manchester University Press</w:t>
      </w:r>
      <w:r>
        <w:rPr/>
        <w:t>, 2001)</w:t>
      </w:r>
      <w:r>
        <w:rPr/>
        <w:t>.</w:t>
      </w:r>
      <w:r>
        <w:rPr/>
        <w:t xml:space="preserve"> 1.</w:t>
      </w:r>
    </w:p>
  </w:footnote>
  <w:footnote w:id="9">
    <w:p>
      <w:pPr>
        <w:pStyle w:val="Footnote"/>
        <w:suppressLineNumbers/>
        <w:bidi w:val="0"/>
        <w:ind w:left="339" w:right="0" w:hanging="339"/>
        <w:jc w:val="left"/>
        <w:rPr/>
      </w:pPr>
      <w:r>
        <w:rPr>
          <w:rStyle w:val="FootnoteCharacters"/>
        </w:rPr>
        <w:footnoteRef/>
      </w:r>
      <w:r>
        <w:rPr/>
        <w:tab/>
        <w:t xml:space="preserve">Brian M. Owens, “The Safeguarding of Memory: The Divine Function of the Librarian and Archivist,” </w:t>
      </w:r>
      <w:r>
        <w:rPr>
          <w:i/>
        </w:rPr>
        <w:t>Library &amp; Archival Security</w:t>
      </w:r>
      <w:r>
        <w:rPr/>
        <w:t xml:space="preserve"> 18, no. 1 (2003): </w:t>
      </w:r>
      <w:r>
        <w:rPr/>
        <w:t>25.</w:t>
      </w:r>
    </w:p>
  </w:footnote>
  <w:footnote w:id="10">
    <w:p>
      <w:pPr>
        <w:pStyle w:val="Footnote"/>
        <w:suppressLineNumbers/>
        <w:bidi w:val="0"/>
        <w:ind w:left="339" w:right="0" w:hanging="339"/>
        <w:jc w:val="left"/>
        <w:rPr/>
      </w:pPr>
      <w:r>
        <w:rPr>
          <w:rStyle w:val="FootnoteCharacters"/>
        </w:rPr>
        <w:footnoteRef/>
      </w:r>
      <w:r>
        <w:rPr/>
        <w:tab/>
        <w:t xml:space="preserve">Laila Hussein Moustafa, “Disaster Management Plans in Middle East Libraries and Archives in Time of War: Case Studies of Iraq and Egypt,” </w:t>
      </w:r>
      <w:r>
        <w:rPr>
          <w:i/>
        </w:rPr>
        <w:t>Library &amp; Archival Security</w:t>
      </w:r>
      <w:r>
        <w:rPr/>
        <w:t xml:space="preserve"> 26, no. 1–2 (2013): 1</w:t>
      </w:r>
      <w:r>
        <w:rPr/>
        <w:t>7-19.</w:t>
      </w:r>
    </w:p>
  </w:footnote>
  <w:footnote w:id="11">
    <w:p>
      <w:pPr>
        <w:pStyle w:val="Footnote"/>
        <w:bidi w:val="0"/>
        <w:jc w:val="left"/>
        <w:rPr/>
      </w:pPr>
      <w:r>
        <w:rPr>
          <w:rStyle w:val="FootnoteCharacters"/>
        </w:rPr>
        <w:footnoteRef/>
      </w:r>
      <w:r>
        <w:rPr/>
        <w:tab/>
        <w:t>I will have to leave it to elsewhere to advance an argument that many of these efforts, however well-meaning, are actually efforts to extend librarian authority over realms that are already being discussed in scholarship.</w:t>
      </w:r>
    </w:p>
  </w:footnote>
  <w:footnote w:id="12">
    <w:p>
      <w:pPr>
        <w:pStyle w:val="Footnote"/>
        <w:bidi w:val="0"/>
        <w:jc w:val="left"/>
        <w:rPr/>
      </w:pPr>
      <w:r>
        <w:rPr>
          <w:rStyle w:val="FootnoteCharacters"/>
        </w:rPr>
        <w:footnoteRef/>
      </w:r>
      <w:r>
        <w:rPr/>
        <w:tab/>
        <w:t xml:space="preserve">Steedman, </w:t>
      </w:r>
      <w:r>
        <w:rPr>
          <w:i/>
          <w:iCs/>
        </w:rPr>
        <w:t xml:space="preserve">Dust, </w:t>
      </w:r>
      <w:r>
        <w:rPr>
          <w:i w:val="false"/>
          <w:iCs w:val="false"/>
        </w:rPr>
        <w:t>1.</w:t>
      </w:r>
    </w:p>
  </w:footnote>
  <w:footnote w:id="13">
    <w:p>
      <w:pPr>
        <w:pStyle w:val="Footnote"/>
        <w:suppressLineNumbers/>
        <w:bidi w:val="0"/>
        <w:ind w:left="339" w:right="0" w:hanging="339"/>
        <w:jc w:val="left"/>
        <w:rPr/>
      </w:pPr>
      <w:r>
        <w:rPr>
          <w:rStyle w:val="FootnoteCharacters"/>
        </w:rPr>
        <w:footnoteRef/>
      </w:r>
      <w:r>
        <w:rPr/>
        <w:tab/>
        <w:t xml:space="preserve">Siegfried Kracauer, </w:t>
      </w:r>
      <w:r>
        <w:rPr>
          <w:i/>
        </w:rPr>
        <w:t>History: The Last Things Before the Last</w:t>
      </w:r>
      <w:r>
        <w:rPr/>
        <w:t xml:space="preserve"> (New York: Oxford University Press, 1969).</w:t>
      </w:r>
      <w:r>
        <w:rPr/>
        <w:t xml:space="preserve"> 194.</w:t>
      </w:r>
    </w:p>
  </w:footnote>
  <w:footnote w:id="14">
    <w:p>
      <w:pPr>
        <w:pStyle w:val="Footnote"/>
        <w:bidi w:val="0"/>
        <w:jc w:val="left"/>
        <w:rPr/>
      </w:pPr>
      <w:r>
        <w:rPr>
          <w:rStyle w:val="FootnoteCharacters"/>
        </w:rPr>
        <w:footnoteRef/>
      </w:r>
      <w:r>
        <w:rPr/>
        <w:tab/>
        <w:t xml:space="preserve">Kracauer, </w:t>
      </w:r>
      <w:r>
        <w:rPr>
          <w:i/>
          <w:iCs/>
        </w:rPr>
        <w:t>History</w:t>
      </w:r>
      <w:r>
        <w:rPr>
          <w:i w:val="false"/>
          <w:iCs w:val="false"/>
        </w:rPr>
        <w:t>, 94.</w:t>
      </w:r>
    </w:p>
  </w:footnote>
  <w:footnote w:id="15">
    <w:p>
      <w:pPr>
        <w:pStyle w:val="Footnote"/>
        <w:suppressLineNumbers/>
        <w:bidi w:val="0"/>
        <w:ind w:left="339" w:right="0" w:hanging="339"/>
        <w:jc w:val="left"/>
        <w:rPr/>
      </w:pPr>
      <w:r>
        <w:rPr>
          <w:rStyle w:val="FootnoteCharacters"/>
        </w:rPr>
        <w:footnoteRef/>
      </w:r>
      <w:r>
        <w:rPr/>
        <w:tab/>
        <w:t xml:space="preserve">Center for Bosnia Studies. </w:t>
      </w:r>
      <w:r>
        <w:rPr/>
        <w:t>https://griffinshare.fontbonne.edu/bosnia/</w:t>
      </w:r>
      <w:r>
        <w:rPr/>
        <w:t xml:space="preserve"> Accessed April 7, 2021.</w:t>
      </w:r>
    </w:p>
  </w:footnote>
  <w:footnote w:id="16">
    <w:p>
      <w:pPr>
        <w:pStyle w:val="Footnote"/>
        <w:bidi w:val="0"/>
        <w:ind w:right="0" w:hanging="0"/>
        <w:jc w:val="left"/>
        <w:rPr/>
      </w:pPr>
      <w:r>
        <w:rPr>
          <w:rStyle w:val="FootnoteCharacters"/>
        </w:rPr>
        <w:footnoteRef/>
      </w:r>
      <w:r>
        <w:rPr/>
        <w:t xml:space="preserve"> </w:t>
      </w:r>
      <w:r>
        <w:rPr/>
        <w:t>András Riedlmayer collection on Balkan cultural heritage.</w:t>
      </w:r>
      <w:r>
        <w:rPr/>
        <w:t xml:space="preserve"> </w:t>
      </w:r>
      <w:r>
        <w:rPr/>
        <w:t>https://hollisarchives.lib.harvard.edu/repositories/19/resources/6408</w:t>
      </w:r>
      <w:r>
        <w:rPr/>
        <w:t>, Accessed April 7, 2021.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pPr>
    <w:r>
      <w:rPr/>
      <w:t xml:space="preserve">Peterson </w:t>
    </w:r>
    <w:r>
      <w:rPr/>
      <w:fldChar w:fldCharType="begin"/>
    </w:r>
    <w:r>
      <w:rPr/>
      <w:instrText> PAGE </w:instrText>
    </w:r>
    <w:r>
      <w:rPr/>
      <w:fldChar w:fldCharType="separate"/>
    </w:r>
    <w:r>
      <w:rPr/>
      <w:t>15</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pPr>
    <w:r>
      <w:rPr/>
    </w:r>
  </w:p>
</w:hdr>
</file>

<file path=word/settings.xml><?xml version="1.0" encoding="utf-8"?>
<w:settings xmlns:w="http://schemas.openxmlformats.org/wordprocessingml/2006/main">
  <w:zoom w:percent="204"/>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angingIndent">
    <w:name w:val="Hanging Indent"/>
    <w:basedOn w:val="TextBody"/>
    <w:qFormat/>
    <w:pPr>
      <w:tabs>
        <w:tab w:val="clear" w:pos="720"/>
        <w:tab w:val="left" w:pos="0" w:leader="none"/>
      </w:tabs>
      <w:ind w:left="567" w:right="0" w:hanging="283"/>
    </w:pPr>
    <w:rPr/>
  </w:style>
  <w:style w:type="paragraph" w:styleId="Footnote">
    <w:name w:val="Footnote Text"/>
    <w:basedOn w:val="Normal"/>
    <w:pPr>
      <w:suppressLineNumbers/>
      <w:ind w:left="339" w:right="0" w:hanging="339"/>
    </w:pPr>
    <w:rPr>
      <w:sz w:val="20"/>
      <w:szCs w:val="20"/>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doi.org/10.1108/EL-05-2014-0084" TargetMode="External"/><Relationship Id="rId5" Type="http://schemas.openxmlformats.org/officeDocument/2006/relationships/hyperlink" Target="https://doi.org/10.1300/J167v03n02_07" TargetMode="External"/><Relationship Id="rId6" Type="http://schemas.openxmlformats.org/officeDocument/2006/relationships/hyperlink" Target="https://doi.org/10.1177/0263276414561271" TargetMode="External"/><Relationship Id="rId7" Type="http://schemas.openxmlformats.org/officeDocument/2006/relationships/hyperlink" Target="https://doi.org/10.1177/1750698017750012" TargetMode="External"/><Relationship Id="rId8" Type="http://schemas.openxmlformats.org/officeDocument/2006/relationships/hyperlink" Target="https://doi.org/10.1016/j.lisr.2018.06.005" TargetMode="External"/><Relationship Id="rId9" Type="http://schemas.openxmlformats.org/officeDocument/2006/relationships/hyperlink" Target="https://doi.org/10.1080/13537113.2013.847601" TargetMode="External"/><Relationship Id="rId10" Type="http://schemas.openxmlformats.org/officeDocument/2006/relationships/hyperlink" Target="https://doi.org/10.1080/13527258.2016.1138317" TargetMode="External"/><Relationship Id="rId11" Type="http://schemas.openxmlformats.org/officeDocument/2006/relationships/hyperlink" Target="https://doi.org/10.1111/jcom.12057" TargetMode="External"/><Relationship Id="rId12" Type="http://schemas.openxmlformats.org/officeDocument/2006/relationships/hyperlink" Target="https://doi.org/10.17723/aarc.77.2.7661l201544xv5qr" TargetMode="External"/><Relationship Id="rId13" Type="http://schemas.openxmlformats.org/officeDocument/2006/relationships/hyperlink" Target="https://doi.org/10.3390/info12010031" TargetMode="External"/><Relationship Id="rId14" Type="http://schemas.openxmlformats.org/officeDocument/2006/relationships/hyperlink" Target="https://doi.org/10.3390/su13010341" TargetMode="External"/><Relationship Id="rId15" Type="http://schemas.openxmlformats.org/officeDocument/2006/relationships/hyperlink" Target="https://doi.org/10.1080/01960075.2014.908689" TargetMode="External"/><Relationship Id="rId16" Type="http://schemas.openxmlformats.org/officeDocument/2006/relationships/hyperlink" Target="https://doi.org/10.1300/J114v18n01_03" TargetMode="External"/><Relationship Id="rId17" Type="http://schemas.openxmlformats.org/officeDocument/2006/relationships/hyperlink" Target="https://doi.org/10.1080/14490854.2020.1796500" TargetMode="External"/><Relationship Id="rId18" Type="http://schemas.openxmlformats.org/officeDocument/2006/relationships/hyperlink" Target="https://doi.org/10.1177/1367549420944519" TargetMode="External"/><Relationship Id="rId19" Type="http://schemas.openxmlformats.org/officeDocument/2006/relationships/hyperlink" Target="https://doi.org/10.2307/488278" TargetMode="External"/><Relationship Id="rId20" Type="http://schemas.openxmlformats.org/officeDocument/2006/relationships/hyperlink" Target="http://dx.doi.org.mutex.gmu.edu/10.1007/s10502-019-09302-2" TargetMode="External"/><Relationship Id="rId21" Type="http://schemas.openxmlformats.org/officeDocument/2006/relationships/hyperlink" Target="https://doi.org/10.1080/13527258.2017.1339109" TargetMode="External"/><Relationship Id="rId22" Type="http://schemas.openxmlformats.org/officeDocument/2006/relationships/hyperlink" Target="https://doi.org/10.1109/BigData47090.2019.9006527" TargetMode="External"/><Relationship Id="rId23" Type="http://schemas.openxmlformats.org/officeDocument/2006/relationships/hyperlink" Target="https://doi.org/10.1108/AJIM-09-2013-0083"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notes" Target="footnotes.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2416</TotalTime>
  <Application>LibreOffice/7.0.2.2$Linux_X86_64 LibreOffice_project/00$Build-2</Application>
  <Pages>15</Pages>
  <Words>6329</Words>
  <Characters>35176</Characters>
  <CharactersWithSpaces>41829</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2021-03-18T08:42:27Z</dcterms:created>
  <dc:creator/>
  <dc:description/>
  <dc:language>en-US</dc:language>
  <cp:lastModifiedBy/>
  <dcterms:modified xsi:type="dcterms:W3CDTF">2021-04-07T15:35:23Z</dcterms:modified>
  <cp:revision>40</cp:revision>
  <dc:subject/>
  <dc:title/>
</cp:coreProperties>
</file>