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Actualizare Balanță</w:t>
      </w:r>
    </w:p>
    <w:p>
      <w:pPr>
        <w:pStyle w:val="Heading2"/>
      </w:pPr>
      <w:r>
        <w:t>1. Secțiuni principale ale interfeței:</w:t>
      </w:r>
    </w:p>
    <w:p>
      <w:r>
        <w:br/>
        <w:t xml:space="preserve">    - Titlul ferestrei: „Actualizare balanță” – indică faptul că acest ecran permite actualizarea datelor contabile pentru o entitate, </w:t>
        <w:br/>
        <w:t xml:space="preserve">      în acest caz, „MR CLEAN - Activitate 3 2024/11”.</w:t>
        <w:br/>
        <w:t xml:space="preserve">    - Opțiuni suplimentare:</w:t>
        <w:br/>
        <w:t xml:space="preserve">      - Filtrare conturi: Permite căutarea unui cont specific folosind codul sau denumirea acestuia.</w:t>
        <w:br/>
        <w:t xml:space="preserve">      - Butoane de acțiune: </w:t>
        <w:br/>
        <w:t xml:space="preserve">        - „Analitice” și „Generare multiplă” – pentru raportări sau generarea de documente asociate.</w:t>
        <w:br/>
        <w:t xml:space="preserve">        - „Recalculare rulaje” – folosit pentru a actualiza rulajele pe baza datelor noi introduse.</w:t>
        <w:br/>
        <w:t xml:space="preserve">    - Legende: Se explică tipurile de conturi marcate prin culori:</w:t>
        <w:br/>
        <w:t xml:space="preserve">      - Verde: Conturi active.</w:t>
        <w:br/>
        <w:t xml:space="preserve">      - Albastru: Conturi pasive.</w:t>
        <w:br/>
        <w:t xml:space="preserve">      - Galben: Conturi în afara bilanțului.</w:t>
        <w:br/>
        <w:t xml:space="preserve">      - Roșu: Erori sau discrepanțe, cum ar fi solduri finale diferite de soldurile inițiale ale anului curent.</w:t>
        <w:br/>
        <w:t xml:space="preserve">    </w:t>
      </w:r>
    </w:p>
    <w:p>
      <w:pPr>
        <w:pStyle w:val="Heading2"/>
      </w:pPr>
      <w:r>
        <w:t>2. Explicația coloanelor:</w:t>
      </w:r>
    </w:p>
    <w:p>
      <w:r>
        <w:br/>
        <w:t xml:space="preserve">    - Cont: Codul unic al fiecărui cont contabil.</w:t>
        <w:br/>
        <w:t xml:space="preserve">    - Denumire: Descrierea contului contabil (ex. „Alte materiale consumabile”).</w:t>
        <w:br/>
        <w:t xml:space="preserve">    - Tip: Clasificarea contului (A = Activ, P = Pasiv).</w:t>
        <w:br/>
        <w:t xml:space="preserve">    - Sold la început de an (Debit/Credit): Valorile soldului la începutul anului pentru conturile respective.</w:t>
        <w:br/>
        <w:t xml:space="preserve">    - Rulaj inițial (Debit/Credit): Mișcările financiare inițiale ale anului pentru fiecare cont.</w:t>
        <w:br/>
        <w:t xml:space="preserve">    </w:t>
      </w:r>
    </w:p>
    <w:p>
      <w:pPr>
        <w:pStyle w:val="Heading2"/>
      </w:pPr>
      <w:r>
        <w:t>3. Identificarea problemelor:</w:t>
      </w:r>
    </w:p>
    <w:p>
      <w:r>
        <w:br/>
        <w:t xml:space="preserve">    - Rânduri evidențiate cu roșu: Arată o eroare – soldul final anterior diferă de soldul inițial al anului curent.</w:t>
        <w:br/>
        <w:t xml:space="preserve">      În exemplul din imagine, contul „401.01.00 – Furnizori sub 1 an” are o astfel de discrepanță (100.00 credit).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Verificarea erorilor:</w:t>
        <w:br/>
        <w:t xml:space="preserve">      - Căutați rândurile marcate cu roșu. În exemplu, contul „401.01.00” necesită verificare și ajustare.</w:t>
        <w:br/>
        <w:t xml:space="preserve">    - Actualizarea rulajelor:</w:t>
        <w:br/>
        <w:t xml:space="preserve">      - După corectarea discrepanțelor sau introducerea de date noi, apăsați pe butonul „Recalculare rulaje”.</w:t>
        <w:br/>
        <w:t xml:space="preserve">    - Filtrare conturi: Dacă lista conturilor este lungă, folosiți caseta de căutare pentru a găsi conturi după cod sau denumire.</w:t>
        <w:br/>
        <w:t xml:space="preserve">    - Exportarea datelor: Folosiți butonul de export (indicat prin simbolul PDF) pentru a genera rapoarte.</w:t>
        <w:br/>
        <w:t xml:space="preserve">    </w:t>
      </w:r>
    </w:p>
    <w:p>
      <w:pPr>
        <w:pStyle w:val="Heading2"/>
      </w:pPr>
      <w:r>
        <w:t>5. Sfaturi pentru utilizare:</w:t>
      </w:r>
    </w:p>
    <w:p>
      <w:r>
        <w:br/>
        <w:t xml:space="preserve">    - Asigurați-vă că datele contabile sunt corect introduse înainte de recalculare.</w:t>
        <w:br/>
        <w:t xml:space="preserve">    - Verificați legenda pentru a înțelege semnificația culorilor afișate.</w:t>
        <w:br/>
        <w:t xml:space="preserve">    - Corectați discrepanțele marcate cu roșu pentru a evita erorile în rapoartele financiare.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