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883" w:rsidRDefault="00E15367">
      <w:pPr>
        <w:pStyle w:val="Heading1"/>
        <w:rPr>
          <w:sz w:val="36"/>
          <w:szCs w:val="36"/>
        </w:rPr>
      </w:pPr>
      <w:proofErr w:type="spellStart"/>
      <w:r w:rsidRPr="00E02359">
        <w:rPr>
          <w:sz w:val="36"/>
          <w:szCs w:val="36"/>
        </w:rPr>
        <w:t>Furnizori</w:t>
      </w:r>
      <w:proofErr w:type="spellEnd"/>
      <w:r w:rsidRPr="00E02359">
        <w:rPr>
          <w:sz w:val="36"/>
          <w:szCs w:val="36"/>
        </w:rPr>
        <w:t xml:space="preserve"> cu Sold </w:t>
      </w:r>
      <w:proofErr w:type="spellStart"/>
      <w:r w:rsidRPr="00E02359">
        <w:rPr>
          <w:sz w:val="36"/>
          <w:szCs w:val="36"/>
        </w:rPr>
        <w:t>Inițial</w:t>
      </w:r>
      <w:proofErr w:type="spellEnd"/>
    </w:p>
    <w:p w:rsidR="00C50488" w:rsidRPr="00C50488" w:rsidRDefault="00C50488" w:rsidP="00C50488"/>
    <w:p w:rsidR="00E23883" w:rsidRDefault="00E15367">
      <w:r>
        <w:t xml:space="preserve">Înregistrarea furnizorilor cu sold inițial este o practică contabilă esențială pentru a reflecta corect situația datoriilor către furnizori, mai ales atunci când se implementează un nou sistem contabil sau se fac </w:t>
      </w:r>
      <w:proofErr w:type="spellStart"/>
      <w:r>
        <w:t>ajustări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evidențele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.</w:t>
      </w:r>
    </w:p>
    <w:p w:rsidR="00C50488" w:rsidRDefault="00C50488"/>
    <w:p w:rsidR="00E02359" w:rsidRDefault="00E02359">
      <w:r w:rsidRPr="00E02359">
        <w:drawing>
          <wp:inline distT="0" distB="0" distL="0" distR="0" wp14:anchorId="598DDFC3" wp14:editId="2CC0FD41">
            <wp:extent cx="5486400" cy="2243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488" w:rsidRDefault="00C50488"/>
    <w:p w:rsidR="00E23883" w:rsidRDefault="00E15367">
      <w:pPr>
        <w:pStyle w:val="Heading2"/>
      </w:pPr>
      <w:proofErr w:type="spellStart"/>
      <w:r>
        <w:t>Modul</w:t>
      </w:r>
      <w:proofErr w:type="spellEnd"/>
      <w:r>
        <w:t xml:space="preserve"> de </w:t>
      </w:r>
      <w:proofErr w:type="spellStart"/>
      <w:r>
        <w:t>înregistrare</w:t>
      </w:r>
      <w:proofErr w:type="spellEnd"/>
      <w:r>
        <w:t xml:space="preserve"> a soldului inițial pentru furnizori</w:t>
      </w:r>
    </w:p>
    <w:p w:rsidR="00E02359" w:rsidRDefault="00E15367">
      <w:r>
        <w:t xml:space="preserve">1. </w:t>
      </w:r>
      <w:r>
        <w:t>Determinarea soldului inițial:</w:t>
      </w:r>
      <w:r>
        <w:br/>
        <w:t>- Analizează balanța de verificare sau jurnalul furnizorilor din perioada prec</w:t>
      </w:r>
      <w:r>
        <w:t>edentă.</w:t>
      </w:r>
      <w:r>
        <w:br/>
        <w:t>- Identifică sumele aferente fiecărui furnizor (soldurile debitoare și creditoare).</w:t>
      </w:r>
      <w:r>
        <w:br/>
      </w:r>
      <w:r>
        <w:br/>
        <w:t>2. Înregistrarea soldului:</w:t>
      </w:r>
      <w:r>
        <w:br/>
        <w:t>- Soldurile creditoare (datorii) sunt înregistrate în contul de pasiv al furnizorului (ex. 401 – „Furnizori”).</w:t>
      </w:r>
      <w:r>
        <w:br/>
        <w:t>- Soldurile debitoare (cr</w:t>
      </w:r>
      <w:r>
        <w:t>eanțe) sunt înregistrate în conturi de activ (ex. 409 – „</w:t>
      </w:r>
      <w:proofErr w:type="spellStart"/>
      <w:r>
        <w:t>Furnizori</w:t>
      </w:r>
      <w:proofErr w:type="spellEnd"/>
      <w:r>
        <w:t xml:space="preserve"> – </w:t>
      </w:r>
      <w:proofErr w:type="spellStart"/>
      <w:r>
        <w:t>Avansuri</w:t>
      </w:r>
      <w:proofErr w:type="spellEnd"/>
      <w:r>
        <w:t xml:space="preserve"> </w:t>
      </w:r>
      <w:proofErr w:type="spellStart"/>
      <w:r>
        <w:t>acordate</w:t>
      </w:r>
      <w:proofErr w:type="spellEnd"/>
      <w:r>
        <w:t>”).</w:t>
      </w:r>
    </w:p>
    <w:p w:rsidR="00C50488" w:rsidRDefault="00C50488"/>
    <w:p w:rsidR="00C50488" w:rsidRDefault="00C50488"/>
    <w:p w:rsidR="00C50488" w:rsidRDefault="00C50488"/>
    <w:p w:rsidR="00C50488" w:rsidRDefault="00C50488"/>
    <w:p w:rsidR="00C50488" w:rsidRDefault="00C50488"/>
    <w:p w:rsidR="00C50488" w:rsidRDefault="00C50488">
      <w:proofErr w:type="spellStart"/>
      <w:r>
        <w:lastRenderedPageBreak/>
        <w:t>Accesam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 w:rsidRPr="00E15367">
        <w:rPr>
          <w:b/>
        </w:rPr>
        <w:t>Documente</w:t>
      </w:r>
      <w:proofErr w:type="spellEnd"/>
      <w:r w:rsidRPr="00E15367">
        <w:rPr>
          <w:b/>
        </w:rPr>
        <w:t xml:space="preserve"> </w:t>
      </w:r>
      <w:proofErr w:type="spellStart"/>
      <w:r w:rsidRPr="00E15367">
        <w:rPr>
          <w:b/>
        </w:rPr>
        <w:t>Furnizor</w:t>
      </w:r>
      <w:proofErr w:type="spellEnd"/>
      <w:r w:rsidRPr="00E15367">
        <w:rPr>
          <w:b/>
        </w:rPr>
        <w:t xml:space="preserve"> cu sold </w:t>
      </w:r>
      <w:proofErr w:type="gramStart"/>
      <w:r w:rsidRPr="00E15367">
        <w:rPr>
          <w:b/>
        </w:rPr>
        <w:t>initial</w:t>
      </w:r>
      <w:r>
        <w:t xml:space="preserve"> ,</w:t>
      </w:r>
      <w:proofErr w:type="gramEnd"/>
      <w:r>
        <w:t xml:space="preserve"> </w:t>
      </w:r>
      <w:proofErr w:type="spellStart"/>
      <w:r>
        <w:t>selectam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/ data </w:t>
      </w:r>
      <w:proofErr w:type="spellStart"/>
      <w:r>
        <w:t>si</w:t>
      </w:r>
      <w:proofErr w:type="spellEnd"/>
      <w:r>
        <w:t xml:space="preserve"> AE</w:t>
      </w:r>
    </w:p>
    <w:p w:rsidR="00E02359" w:rsidRDefault="00E02359">
      <w:r w:rsidRPr="00E02359">
        <w:drawing>
          <wp:inline distT="0" distB="0" distL="0" distR="0" wp14:anchorId="1BDF09CB" wp14:editId="592B69D3">
            <wp:extent cx="5486400" cy="2477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359" w:rsidRDefault="00E02359">
      <w:proofErr w:type="spellStart"/>
      <w:r>
        <w:t>Accesam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r w:rsidRPr="00E15367">
        <w:rPr>
          <w:b/>
        </w:rPr>
        <w:t>+Document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completam</w:t>
      </w:r>
      <w:proofErr w:type="spellEnd"/>
      <w:r>
        <w:t xml:space="preserve"> </w:t>
      </w:r>
      <w:proofErr w:type="spellStart"/>
      <w:r>
        <w:t>detaliile</w:t>
      </w:r>
      <w:proofErr w:type="spellEnd"/>
    </w:p>
    <w:p w:rsidR="00C50488" w:rsidRDefault="00C50488"/>
    <w:p w:rsidR="00E02359" w:rsidRDefault="00E02359">
      <w:r w:rsidRPr="00E02359">
        <w:drawing>
          <wp:inline distT="0" distB="0" distL="0" distR="0" wp14:anchorId="5A6B3018" wp14:editId="0B6FE2B5">
            <wp:extent cx="5486400" cy="2389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359" w:rsidRDefault="00E02359"/>
    <w:p w:rsidR="00E23883" w:rsidRDefault="00E02359">
      <w:proofErr w:type="spellStart"/>
      <w:r>
        <w:lastRenderedPageBreak/>
        <w:t>Accesam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r w:rsidRPr="00E15367">
        <w:rPr>
          <w:b/>
        </w:rPr>
        <w:t>+ Sold Initial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completam</w:t>
      </w:r>
      <w:proofErr w:type="spellEnd"/>
      <w:r>
        <w:t xml:space="preserve"> </w:t>
      </w:r>
      <w:proofErr w:type="spellStart"/>
      <w:r>
        <w:t>detaliile</w:t>
      </w:r>
      <w:bookmarkStart w:id="0" w:name="_GoBack"/>
      <w:bookmarkEnd w:id="0"/>
      <w:proofErr w:type="spellEnd"/>
      <w:r w:rsidRPr="00E02359">
        <w:drawing>
          <wp:inline distT="0" distB="0" distL="0" distR="0" wp14:anchorId="4760AB35" wp14:editId="59C1B83E">
            <wp:extent cx="5486400" cy="2352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367">
        <w:br/>
      </w:r>
      <w:r w:rsidR="00E15367">
        <w:br/>
        <w:t>3. Verificarea și reconcilierea:</w:t>
      </w:r>
      <w:r w:rsidR="00E15367">
        <w:br/>
        <w:t>- Asigură-te că totalul soldurilor este corect.</w:t>
      </w:r>
      <w:r w:rsidR="00E15367">
        <w:br/>
        <w:t>- Reconcilierea se poate face cu furnizorii pentru confirmarea soldurilor.</w:t>
      </w:r>
    </w:p>
    <w:p w:rsidR="00E23883" w:rsidRDefault="00E15367">
      <w:pPr>
        <w:pStyle w:val="Heading2"/>
      </w:pPr>
      <w:proofErr w:type="spellStart"/>
      <w:r>
        <w:t>B</w:t>
      </w:r>
      <w:r>
        <w:t>eneficii</w:t>
      </w:r>
      <w:r>
        <w:t>le</w:t>
      </w:r>
      <w:proofErr w:type="spellEnd"/>
      <w:r>
        <w:t xml:space="preserve"> </w:t>
      </w:r>
      <w:proofErr w:type="spellStart"/>
      <w:r>
        <w:t>înregistrării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 a soldurilor inițiale</w:t>
      </w:r>
    </w:p>
    <w:p w:rsidR="00E23883" w:rsidRDefault="00E15367">
      <w:r>
        <w:t>- Transparență financiară: Reflectarea corectă a situației financiare.</w:t>
      </w:r>
      <w:r>
        <w:br/>
        <w:t>- Eficiență operațională: Gestionarea mai bună a plăților către furnizori.</w:t>
      </w:r>
      <w:r>
        <w:br/>
        <w:t>- Conformitate legală: Respectarea cerințelor contabile și fisc</w:t>
      </w:r>
      <w:r>
        <w:t>ale.</w:t>
      </w:r>
      <w:r>
        <w:br/>
        <w:t>- Reducerea riscului de erori: Reconcilierea constantă a conturilor cu furnizorii.</w:t>
      </w:r>
    </w:p>
    <w:sectPr w:rsidR="00E238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0488"/>
    <w:rsid w:val="00CB0664"/>
    <w:rsid w:val="00E02359"/>
    <w:rsid w:val="00E15367"/>
    <w:rsid w:val="00E23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A97C9"/>
  <w14:defaultImageDpi w14:val="300"/>
  <w15:docId w15:val="{7409F260-0D71-44E6-A6F5-03F14AD4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69874D-1ABA-486A-9BD7-3D6C17DBD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2024-12-20T10:07:00Z</dcterms:modified>
  <cp:category/>
</cp:coreProperties>
</file>