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38B89" w14:textId="77777777" w:rsidR="001509F1" w:rsidRDefault="00000000" w:rsidP="005E0A48">
      <w:pPr>
        <w:pStyle w:val="Heading1"/>
        <w:spacing w:after="240"/>
        <w:jc w:val="center"/>
      </w:pPr>
      <w:r>
        <w:t>Documentație: Macheta "Avans spre decontare / Decont direct"</w:t>
      </w:r>
    </w:p>
    <w:p w14:paraId="1AECCA95" w14:textId="77777777" w:rsidR="001509F1" w:rsidRDefault="00000000">
      <w:r>
        <w:t>Macheta „Avans spre decontare / Decont direct” oferă utilizatorilor posibilitatea de a gestiona avansurile sau deconturile directe acordate anumitor persoane într-o anumită perioadă și pentru o activitate economică specifică. Aceasta include funcționalități pentru adăugarea, modificarea sau ștergerea avansurilor, precum și pentru gestionarea documentelor aferente acestora. Macheta este structurată în mai multe secțiuni după cum urmează:</w:t>
      </w:r>
    </w:p>
    <w:p w14:paraId="0924785F" w14:textId="77777777" w:rsidR="001509F1" w:rsidRDefault="00000000">
      <w:pPr>
        <w:pStyle w:val="Heading2"/>
      </w:pPr>
      <w:r>
        <w:t>1. Tabelul din partea stângă: Avansuri</w:t>
      </w:r>
    </w:p>
    <w:p w14:paraId="572A7781" w14:textId="77777777" w:rsidR="001509F1" w:rsidRDefault="00000000">
      <w:r>
        <w:t>În tabelul din partea stângă sunt afișate avansurile acordate. Acestea includ informații precum data, persoana beneficiară și alte detalii relevante. Utilizatorii pot vizualiza rapid toate avansurile acordate într-o anumită perioadă și pentru o activitate economică selectată.</w:t>
      </w:r>
    </w:p>
    <w:p w14:paraId="13376309" w14:textId="77777777" w:rsidR="001509F1" w:rsidRDefault="00000000">
      <w:pPr>
        <w:pStyle w:val="Heading2"/>
      </w:pPr>
      <w:r>
        <w:t>2. Tabelele din partea dreaptă</w:t>
      </w:r>
    </w:p>
    <w:p w14:paraId="4EDF1B92" w14:textId="77777777" w:rsidR="001509F1" w:rsidRDefault="00000000">
      <w:r>
        <w:t>Tabelele din partea dreaptă oferă detalii despre documentele asociate fiecărui avans selectat din partea stângă. Acestea includ:</w:t>
      </w:r>
    </w:p>
    <w:p w14:paraId="60319EEE" w14:textId="062B00E5" w:rsidR="001509F1" w:rsidRDefault="00000000">
      <w:pPr>
        <w:pStyle w:val="ListBullet"/>
      </w:pPr>
      <w:r>
        <w:t xml:space="preserve">- Documentele prin care s-a acordat </w:t>
      </w:r>
      <w:r w:rsidR="005B1947">
        <w:t>avansul</w:t>
      </w:r>
      <w:r>
        <w:t xml:space="preserve"> beneficiarului (de exemplu, dispoziții de plată sau ordine de plată);</w:t>
      </w:r>
    </w:p>
    <w:p w14:paraId="6AAB0A11" w14:textId="77777777" w:rsidR="001509F1" w:rsidRDefault="00000000">
      <w:pPr>
        <w:pStyle w:val="ListBullet"/>
      </w:pPr>
      <w:r>
        <w:t>- Documentele justificative care atestă suma cheltuită (de exemplu, chitanțe sau bonuri fiscale);</w:t>
      </w:r>
    </w:p>
    <w:p w14:paraId="3EAE26D0" w14:textId="77777777" w:rsidR="001509F1" w:rsidRDefault="00000000">
      <w:pPr>
        <w:pStyle w:val="ListBullet"/>
      </w:pPr>
      <w:r>
        <w:t>- Documentele prin care beneficiarul a restituit suma necheltuită (dispoziții de încasare).</w:t>
      </w:r>
    </w:p>
    <w:p w14:paraId="3A13BDF9" w14:textId="7950DD72" w:rsidR="001509F1" w:rsidRDefault="00000000">
      <w:r>
        <w:t>Tot aici se afișează soldurile pentru clasific</w:t>
      </w:r>
      <w:r w:rsidR="005E0A48">
        <w:t>a</w:t>
      </w:r>
      <w:r w:rsidR="005E0A48">
        <w:rPr>
          <w:lang w:val="ro-RO"/>
        </w:rPr>
        <w:t>ți</w:t>
      </w:r>
      <w:r>
        <w:t>ile bugetare aferente documentelor.</w:t>
      </w:r>
    </w:p>
    <w:p w14:paraId="226BCD14" w14:textId="77777777" w:rsidR="001509F1" w:rsidRDefault="00000000">
      <w:pPr>
        <w:pStyle w:val="Heading2"/>
      </w:pPr>
      <w:r>
        <w:t>3. Adăugarea avansurilor</w:t>
      </w:r>
    </w:p>
    <w:p w14:paraId="1CA74705" w14:textId="77777777" w:rsidR="001509F1" w:rsidRDefault="00000000">
      <w:r>
        <w:t>Avansurile care se pot oferi includ atât avansuri numerar, cât și avansuri prin virament pe card. Acestea pot fi adăugate astfel:</w:t>
      </w:r>
    </w:p>
    <w:p w14:paraId="585C3A9F" w14:textId="77777777" w:rsidR="001509F1" w:rsidRDefault="00000000">
      <w:pPr>
        <w:pStyle w:val="ListBullet"/>
      </w:pPr>
      <w:r>
        <w:t>- Pentru avansuri numerar, se apasă butonul „Avans spre decontare cu dispoziție de plată”;</w:t>
      </w:r>
    </w:p>
    <w:p w14:paraId="6541BB41" w14:textId="77777777" w:rsidR="001509F1" w:rsidRDefault="00000000">
      <w:pPr>
        <w:pStyle w:val="ListBullet"/>
      </w:pPr>
      <w:r>
        <w:t>- Pentru avansuri prin virament pe card, se apasă butonul „Avans spre decontare cu virament pe card”.</w:t>
      </w:r>
    </w:p>
    <w:p w14:paraId="25B9901F" w14:textId="77777777" w:rsidR="001509F1" w:rsidRDefault="00000000">
      <w:pPr>
        <w:pStyle w:val="Heading2"/>
      </w:pPr>
      <w:r>
        <w:t>4. Decontarea avansurilor</w:t>
      </w:r>
    </w:p>
    <w:p w14:paraId="5ADAB121" w14:textId="77777777" w:rsidR="001509F1" w:rsidRDefault="00000000">
      <w:r>
        <w:t>După operarea avansurilor, este necesar să se facă decontul prin apăsarea butonului „Decont”. Ulterior, decontul poate fi modificat sau șters. În urma acestei operațiuni se stabilește dacă există sume de încasat sau restituit.</w:t>
      </w:r>
    </w:p>
    <w:p w14:paraId="12CA1DDA" w14:textId="79E06C6D" w:rsidR="001509F1" w:rsidRDefault="00000000">
      <w:r>
        <w:lastRenderedPageBreak/>
        <w:t>Dacă suma cheltuită este mai mică decât suma acordată, utilizatorii pot genera o dispoziție de încasare pentru restituirea diferenței. În cazul în care suma cheltuită este mai mare decât cea acordată, se poate genera o dispoziție de plată pentru a acorda diferența</w:t>
      </w:r>
      <w:r w:rsidR="005E0A48">
        <w:t xml:space="preserve"> pe care beneficiarul a cheltuit-o</w:t>
      </w:r>
      <w:r>
        <w:t xml:space="preserve"> din fondurile proprii.</w:t>
      </w:r>
    </w:p>
    <w:p w14:paraId="6EE7E605" w14:textId="77777777" w:rsidR="001509F1" w:rsidRDefault="00000000">
      <w:pPr>
        <w:pStyle w:val="Heading2"/>
      </w:pPr>
      <w:r>
        <w:t>5. Alte funcționalități</w:t>
      </w:r>
    </w:p>
    <w:p w14:paraId="51704600" w14:textId="77777777" w:rsidR="001509F1" w:rsidRDefault="00000000">
      <w:r>
        <w:t>Pagina mai oferă următoarele funcționalități:</w:t>
      </w:r>
    </w:p>
    <w:p w14:paraId="5B3A5553" w14:textId="77777777" w:rsidR="001509F1" w:rsidRDefault="00000000">
      <w:pPr>
        <w:pStyle w:val="ListBullet"/>
      </w:pPr>
      <w:r>
        <w:t>- Listarea dispoziției de plată, a dispoziției de încasare, a ordinului de plată și a decontului;</w:t>
      </w:r>
    </w:p>
    <w:p w14:paraId="67E83D7F" w14:textId="77777777" w:rsidR="001509F1" w:rsidRDefault="00000000">
      <w:pPr>
        <w:pStyle w:val="ListBullet"/>
      </w:pPr>
      <w:r>
        <w:t>- Navigarea în casierie pentru a plăti sau încasa dispozițiile prin selectarea acestora și apăsarea butoanelor „Spre plată” sau „Spre încasare”, după caz.</w:t>
      </w:r>
    </w:p>
    <w:p w14:paraId="538C2400" w14:textId="77777777" w:rsidR="001509F1" w:rsidRDefault="00000000">
      <w:pPr>
        <w:pStyle w:val="Heading2"/>
      </w:pPr>
      <w:r>
        <w:t>6. Imaginea machetei</w:t>
      </w:r>
    </w:p>
    <w:p w14:paraId="424DFF4C" w14:textId="77777777" w:rsidR="001509F1" w:rsidRDefault="00000000">
      <w:r>
        <w:t>Mai jos este prezentată o imagine a machetei „Avans spre decontare / Decont direct” pentru o mai bună înțelegere a structurii acesteia.</w:t>
      </w:r>
    </w:p>
    <w:p w14:paraId="4547E4A5" w14:textId="0A0F11BF" w:rsidR="001509F1" w:rsidRDefault="001213AC">
      <w:r>
        <w:rPr>
          <w:noProof/>
        </w:rPr>
        <w:drawing>
          <wp:inline distT="0" distB="0" distL="0" distR="0" wp14:anchorId="52F9FBC1" wp14:editId="3267CB3F">
            <wp:extent cx="5486400" cy="2411730"/>
            <wp:effectExtent l="0" t="0" r="0" b="7620"/>
            <wp:docPr id="293911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1554" name="Picture 1"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411730"/>
                    </a:xfrm>
                    <a:prstGeom prst="rect">
                      <a:avLst/>
                    </a:prstGeom>
                    <a:noFill/>
                    <a:ln>
                      <a:noFill/>
                    </a:ln>
                  </pic:spPr>
                </pic:pic>
              </a:graphicData>
            </a:graphic>
          </wp:inline>
        </w:drawing>
      </w:r>
    </w:p>
    <w:sectPr w:rsidR="001509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287647">
    <w:abstractNumId w:val="8"/>
  </w:num>
  <w:num w:numId="2" w16cid:durableId="2003385682">
    <w:abstractNumId w:val="6"/>
  </w:num>
  <w:num w:numId="3" w16cid:durableId="1111627885">
    <w:abstractNumId w:val="5"/>
  </w:num>
  <w:num w:numId="4" w16cid:durableId="927889948">
    <w:abstractNumId w:val="4"/>
  </w:num>
  <w:num w:numId="5" w16cid:durableId="2119055601">
    <w:abstractNumId w:val="7"/>
  </w:num>
  <w:num w:numId="6" w16cid:durableId="1322583405">
    <w:abstractNumId w:val="3"/>
  </w:num>
  <w:num w:numId="7" w16cid:durableId="1112045671">
    <w:abstractNumId w:val="2"/>
  </w:num>
  <w:num w:numId="8" w16cid:durableId="693312108">
    <w:abstractNumId w:val="1"/>
  </w:num>
  <w:num w:numId="9" w16cid:durableId="52359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3AC"/>
    <w:rsid w:val="0015074B"/>
    <w:rsid w:val="001509F1"/>
    <w:rsid w:val="0029639D"/>
    <w:rsid w:val="00326F90"/>
    <w:rsid w:val="005B1947"/>
    <w:rsid w:val="005B26B6"/>
    <w:rsid w:val="005E0A48"/>
    <w:rsid w:val="006F77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A401F"/>
  <w14:defaultImageDpi w14:val="300"/>
  <w15:docId w15:val="{F11917FA-9A3A-4C70-8D7E-97A2902E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4</cp:revision>
  <dcterms:created xsi:type="dcterms:W3CDTF">2024-12-03T10:29:00Z</dcterms:created>
  <dcterms:modified xsi:type="dcterms:W3CDTF">2024-12-03T11:29:00Z</dcterms:modified>
  <cp:category/>
</cp:coreProperties>
</file>