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Completare Solduri Inițiale Obiective în Curs de Execuție</w:t>
      </w:r>
    </w:p>
    <w:p>
      <w:r>
        <w:t>Acest manual oferă instrucțiuni pas cu pas pentru utilizarea ecranului de completare a soldurilor inițiale ale obiectivelor în curs de execuție.</w:t>
      </w:r>
    </w:p>
    <w:p>
      <w:r>
        <w:t>Imaginea de mai jos ilustrează interfața utilizatorului:</w:t>
      </w:r>
    </w:p>
    <w:p>
      <w:r>
        <w:drawing>
          <wp:inline xmlns:a="http://schemas.openxmlformats.org/drawingml/2006/main" xmlns:pic="http://schemas.openxmlformats.org/drawingml/2006/picture">
            <wp:extent cx="5029200" cy="4223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Instrucțiuni:</w:t>
      </w:r>
    </w:p>
    <w:p>
      <w:r>
        <w:t>1. Selectați data corespunzătoare utilizând selectorul de dată din partea superioară a paginii.</w:t>
      </w:r>
    </w:p>
    <w:p>
      <w:r>
        <w:t>2. În lista 'Lista obiective în curs de execuție la data selectată':</w:t>
      </w:r>
    </w:p>
    <w:p>
      <w:r>
        <w:t xml:space="preserve">   a. Colona 'Obiective' afișează denumirea obiectivelor în curs de execuție.</w:t>
      </w:r>
    </w:p>
    <w:p>
      <w:r>
        <w:t xml:space="preserve">   b. Colona 'Facturat' permite editarea sumei facturate pentru fiecare obiectiv.</w:t>
      </w:r>
    </w:p>
    <w:p>
      <w:r>
        <w:t xml:space="preserve">   c. Colona 'Plătit' permite editarea sumei plătite pentru fiecare obiectiv.</w:t>
      </w:r>
    </w:p>
    <w:p>
      <w:r>
        <w:t xml:space="preserve">   d. Colona 'Rămas' este calculată automat și afișează diferența dintre 'Facturat' și 'Plătit'.</w:t>
      </w:r>
    </w:p>
    <w:p>
      <w:r>
        <w:t>3. Pentru a edita o valoare, faceți clic pe pictograma de creion din coloana dorită.</w:t>
      </w:r>
    </w:p>
    <w:p>
      <w:r>
        <w:t>4. După completarea tuturor valorilor, verificați că totalurile sunt corecte.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