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0ECF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[1] L. Nai, M. Yu, L. Zhang, and M. Fan, “A Secure Blockchain-Based Electronic Voting System,” IEEE Access, vol. 9, pp. 158406–158415, 2021.</w:t>
      </w:r>
    </w:p>
    <w:p w14:paraId="5C9AF689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[2] M. Ahmed and R. Arain, “Blockchain-Based E-Voting: A Comprehensive Review,” Journal of Computer Networks and Communications, vol. 2020, Article ID 4719654, 2020.</w:t>
      </w:r>
    </w:p>
    <w:p w14:paraId="3FF0CFB8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[3] A. Chaudhary, S. Gera, and N. Kumar, “Blockchain for Secure E-Voting Systems: A Survey,” Computer Standards &amp; Interfaces, vol. 82, p. 103616, 2022.</w:t>
      </w:r>
    </w:p>
    <w:p w14:paraId="145D998B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[4] Y. Tian et al., “A Facial Recognition System for Secure and Efficient Identity Verification,” IEEE Transactions on Information Forensics and Security, vol. 15, pp. 2541–2553, 2020.</w:t>
      </w:r>
    </w:p>
    <w:p w14:paraId="65D818D9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[5] S. Das, N. Purohit, and P. Pande, “Blockchain-Enabled Secure Identity Verification in E-Voting,” in Proc. 2021 IEEE Int. Conf. on Blockchain, pp. 83–90.</w:t>
      </w:r>
    </w:p>
    <w:p w14:paraId="2E3E353E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[6] M. Ali, N. Raj, and T. P. Nandagopal, “A Study on Biometric and ID-based E-voting Systems,” Journal of ICT Research and Applications, vol. 15, no. 1, pp. 45–62, 2021.</w:t>
      </w:r>
    </w:p>
    <w:p w14:paraId="238D6165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[7] J. Benaloh, “Simple Verifiable Elections,” in Proc. USENIX Security Symposium, 2006.</w:t>
      </w:r>
    </w:p>
    <w:p w14:paraId="01DE1951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[8] K. Sako and J. Kilian, “Receipt-Free Mix-Type Voting Scheme,” in Advances in Cryptology—EUROCRYPT, pp. 393–403, 1995.</w:t>
      </w:r>
    </w:p>
    <w:p w14:paraId="407DDFB0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[9] Z. Xia, X. Wang, and L. Xiong, “E-Voting Using Blockchain Technology,” Future Generation Computer Systems, vol. 120, pp. 65–78, 2021.</w:t>
      </w:r>
    </w:p>
    <w:p w14:paraId="37FB43AC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[10] R. Kshetri and J. Voas, “Blockchain-Enabled E-Voting,” IEEE Software, vol. 36, no. 4, pp. 95–99, 2019.</w:t>
      </w:r>
    </w:p>
    <w:p w14:paraId="3D5FFB12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[11] E. Pour and J. Rabai, “A Survey of Blockchain-Based Voting Systems,” Journal of Theoretical and Applied Information Technology, vol. 99, no. 1, pp. 50–65, 2021.</w:t>
      </w:r>
    </w:p>
    <w:p w14:paraId="262FB65C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[12] K. Fan, H. Wang, and Y. Yang, “Privacy-Preserving Smart Contracts with Public Verifiability,” IEEE Transactions on Information Forensics and Security, vol. 14, no. 10, pp. 2699–2713, 2019.</w:t>
      </w:r>
    </w:p>
    <w:p w14:paraId="0F73B294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[13] L. Lamport, R. Shostak, and M. Pease, “The Byzantine Generals Problem,” ACM Transactions on Programming Languages and Systems, vol. 4, no. 3, pp. 382–401, 1982.</w:t>
      </w:r>
    </w:p>
    <w:p w14:paraId="6496925C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[14] T. Kim and S. Hong, “Secure and Transparent Blockchain-Based Voting System,” IEEE Access, vol. 9, pp. 95939–95950, 2021.</w:t>
      </w:r>
    </w:p>
    <w:p w14:paraId="7F79AEE8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[15] A. Pereira, A. Ferreira, and J. Almeida, “eVoting with Blockchain and Facial Recognition: A Secure and Transparent System,” in Proc. 2022 Int. Conf. on Intelligent Systems, pp. 551–558.</w:t>
      </w:r>
    </w:p>
    <w:p w14:paraId="7A37F22A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[16] A. Androulaki et al., “Hyperledger Fabric: A Distributed Operating System for Permissioned Blockchains,” in Proc. of the Thirteenth EuroSys Conference, 2018.</w:t>
      </w:r>
    </w:p>
    <w:p w14:paraId="4F522713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[17] Redis Labs, “Redis Documentation,” 2024. [Online]. Available: https://redis.io/docs/</w:t>
      </w:r>
    </w:p>
    <w:p w14:paraId="1DB1DA72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[18] Oracle Corporation, “MySQL 8.0 Reference Manual,” 2024. [Online]. Available: </w:t>
      </w:r>
      <w:hyperlink r:id="rId4" w:tgtFrame="_new" w:history="1">
        <w:r w:rsidRPr="004908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https://dev.mysql.com/doc/refman/8.0/en/</w:t>
        </w:r>
      </w:hyperlink>
    </w:p>
    <w:p w14:paraId="4B161963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[19] D. Hardt, “The OAuth 2.0 Authorization Framework,” IETF RFC 6749, 2012.</w:t>
      </w:r>
    </w:p>
    <w:p w14:paraId="29D8B9DE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[20] M. B. Jones, J. Bradley, and N. Sakimura, “JSON Web Token (JWT),” IETF RFC 7519, 2015.</w:t>
      </w:r>
    </w:p>
    <w:p w14:paraId="7A5F3763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[21] R. Smith, “An Overview of the Tesseract OCR Engine,” in Proc. of the Ninth International Conference on Document Analysis and Recognition, 2007, pp. 629–633.</w:t>
      </w:r>
    </w:p>
    <w:p w14:paraId="31DCC495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[22] F5, “NGINX: The High-Performance Web Server,” 2024. [Online]. Available: </w:t>
      </w:r>
      <w:hyperlink r:id="rId5" w:tgtFrame="_new" w:history="1">
        <w:r w:rsidRPr="004908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https://www.nginx.com/</w:t>
        </w:r>
      </w:hyperlink>
    </w:p>
    <w:p w14:paraId="7D6E4617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[23] Amazon Web Services, “Amazon Rekognition Developer Guide,” 2024. [Online]. Available: </w:t>
      </w:r>
      <w:hyperlink r:id="rId6" w:tgtFrame="_new" w:history="1">
        <w:r w:rsidRPr="004908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https://docs.aws.amazon.com/rekognition/</w:t>
        </w:r>
      </w:hyperlink>
    </w:p>
    <w:p w14:paraId="0A83E8E1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[24] S. Newman, Building Microservices, 2nd ed. Sebastopol, CA, USA: O’Reilly Media, 2021.</w:t>
      </w:r>
    </w:p>
    <w:p w14:paraId="0189B16B" w14:textId="77777777" w:rsidR="0049081A" w:rsidRPr="0049081A" w:rsidRDefault="0049081A" w:rsidP="0049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9081A">
        <w:rPr>
          <w:rFonts w:ascii="Times New Roman" w:eastAsia="Times New Roman" w:hAnsi="Times New Roman" w:cs="Times New Roman"/>
          <w:sz w:val="24"/>
          <w:szCs w:val="24"/>
          <w:lang w:eastAsia="ro-RO"/>
        </w:rPr>
        <w:t>[25] M. Fowler and J. Lewis, “Microservices: a definition of this new architectural term,” ThoughtWorks, 2014. [Online]. Available: https://martinfowler.com/articles/microservices.html</w:t>
      </w:r>
    </w:p>
    <w:p w14:paraId="6D650C34" w14:textId="77777777" w:rsidR="008F1CB3" w:rsidRDefault="008F1CB3"/>
    <w:sectPr w:rsidR="008F1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0F"/>
    <w:rsid w:val="0049081A"/>
    <w:rsid w:val="008F1CB3"/>
    <w:rsid w:val="0091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C1DA7-0B53-4699-AED2-AABC9592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rekognition/" TargetMode="External"/><Relationship Id="rId5" Type="http://schemas.openxmlformats.org/officeDocument/2006/relationships/hyperlink" Target="https://www.nginx.com/" TargetMode="External"/><Relationship Id="rId4" Type="http://schemas.openxmlformats.org/officeDocument/2006/relationships/hyperlink" Target="https://dev.mysql.com/doc/refman/8.0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Nedelcu</dc:creator>
  <cp:keywords/>
  <dc:description/>
  <cp:lastModifiedBy>Rares Nedelcu</cp:lastModifiedBy>
  <cp:revision>2</cp:revision>
  <dcterms:created xsi:type="dcterms:W3CDTF">2025-04-05T11:10:00Z</dcterms:created>
  <dcterms:modified xsi:type="dcterms:W3CDTF">2025-04-05T11:10:00Z</dcterms:modified>
</cp:coreProperties>
</file>